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1140" w:right="80" w:hanging="794"/>
        <w:spacing w:after="0" w:line="249"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7" w:lineRule="exact"/>
        <w:rPr>
          <w:sz w:val="24"/>
          <w:szCs w:val="24"/>
          <w:color w:val="auto"/>
        </w:rPr>
      </w:pPr>
    </w:p>
    <w:p>
      <w:pPr>
        <w:ind w:left="1140" w:right="80" w:hanging="794"/>
        <w:spacing w:after="0" w:line="263"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2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53340</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 w:lineRule="exact"/>
        <w:rPr>
          <w:sz w:val="24"/>
          <w:szCs w:val="24"/>
          <w:color w:val="auto"/>
        </w:rPr>
      </w:pPr>
    </w:p>
    <w:tbl>
      <w:tblPr>
        <w:tblLayout w:type="fixed"/>
        <w:tblInd w:w="1400" w:type="dxa"/>
        <w:tblCellMar>
          <w:top w:w="0" w:type="dxa"/>
          <w:left w:w="0" w:type="dxa"/>
          <w:bottom w:w="0" w:type="dxa"/>
          <w:right w:w="0" w:type="dxa"/>
        </w:tblCellMar>
      </w:tblPr>
      <w:tr>
        <w:trPr>
          <w:trHeight w:val="207"/>
        </w:trPr>
        <w:tc>
          <w:tcPr>
            <w:tcW w:w="4780" w:type="dxa"/>
            <w:vAlign w:val="bottom"/>
          </w:tcPr>
          <w:p>
            <w:pPr>
              <w:jc w:val="center"/>
              <w:ind w:right="1692"/>
              <w:spacing w:after="0"/>
              <w:rPr>
                <w:sz w:val="20"/>
                <w:szCs w:val="20"/>
                <w:color w:val="auto"/>
              </w:rPr>
            </w:pPr>
            <w:r>
              <w:rPr>
                <w:rFonts w:ascii="Arial" w:cs="Arial" w:eastAsia="Arial" w:hAnsi="Arial"/>
                <w:sz w:val="18"/>
                <w:szCs w:val="18"/>
                <w:b w:val="1"/>
                <w:bCs w:val="1"/>
                <w:color w:val="auto"/>
                <w:w w:val="96"/>
              </w:rPr>
              <w:t>Virginia</w:t>
            </w:r>
          </w:p>
        </w:tc>
        <w:tc>
          <w:tcPr>
            <w:tcW w:w="3160" w:type="dxa"/>
            <w:vAlign w:val="bottom"/>
          </w:tcPr>
          <w:p>
            <w:pPr>
              <w:jc w:val="right"/>
              <w:ind w:right="132"/>
              <w:spacing w:after="0"/>
              <w:rPr>
                <w:sz w:val="20"/>
                <w:szCs w:val="20"/>
                <w:color w:val="auto"/>
              </w:rPr>
            </w:pPr>
            <w:r>
              <w:rPr>
                <w:rFonts w:ascii="Arial" w:cs="Arial" w:eastAsia="Arial" w:hAnsi="Arial"/>
                <w:sz w:val="18"/>
                <w:szCs w:val="18"/>
                <w:b w:val="1"/>
                <w:bCs w:val="1"/>
                <w:color w:val="auto"/>
              </w:rPr>
              <w:t>52-2284372</w:t>
            </w:r>
          </w:p>
        </w:tc>
      </w:tr>
      <w:tr>
        <w:trPr>
          <w:trHeight w:val="203"/>
        </w:trPr>
        <w:tc>
          <w:tcPr>
            <w:tcW w:w="4780" w:type="dxa"/>
            <w:vAlign w:val="bottom"/>
          </w:tcPr>
          <w:p>
            <w:pPr>
              <w:jc w:val="center"/>
              <w:ind w:right="1712"/>
              <w:spacing w:after="0" w:line="202" w:lineRule="exact"/>
              <w:rPr>
                <w:sz w:val="20"/>
                <w:szCs w:val="20"/>
                <w:color w:val="auto"/>
              </w:rPr>
            </w:pPr>
            <w:r>
              <w:rPr>
                <w:rFonts w:ascii="Arial" w:cs="Arial" w:eastAsia="Arial" w:hAnsi="Arial"/>
                <w:sz w:val="18"/>
                <w:szCs w:val="18"/>
                <w:color w:val="auto"/>
                <w:w w:val="96"/>
              </w:rPr>
              <w:t>(State or other jurisdiction of</w:t>
            </w:r>
          </w:p>
        </w:tc>
        <w:tc>
          <w:tcPr>
            <w:tcW w:w="3160" w:type="dxa"/>
            <w:vAlign w:val="bottom"/>
          </w:tcPr>
          <w:p>
            <w:pPr>
              <w:jc w:val="center"/>
              <w:ind w:left="1692"/>
              <w:spacing w:after="0" w:line="202" w:lineRule="exact"/>
              <w:rPr>
                <w:sz w:val="20"/>
                <w:szCs w:val="20"/>
                <w:color w:val="auto"/>
              </w:rPr>
            </w:pPr>
            <w:r>
              <w:rPr>
                <w:rFonts w:ascii="Arial" w:cs="Arial" w:eastAsia="Arial" w:hAnsi="Arial"/>
                <w:sz w:val="18"/>
                <w:szCs w:val="18"/>
                <w:color w:val="auto"/>
                <w:w w:val="98"/>
              </w:rPr>
              <w:t>(I.R.S. Employer</w:t>
            </w:r>
          </w:p>
        </w:tc>
      </w:tr>
      <w:tr>
        <w:trPr>
          <w:trHeight w:val="237"/>
        </w:trPr>
        <w:tc>
          <w:tcPr>
            <w:tcW w:w="4780" w:type="dxa"/>
            <w:vAlign w:val="bottom"/>
          </w:tcPr>
          <w:p>
            <w:pPr>
              <w:jc w:val="center"/>
              <w:ind w:right="1712"/>
              <w:spacing w:after="0"/>
              <w:rPr>
                <w:sz w:val="20"/>
                <w:szCs w:val="20"/>
                <w:color w:val="auto"/>
              </w:rPr>
            </w:pPr>
            <w:r>
              <w:rPr>
                <w:rFonts w:ascii="Arial" w:cs="Arial" w:eastAsia="Arial" w:hAnsi="Arial"/>
                <w:sz w:val="18"/>
                <w:szCs w:val="18"/>
                <w:color w:val="auto"/>
                <w:w w:val="98"/>
              </w:rPr>
              <w:t>incorporation or organization)</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8"/>
              </w:rPr>
              <w:t>Identification No.)</w:t>
            </w:r>
          </w:p>
        </w:tc>
      </w:tr>
      <w:tr>
        <w:trPr>
          <w:trHeight w:val="396"/>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Three Parkway North,</w:t>
            </w:r>
          </w:p>
        </w:tc>
        <w:tc>
          <w:tcPr>
            <w:tcW w:w="3160" w:type="dxa"/>
            <w:vAlign w:val="bottom"/>
          </w:tcPr>
          <w:p>
            <w:pPr>
              <w:spacing w:after="0"/>
              <w:rPr>
                <w:sz w:val="24"/>
                <w:szCs w:val="24"/>
                <w:color w:val="auto"/>
              </w:rPr>
            </w:pPr>
          </w:p>
        </w:tc>
      </w:tr>
      <w:tr>
        <w:trPr>
          <w:trHeight w:val="218"/>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Deerfield, Illinois</w:t>
            </w: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60015</w:t>
            </w:r>
          </w:p>
        </w:tc>
      </w:tr>
      <w:tr>
        <w:trPr>
          <w:trHeight w:val="237"/>
        </w:trPr>
        <w:tc>
          <w:tcPr>
            <w:tcW w:w="4780" w:type="dxa"/>
            <w:vAlign w:val="bottom"/>
          </w:tcPr>
          <w:p>
            <w:pPr>
              <w:jc w:val="center"/>
              <w:ind w:right="1692"/>
              <w:spacing w:after="0"/>
              <w:rPr>
                <w:sz w:val="20"/>
                <w:szCs w:val="20"/>
                <w:color w:val="auto"/>
              </w:rPr>
            </w:pPr>
            <w:r>
              <w:rPr>
                <w:rFonts w:ascii="Arial" w:cs="Arial" w:eastAsia="Arial" w:hAnsi="Arial"/>
                <w:sz w:val="18"/>
                <w:szCs w:val="18"/>
                <w:color w:val="auto"/>
                <w:w w:val="97"/>
              </w:rPr>
              <w:t>(Address of principal executive offices)</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6"/>
              </w:rPr>
              <w:t>(Zip Code)</w:t>
            </w:r>
          </w:p>
        </w:tc>
      </w:tr>
    </w:tbl>
    <w:p>
      <w:pPr>
        <w:spacing w:after="0" w:line="18"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943-4000</w:t>
      </w:r>
    </w:p>
    <w:p>
      <w:pPr>
        <w:spacing w:after="0" w:line="50"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8" w:lineRule="exact"/>
        <w:rPr>
          <w:sz w:val="24"/>
          <w:szCs w:val="24"/>
          <w:color w:val="auto"/>
        </w:rPr>
      </w:pPr>
    </w:p>
    <w:p>
      <w:pPr>
        <w:jc w:val="both"/>
        <w:ind w:right="16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ind w:right="10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jc w:val="both"/>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220" w:type="dxa"/>
        <w:tblCellMar>
          <w:top w:w="0" w:type="dxa"/>
          <w:left w:w="0" w:type="dxa"/>
          <w:bottom w:w="0" w:type="dxa"/>
          <w:right w:w="0" w:type="dxa"/>
        </w:tblCellMar>
      </w:tblPr>
      <w:tr>
        <w:trPr>
          <w:trHeight w:val="216"/>
        </w:trPr>
        <w:tc>
          <w:tcPr>
            <w:tcW w:w="4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8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80" w:type="dxa"/>
            <w:vAlign w:val="bottom"/>
          </w:tcPr>
          <w:p>
            <w:pPr>
              <w:ind w:left="500"/>
              <w:spacing w:after="0"/>
              <w:rPr>
                <w:sz w:val="20"/>
                <w:szCs w:val="20"/>
                <w:color w:val="auto"/>
              </w:rPr>
            </w:pPr>
            <w:r>
              <w:rPr>
                <w:rFonts w:ascii="Arial" w:cs="Arial" w:eastAsia="Arial" w:hAnsi="Arial"/>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2680" w:type="dxa"/>
            <w:vAlign w:val="bottom"/>
          </w:tcPr>
          <w:p>
            <w:pPr>
              <w:ind w:left="500"/>
              <w:spacing w:after="0"/>
              <w:rPr>
                <w:sz w:val="20"/>
                <w:szCs w:val="20"/>
                <w:color w:val="auto"/>
              </w:rPr>
            </w:pPr>
            <w:r>
              <w:rPr>
                <w:rFonts w:ascii="Arial" w:cs="Arial" w:eastAsia="Arial" w:hAnsi="Arial"/>
                <w:sz w:val="18"/>
                <w:szCs w:val="18"/>
                <w:color w:val="auto"/>
              </w:rPr>
              <w:t>Emerging growth company</w:t>
            </w:r>
          </w:p>
        </w:tc>
        <w:tc>
          <w:tcPr>
            <w:tcW w:w="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ind w:right="28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360"/>
        <w:spacing w:after="0" w:line="26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October 27, 2017, there were 1,494,388,598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314"/>
        </w:trPr>
        <w:tc>
          <w:tcPr>
            <w:tcW w:w="10780" w:type="dxa"/>
            <w:vAlign w:val="bottom"/>
            <w:gridSpan w:val="23"/>
          </w:tcPr>
          <w:p>
            <w:pPr>
              <w:spacing w:after="0"/>
              <w:rPr>
                <w:sz w:val="20"/>
                <w:szCs w:val="20"/>
                <w:color w:val="auto"/>
              </w:rPr>
            </w:pPr>
            <w:r>
              <w:rPr>
                <w:rFonts w:ascii="Arial" w:cs="Arial" w:eastAsia="Arial" w:hAnsi="Arial"/>
                <w:sz w:val="18"/>
                <w:szCs w:val="18"/>
                <w:b w:val="1"/>
                <w:bCs w:val="1"/>
                <w:color w:val="auto"/>
              </w:rPr>
              <w:t>PART I - FINANCIAL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sz w:val="20"/>
                <w:szCs w:val="20"/>
                <w:color w:val="auto"/>
              </w:rPr>
            </w:pPr>
            <w:r>
              <w:rPr>
                <w:rFonts w:ascii="Arial" w:cs="Arial" w:eastAsia="Arial" w:hAnsi="Arial"/>
                <w:sz w:val="18"/>
                <w:szCs w:val="18"/>
                <w:color w:val="auto"/>
              </w:rPr>
              <w:t>Financial Statements (Unaudited)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w:t>
              </w:r>
            </w:hyperlink>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for the Three and Nine Months Ended September 30, 2017 and 2016</w:t>
              </w:r>
            </w:hyperlink>
          </w:p>
        </w:tc>
        <w:tc>
          <w:tcPr>
            <w:tcW w:w="4080" w:type="dxa"/>
            <w:vAlign w:val="bottom"/>
            <w:gridSpan w:val="2"/>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9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for the Three and Nine Months Ended September 30, 2017 and</w:t>
              </w:r>
            </w:hyperlink>
          </w:p>
        </w:tc>
        <w:tc>
          <w:tcPr>
            <w:tcW w:w="460" w:type="dxa"/>
            <w:vAlign w:val="bottom"/>
            <w:tcBorders>
              <w:bottom w:val="single" w:sz="8" w:color="0000EE"/>
            </w:tcBorders>
          </w:tcPr>
          <w:p>
            <w:pPr>
              <w:jc w:val="right"/>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2016</w:t>
              </w:r>
            </w:hyperlink>
          </w:p>
        </w:tc>
        <w:tc>
          <w:tcPr>
            <w:tcW w:w="1320" w:type="dxa"/>
            <w:vAlign w:val="bottom"/>
            <w:gridSpan w:val="2"/>
          </w:tcPr>
          <w:p>
            <w:pPr>
              <w:spacing w:after="0"/>
              <w:rPr>
                <w:sz w:val="15"/>
                <w:szCs w:val="15"/>
                <w:color w:val="auto"/>
              </w:rPr>
            </w:pPr>
          </w:p>
        </w:tc>
        <w:tc>
          <w:tcPr>
            <w:tcW w:w="27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0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at September 30, 2017 and December</w:t>
              </w:r>
            </w:hyperlink>
          </w:p>
        </w:tc>
        <w:tc>
          <w:tcPr>
            <w:tcW w:w="680" w:type="dxa"/>
            <w:vAlign w:val="bottom"/>
            <w:tcBorders>
              <w:bottom w:val="single" w:sz="8" w:color="0000EE"/>
            </w:tcBorders>
            <w:gridSpan w:val="5"/>
          </w:tcPr>
          <w:p>
            <w:pPr>
              <w:jc w:val="right"/>
              <w:spacing w:after="0" w:line="18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31, 2016</w:t>
              </w:r>
            </w:hyperlink>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4"/>
          </w:tcPr>
          <w:p>
            <w:pPr>
              <w:spacing w:after="0"/>
              <w:rPr>
                <w:sz w:val="15"/>
                <w:szCs w:val="15"/>
                <w:color w:val="auto"/>
              </w:rPr>
            </w:pPr>
          </w:p>
        </w:tc>
        <w:tc>
          <w:tcPr>
            <w:tcW w:w="27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20" w:type="dxa"/>
            <w:vAlign w:val="bottom"/>
            <w:tcBorders>
              <w:top w:val="single" w:sz="8" w:color="0000EE"/>
            </w:tcBorders>
            <w:gridSpan w:val="7"/>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for the Year Ended December 31, 2016 and</w:t>
              </w:r>
            </w:hyperlink>
          </w:p>
        </w:tc>
        <w:tc>
          <w:tcPr>
            <w:tcW w:w="6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4"/>
          </w:tcPr>
          <w:p>
            <w:pPr>
              <w:spacing w:after="0"/>
              <w:rPr>
                <w:sz w:val="15"/>
                <w:szCs w:val="15"/>
                <w:color w:val="auto"/>
              </w:rPr>
            </w:pPr>
          </w:p>
        </w:tc>
        <w:tc>
          <w:tcPr>
            <w:tcW w:w="27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the Nine Months Ended September 30, 2017</w:t>
              </w:r>
            </w:hyperlink>
          </w:p>
        </w:tc>
        <w:tc>
          <w:tcPr>
            <w:tcW w:w="100" w:type="dxa"/>
            <w:vAlign w:val="bottom"/>
            <w:tcBorders>
              <w:bottom w:val="single" w:sz="8" w:color="0000EE"/>
            </w:tcBorders>
            <w:gridSpan w:val="2"/>
          </w:tcPr>
          <w:p>
            <w:pPr>
              <w:spacing w:after="0"/>
              <w:rPr>
                <w:sz w:val="15"/>
                <w:szCs w:val="15"/>
                <w:color w:val="auto"/>
              </w:rPr>
            </w:pPr>
          </w:p>
        </w:tc>
        <w:tc>
          <w:tcPr>
            <w:tcW w:w="38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60" w:type="dxa"/>
            <w:vAlign w:val="bottom"/>
            <w:gridSpan w:val="4"/>
          </w:tcPr>
          <w:p>
            <w:pPr>
              <w:spacing w:after="0"/>
              <w:rPr>
                <w:sz w:val="15"/>
                <w:szCs w:val="15"/>
                <w:color w:val="auto"/>
              </w:rPr>
            </w:pPr>
          </w:p>
        </w:tc>
        <w:tc>
          <w:tcPr>
            <w:tcW w:w="27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w:t>
              </w:r>
            </w:hyperlink>
          </w:p>
        </w:tc>
        <w:tc>
          <w:tcPr>
            <w:tcW w:w="5600" w:type="dxa"/>
            <w:vAlign w:val="bottom"/>
            <w:gridSpan w:val="9"/>
          </w:tcPr>
          <w:p>
            <w:pPr>
              <w:spacing w:after="0"/>
              <w:rPr>
                <w:sz w:val="24"/>
                <w:szCs w:val="2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60" w:type="dxa"/>
            <w:vAlign w:val="bottom"/>
            <w:gridSpan w:val="2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for the Nine Months Ended September 30, 2017 and 2016</w:t>
              </w:r>
            </w:hyperlink>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2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5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Quantitative and Qualitative Disclosures about Market Risk</w:t>
              </w:r>
            </w:hyperlink>
          </w:p>
        </w:tc>
        <w:tc>
          <w:tcPr>
            <w:tcW w:w="2320" w:type="dxa"/>
            <w:vAlign w:val="bottom"/>
            <w:tcBorders>
              <w:top w:val="single" w:sz="8" w:color="0000EE"/>
            </w:tcBorders>
            <w:gridSpan w:val="6"/>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41"/>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4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w w:val="98"/>
              </w:rPr>
              <w:t>OTHER INFORMATION</w:t>
            </w:r>
          </w:p>
        </w:tc>
        <w:tc>
          <w:tcPr>
            <w:tcW w:w="774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58">
              <w:r>
                <w:rPr>
                  <w:rFonts w:ascii="Arial" w:cs="Arial" w:eastAsia="Arial" w:hAnsi="Arial"/>
                  <w:sz w:val="18"/>
                  <w:szCs w:val="18"/>
                  <w:color w:val="0000EE"/>
                  <w:w w:val="96"/>
                </w:rPr>
                <w:t>Legal Proceedings</w:t>
              </w:r>
            </w:hyperlink>
          </w:p>
        </w:tc>
        <w:tc>
          <w:tcPr>
            <w:tcW w:w="8220" w:type="dxa"/>
            <w:vAlign w:val="bottom"/>
            <w:gridSpan w:val="17"/>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Risk Factors</w:t>
              </w:r>
            </w:hyperlink>
          </w:p>
        </w:tc>
        <w:tc>
          <w:tcPr>
            <w:tcW w:w="870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58">
              <w:r>
                <w:rPr>
                  <w:rFonts w:ascii="Arial" w:cs="Arial" w:eastAsia="Arial" w:hAnsi="Arial"/>
                  <w:sz w:val="18"/>
                  <w:szCs w:val="18"/>
                  <w:color w:val="0000EE"/>
                  <w:w w:val="97"/>
                </w:rPr>
                <w:t>Unregistered Sales of Equity Securities and Use of Proceeds</w:t>
              </w:r>
            </w:hyperlink>
          </w:p>
        </w:tc>
        <w:tc>
          <w:tcPr>
            <w:tcW w:w="49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91"/>
        </w:trPr>
        <w:tc>
          <w:tcPr>
            <w:tcW w:w="760" w:type="dxa"/>
            <w:vAlign w:val="bottom"/>
            <w:tcBorders>
              <w:bottom w:val="single" w:sz="8" w:color="0000EE"/>
            </w:tcBorders>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Signature</w:t>
              </w:r>
            </w:hyperlink>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3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6,530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6,396</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18,930</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3,978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3,908</w:t>
            </w:r>
          </w:p>
        </w:tc>
        <w:tc>
          <w:tcPr>
            <w:tcW w:w="1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11,529</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2,552</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2,488</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7,401</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1,552</w:t>
            </w:r>
          </w:p>
        </w:tc>
        <w:tc>
          <w:tcPr>
            <w:tcW w:w="18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4,254</w:t>
            </w:r>
          </w:p>
        </w:tc>
        <w:tc>
          <w:tcPr>
            <w:tcW w:w="3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Net gain on divestitures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(184)</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 net earnings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 earnings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 attributable to Mondelēz International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4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3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60" w:type="dxa"/>
            <w:vAlign w:val="bottom"/>
          </w:tcPr>
          <w:p>
            <w:pPr>
              <w:ind w:left="160"/>
              <w:spacing w:after="0" w:line="180" w:lineRule="exact"/>
              <w:rPr>
                <w:sz w:val="20"/>
                <w:szCs w:val="20"/>
                <w:color w:val="auto"/>
              </w:rPr>
            </w:pPr>
            <w:r>
              <w:rPr>
                <w:rFonts w:ascii="Arial" w:cs="Arial" w:eastAsia="Arial" w:hAnsi="Arial"/>
                <w:sz w:val="18"/>
                <w:szCs w:val="18"/>
                <w:color w:val="auto"/>
              </w:rPr>
              <w:t>Basic earnings per share attributable to</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Mondelēz International</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0.66</w:t>
            </w:r>
          </w:p>
        </w:tc>
        <w:tc>
          <w:tcPr>
            <w:tcW w:w="220" w:type="dxa"/>
            <w:vAlign w:val="bottom"/>
          </w:tcPr>
          <w:p>
            <w:pPr>
              <w:spacing w:after="0"/>
              <w:rPr>
                <w:sz w:val="19"/>
                <w:szCs w:val="19"/>
                <w:color w:val="auto"/>
              </w:rPr>
            </w:pP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3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shd w:val="clear" w:color="auto" w:fill="CCEEFF"/>
          </w:tcPr>
          <w:p>
            <w:pPr>
              <w:ind w:left="160"/>
              <w:spacing w:after="0" w:line="174" w:lineRule="exact"/>
              <w:rPr>
                <w:sz w:val="20"/>
                <w:szCs w:val="20"/>
                <w:color w:val="auto"/>
              </w:rPr>
            </w:pPr>
            <w:r>
              <w:rPr>
                <w:rFonts w:ascii="Arial" w:cs="Arial" w:eastAsia="Arial" w:hAnsi="Arial"/>
                <w:sz w:val="18"/>
                <w:szCs w:val="18"/>
                <w:color w:val="auto"/>
              </w:rPr>
              <w:t>Diluted earnings per share attributable to</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Mondelēz International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w:t>
            </w:r>
          </w:p>
        </w:tc>
        <w:tc>
          <w:tcPr>
            <w:tcW w:w="2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60"/>
              <w:spacing w:after="0"/>
              <w:rPr>
                <w:sz w:val="20"/>
                <w:szCs w:val="20"/>
                <w:color w:val="auto"/>
              </w:rPr>
            </w:pPr>
            <w:r>
              <w:rPr>
                <w:rFonts w:ascii="Arial" w:cs="Arial" w:eastAsia="Arial" w:hAnsi="Arial"/>
                <w:sz w:val="18"/>
                <w:szCs w:val="18"/>
                <w:color w:val="auto"/>
              </w:rPr>
              <w:t>Dividends declared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4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3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2,126</w:t>
            </w:r>
          </w:p>
        </w:tc>
        <w:tc>
          <w:tcPr>
            <w:tcW w:w="5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Other comprehensive earnings/(losses), net of tax:</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1,260</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 plans</w:t>
            </w:r>
          </w:p>
        </w:tc>
        <w:tc>
          <w:tcPr>
            <w:tcW w:w="18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 cash flow hedges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Total other comprehensive earnings/(losses)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1,301</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3,355</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tcPr>
          <w:p>
            <w:pPr>
              <w:ind w:left="160"/>
              <w:spacing w:after="0" w:line="180" w:lineRule="exact"/>
              <w:rPr>
                <w:sz w:val="20"/>
                <w:szCs w:val="20"/>
                <w:color w:val="auto"/>
              </w:rPr>
            </w:pPr>
            <w:r>
              <w:rPr>
                <w:rFonts w:ascii="Arial" w:cs="Arial" w:eastAsia="Arial" w:hAnsi="Arial"/>
                <w:sz w:val="18"/>
                <w:szCs w:val="18"/>
                <w:color w:val="auto"/>
              </w:rPr>
              <w:t>less: Comprehensive earnings/(losses) attributable to noncontrolling</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Comprehensive earnings attributable to</w:t>
            </w: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Mondelēz International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3,325</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844</w:t>
            </w:r>
          </w:p>
        </w:tc>
        <w:tc>
          <w:tcPr>
            <w:tcW w:w="640" w:type="dxa"/>
            <w:vAlign w:val="bottom"/>
          </w:tcPr>
          <w:p>
            <w:pPr>
              <w:spacing w:after="0"/>
              <w:rPr>
                <w:sz w:val="17"/>
                <w:szCs w:val="17"/>
                <w:color w:val="auto"/>
              </w:rPr>
            </w:pP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0" w:type="dxa"/>
            <w:vAlign w:val="bottom"/>
            <w:shd w:val="clear" w:color="auto" w:fill="CCEEFF"/>
          </w:tcPr>
          <w:p>
            <w:pPr>
              <w:ind w:left="160"/>
              <w:spacing w:after="0" w:line="180" w:lineRule="exact"/>
              <w:rPr>
                <w:sz w:val="20"/>
                <w:szCs w:val="20"/>
                <w:color w:val="auto"/>
              </w:rPr>
            </w:pPr>
            <w:r>
              <w:rPr>
                <w:rFonts w:ascii="Arial" w:cs="Arial" w:eastAsia="Arial" w:hAnsi="Arial"/>
                <w:sz w:val="18"/>
                <w:szCs w:val="18"/>
                <w:color w:val="auto"/>
              </w:rPr>
              <w:t>Trade receivables (net of allowances of $48 at September 30, 2017</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$58 at December 31, 2016)</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0" w:type="dxa"/>
            <w:vAlign w:val="bottom"/>
          </w:tcPr>
          <w:p>
            <w:pPr>
              <w:ind w:left="160"/>
              <w:spacing w:after="0" w:line="180" w:lineRule="exact"/>
              <w:rPr>
                <w:sz w:val="20"/>
                <w:szCs w:val="20"/>
                <w:color w:val="auto"/>
              </w:rPr>
            </w:pPr>
            <w:r>
              <w:rPr>
                <w:rFonts w:ascii="Arial" w:cs="Arial" w:eastAsia="Arial" w:hAnsi="Arial"/>
                <w:sz w:val="18"/>
                <w:szCs w:val="18"/>
                <w:color w:val="auto"/>
              </w:rPr>
              <w:t>Other receivables (net of allowances of $101 at September 30, 2017</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and $93 at December 31, 2016)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932</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8,155</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8,538</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21,071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18,638</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Prepaid pension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method investments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6,060</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63,291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1,164</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5,139</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Accrued marketing</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1,651</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employment costs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2,831</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16,035</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12,918</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Accrued pension costs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postretirement health care costs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1,496</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37,192</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328"/>
        </w:trPr>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8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0" w:type="dxa"/>
            <w:vAlign w:val="bottom"/>
          </w:tcPr>
          <w:p>
            <w:pPr>
              <w:ind w:left="160"/>
              <w:spacing w:after="0" w:line="180" w:lineRule="exact"/>
              <w:rPr>
                <w:sz w:val="20"/>
                <w:szCs w:val="20"/>
                <w:color w:val="auto"/>
              </w:rPr>
            </w:pPr>
            <w:r>
              <w:rPr>
                <w:rFonts w:ascii="Arial" w:cs="Arial" w:eastAsia="Arial" w:hAnsi="Arial"/>
                <w:sz w:val="18"/>
                <w:szCs w:val="18"/>
                <w:color w:val="auto"/>
              </w:rPr>
              <w:t>Common Stock, no par value (5,000,000,000 shares authorized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1,996,537,778 shares issued at September 30, 2017 and December 31, 2016)</w:t>
            </w:r>
          </w:p>
        </w:tc>
        <w:tc>
          <w:tcPr>
            <w:tcW w:w="220" w:type="dxa"/>
            <w:vAlign w:val="bottom"/>
          </w:tcPr>
          <w:p>
            <w:pPr>
              <w:spacing w:after="0"/>
              <w:rPr>
                <w:sz w:val="19"/>
                <w:szCs w:val="19"/>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31,886</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22,296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(9,917)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0" w:type="dxa"/>
            <w:vAlign w:val="bottom"/>
          </w:tcPr>
          <w:p>
            <w:pPr>
              <w:ind w:left="160"/>
              <w:spacing w:after="0" w:line="180" w:lineRule="exact"/>
              <w:rPr>
                <w:sz w:val="20"/>
                <w:szCs w:val="20"/>
                <w:color w:val="auto"/>
              </w:rPr>
            </w:pPr>
            <w:r>
              <w:rPr>
                <w:rFonts w:ascii="Arial" w:cs="Arial" w:eastAsia="Arial" w:hAnsi="Arial"/>
                <w:sz w:val="18"/>
                <w:szCs w:val="18"/>
                <w:color w:val="auto"/>
              </w:rPr>
              <w:t>Treasury stock, at cost (501,158,385 shares at September 30, 2017 and 468,172,237 shares at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December 31, 2016)</w:t>
            </w:r>
          </w:p>
        </w:tc>
        <w:tc>
          <w:tcPr>
            <w:tcW w:w="220" w:type="dxa"/>
            <w:vAlign w:val="bottom"/>
          </w:tcPr>
          <w:p>
            <w:pPr>
              <w:spacing w:after="0"/>
              <w:rPr>
                <w:sz w:val="20"/>
                <w:szCs w:val="2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(18,234)</w:t>
            </w:r>
          </w:p>
        </w:tc>
        <w:tc>
          <w:tcPr>
            <w:tcW w:w="2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26,031</w:t>
            </w:r>
          </w:p>
        </w:tc>
        <w:tc>
          <w:tcPr>
            <w:tcW w:w="6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26,099</w:t>
            </w:r>
          </w:p>
        </w:tc>
        <w:tc>
          <w:tcPr>
            <w:tcW w:w="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63,291</w:t>
            </w:r>
          </w:p>
        </w:tc>
        <w:tc>
          <w:tcPr>
            <w:tcW w:w="640" w:type="dxa"/>
            <w:vAlign w:val="bottom"/>
          </w:tcPr>
          <w:p>
            <w:pPr>
              <w:spacing w:after="0"/>
              <w:rPr>
                <w:sz w:val="24"/>
                <w:szCs w:val="24"/>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4"/>
                <w:szCs w:val="14"/>
                <w:b w:val="1"/>
                <w:bCs w:val="1"/>
                <w:color w:val="auto"/>
              </w:rPr>
              <w:t>Mondelēz International Shareholders’ Equity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83"/>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at January 1, 2016</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683"/>
              <w:spacing w:after="0" w:line="183" w:lineRule="exact"/>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31,760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20,700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(9,986)</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(14,462)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88</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28,100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Comprehensive earnings/(losses):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ind w:left="160"/>
              <w:spacing w:after="0" w:line="171" w:lineRule="exact"/>
              <w:rPr>
                <w:sz w:val="20"/>
                <w:szCs w:val="20"/>
                <w:color w:val="auto"/>
              </w:rPr>
            </w:pPr>
            <w:r>
              <w:rPr>
                <w:rFonts w:ascii="Arial" w:cs="Arial" w:eastAsia="Arial" w:hAnsi="Arial"/>
                <w:sz w:val="16"/>
                <w:szCs w:val="16"/>
                <w:color w:val="auto"/>
              </w:rPr>
              <w:t>Other comprehensive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ind w:left="320"/>
              <w:spacing w:after="0"/>
              <w:rPr>
                <w:sz w:val="20"/>
                <w:szCs w:val="20"/>
                <w:color w:val="auto"/>
              </w:rPr>
            </w:pPr>
            <w:r>
              <w:rPr>
                <w:rFonts w:ascii="Arial" w:cs="Arial" w:eastAsia="Arial" w:hAnsi="Arial"/>
                <w:sz w:val="16"/>
                <w:szCs w:val="16"/>
                <w:color w:val="auto"/>
              </w:rPr>
              <w:t>earnings/(losses), net of income</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Arial" w:cs="Arial" w:eastAsia="Arial" w:hAnsi="Arial"/>
                <w:sz w:val="16"/>
                <w:szCs w:val="16"/>
                <w:color w:val="auto"/>
              </w:rPr>
              <w:t>taxes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(1,136)</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Exercise of stock options and issuance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other stock awards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Cash dividends declared ($0.72 per</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line="171" w:lineRule="exact"/>
              <w:rPr>
                <w:sz w:val="20"/>
                <w:szCs w:val="20"/>
                <w:color w:val="auto"/>
              </w:rPr>
            </w:pPr>
            <w:r>
              <w:rPr>
                <w:rFonts w:ascii="Arial" w:cs="Arial" w:eastAsia="Arial" w:hAnsi="Arial"/>
                <w:sz w:val="16"/>
                <w:szCs w:val="16"/>
                <w:color w:val="auto"/>
              </w:rPr>
              <w:t>Dividends paid on noncontrolling</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Balances at December 31, 2016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31,847</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21,149</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6"/>
                <w:szCs w:val="16"/>
                <w:color w:val="auto"/>
              </w:rPr>
              <w:t>Comprehensive earnings/(losses):</w:t>
            </w: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earnings</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ind w:left="160"/>
              <w:spacing w:after="0" w:line="171" w:lineRule="exact"/>
              <w:rPr>
                <w:sz w:val="20"/>
                <w:szCs w:val="20"/>
                <w:color w:val="auto"/>
              </w:rPr>
            </w:pPr>
            <w:r>
              <w:rPr>
                <w:rFonts w:ascii="Arial" w:cs="Arial" w:eastAsia="Arial" w:hAnsi="Arial"/>
                <w:sz w:val="16"/>
                <w:szCs w:val="16"/>
                <w:color w:val="auto"/>
              </w:rPr>
              <w:t>Other comprehensive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ind w:left="320"/>
              <w:spacing w:after="0"/>
              <w:rPr>
                <w:sz w:val="20"/>
                <w:szCs w:val="20"/>
                <w:color w:val="auto"/>
              </w:rPr>
            </w:pPr>
            <w:r>
              <w:rPr>
                <w:rFonts w:ascii="Arial" w:cs="Arial" w:eastAsia="Arial" w:hAnsi="Arial"/>
                <w:sz w:val="16"/>
                <w:szCs w:val="16"/>
                <w:color w:val="auto"/>
              </w:rPr>
              <w:t>earnings/(losses), net of income</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ind w:left="320"/>
              <w:spacing w:after="0"/>
              <w:rPr>
                <w:sz w:val="20"/>
                <w:szCs w:val="20"/>
                <w:color w:val="auto"/>
              </w:rPr>
            </w:pPr>
            <w:r>
              <w:rPr>
                <w:rFonts w:ascii="Arial" w:cs="Arial" w:eastAsia="Arial" w:hAnsi="Arial"/>
                <w:sz w:val="16"/>
                <w:szCs w:val="16"/>
                <w:color w:val="auto"/>
              </w:rPr>
              <w:t>taxes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1,205</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Exercise of stock options and issuance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 other stock awards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Arial" w:cs="Arial" w:eastAsia="Arial" w:hAnsi="Arial"/>
                <w:sz w:val="16"/>
                <w:szCs w:val="16"/>
                <w:color w:val="auto"/>
              </w:rPr>
              <w:t>Common Stock repurchased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Cash dividends declared ($0.60 per</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line="171" w:lineRule="exact"/>
              <w:rPr>
                <w:sz w:val="20"/>
                <w:szCs w:val="20"/>
                <w:color w:val="auto"/>
              </w:rPr>
            </w:pPr>
            <w:r>
              <w:rPr>
                <w:rFonts w:ascii="Arial" w:cs="Arial" w:eastAsia="Arial" w:hAnsi="Arial"/>
                <w:sz w:val="16"/>
                <w:szCs w:val="16"/>
                <w:color w:val="auto"/>
              </w:rPr>
              <w:t>Dividends paid on noncontrolling</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6"/>
                <w:szCs w:val="16"/>
                <w:color w:val="auto"/>
              </w:rPr>
              <w:t>interest and other activities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Balances at September 30, 2017</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31,886</w:t>
            </w: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22,296</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(18,234)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140" w:right="40" w:hanging="335"/>
        <w:spacing w:after="0" w:line="266"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Noncontrolling interest as of September 30, 2016 was $68 million, as compared to $88 million as of January 1, 2016. The change of $(20) million during the nine months ended September 30, 2016 was due to $(27) million of dividends paid, $(3) million of other comprehensive losses, net of taxes offset by $10 million of net earnings.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PROVIDED BY/(USED IN) OPERATING ACTIVITIES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Net earnings</w:t>
            </w:r>
          </w:p>
        </w:tc>
        <w:tc>
          <w:tcPr>
            <w:tcW w:w="200" w:type="dxa"/>
            <w:vAlign w:val="bottom"/>
            <w:gridSpan w:val="2"/>
          </w:tcPr>
          <w:p>
            <w:pPr>
              <w:jc w:val="right"/>
              <w:ind w:right="25"/>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2,126</w:t>
            </w:r>
          </w:p>
        </w:tc>
        <w:tc>
          <w:tcPr>
            <w:tcW w:w="4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earnings to operating cash flows: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604</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 provision/(benefit)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77</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Asset impairments and accelerated depreciation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287</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Loss on early extinguishment of debt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Net gain on divestitures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(184)</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method investment net earnings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Distributions from equity method investments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143</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items,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 in assets and liabilities, net of acquisitions and divestitures: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Receivables,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520"/>
              <w:spacing w:after="0" w:line="202" w:lineRule="exact"/>
              <w:rPr>
                <w:sz w:val="20"/>
                <w:szCs w:val="20"/>
                <w:color w:val="auto"/>
              </w:rPr>
            </w:pPr>
            <w:r>
              <w:rPr>
                <w:rFonts w:ascii="Arial" w:cs="Arial" w:eastAsia="Arial" w:hAnsi="Arial"/>
                <w:sz w:val="18"/>
                <w:szCs w:val="18"/>
                <w:color w:val="auto"/>
              </w:rPr>
              <w:t>Inventories,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(236)</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68</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(604)</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340"/>
              <w:spacing w:after="0" w:line="202" w:lineRule="exact"/>
              <w:rPr>
                <w:sz w:val="20"/>
                <w:szCs w:val="20"/>
                <w:color w:val="auto"/>
              </w:rPr>
            </w:pPr>
            <w:r>
              <w:rPr>
                <w:rFonts w:ascii="Arial" w:cs="Arial" w:eastAsia="Arial" w:hAnsi="Arial"/>
                <w:sz w:val="18"/>
                <w:szCs w:val="18"/>
                <w:color w:val="auto"/>
              </w:rPr>
              <w:t>Change in pension and postretirement assets and liabilities,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(312)</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CASH PROVIDED BY/(USED IN) 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(721)</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divestitures, net of disbursements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516</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JDE coffee business transaction and divestiture, net of disbursements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 and other assets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420" w:type="dxa"/>
            <w:vAlign w:val="bottom"/>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CASH PROVIDED BY/(USED IN) FINANCING ACTIVITIES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Issuances of commercial paper, maturities greater than 90 days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1,375</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Repayments of commercial paper, maturities greater than 90 days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(1,681)</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issuances of other short-term borrowings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2,266</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Long-term debt proceeds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350</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 repaid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(1,468)</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(1,786)</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(869)</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(1,648)</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318"/>
        </w:trPr>
        <w:tc>
          <w:tcPr>
            <w:tcW w:w="88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20" w:type="dxa"/>
            <w:vAlign w:val="bottom"/>
            <w:gridSpan w:val="2"/>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tcPr>
          <w:p>
            <w:pPr>
              <w:ind w:left="160"/>
              <w:spacing w:after="0" w:line="202" w:lineRule="exact"/>
              <w:rPr>
                <w:sz w:val="20"/>
                <w:szCs w:val="20"/>
                <w:color w:val="auto"/>
              </w:rPr>
            </w:pPr>
            <w:r>
              <w:rPr>
                <w:rFonts w:ascii="Arial" w:cs="Arial" w:eastAsia="Arial" w:hAnsi="Arial"/>
                <w:sz w:val="18"/>
                <w:szCs w:val="18"/>
                <w:color w:val="auto"/>
              </w:rPr>
              <w:t>Decrease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(897)</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1,741</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w:t>
      </w:r>
    </w:p>
    <w:p>
      <w:pPr>
        <w:spacing w:after="0" w:line="14"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condensed consolidated financial statements include Mondelēz International, Inc. as well as our wholly owned and majority owned subsidiaries, except our Venezuelan subsidiaries. As of the close of the 2015 fiscal year, we deconsolidated and changed to the cost method of accounting for our Venezuelan operations. As such, for all periods presented, we have excluded the results of operations, financial position and cash flows of our Venezuelan subsidiaries from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Change:</w:t>
      </w:r>
    </w:p>
    <w:p>
      <w:pPr>
        <w:spacing w:after="0" w:line="1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a new Asia, Middle East and Africa (“AMEA”) operating segment. We have reflected the segment change as if it had occurred in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As of October 1, 2016, our operations and management structure were organized into four reportable operating segments:</w:t>
      </w:r>
    </w:p>
    <w:p>
      <w:pPr>
        <w:spacing w:after="0" w:line="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Latin America</w:t>
      </w:r>
    </w:p>
    <w:p>
      <w:pPr>
        <w:ind w:left="900" w:hanging="325"/>
        <w:spacing w:after="0" w:line="23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AMEA</w:t>
      </w:r>
    </w:p>
    <w:p>
      <w:pPr>
        <w:ind w:left="900" w:hanging="325"/>
        <w:spacing w:after="0" w:line="23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Europe</w:t>
      </w:r>
    </w:p>
    <w:p>
      <w:pPr>
        <w:ind w:left="900" w:hanging="325"/>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North America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15, </w:t>
      </w:r>
      <w:r>
        <w:rPr>
          <w:rFonts w:ascii="Arial" w:cs="Arial" w:eastAsia="Arial" w:hAnsi="Arial"/>
          <w:sz w:val="17"/>
          <w:szCs w:val="17"/>
          <w:i w:val="1"/>
          <w:iCs w:val="1"/>
          <w:color w:val="auto"/>
        </w:rPr>
        <w:t>Segment Reporting</w:t>
      </w:r>
      <w:r>
        <w:rPr>
          <w:rFonts w:ascii="Arial" w:cs="Arial" w:eastAsia="Arial" w:hAnsi="Arial"/>
          <w:sz w:val="17"/>
          <w:szCs w:val="17"/>
          <w:color w:val="auto"/>
        </w:rPr>
        <w:t>, for additional information on our segments.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2"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and realized exchange gains and losses on transactions in earnings.</w:t>
      </w:r>
    </w:p>
    <w:p>
      <w:pPr>
        <w:spacing w:after="0" w:line="175"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of September 30, 2017, none of our consolidated subsidiaries were subject to highly inflationary accounting.</w:t>
      </w:r>
    </w:p>
    <w:p>
      <w:pPr>
        <w:spacing w:after="0" w:line="171"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i w:val="1"/>
          <w:iCs w:val="1"/>
          <w:color w:val="auto"/>
        </w:rPr>
        <w:t xml:space="preserve">Argentina. </w:t>
      </w:r>
      <w:r>
        <w:rPr>
          <w:rFonts w:ascii="Arial" w:cs="Arial" w:eastAsia="Arial" w:hAnsi="Arial"/>
          <w:sz w:val="17"/>
          <w:szCs w:val="17"/>
          <w:color w:val="auto"/>
        </w:rPr>
        <w:t>We continue to closely monitor inflation and the potential for the economy to become highly inflationary for accounting purposes.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the Argentinian economy was not designated as highly inflationary. At this time, we continue to record currency translation adjustments within equity and realized exchange gains and losses on transactions in earnings. Our Argentinian operations contributed $152 million, or 2.3% of consolidated net revenues in the three months and $454 million, or 2.4% of consolidated net revenues in the nine months ended September 30, 2017, and our Argentinian operations had a net monetary liability position as of September 30, 2017.</w:t>
      </w:r>
    </w:p>
    <w:p>
      <w:pPr>
        <w:spacing w:after="0" w:line="176" w:lineRule="exact"/>
        <w:rPr>
          <w:sz w:val="20"/>
          <w:szCs w:val="20"/>
          <w:color w:val="auto"/>
        </w:rPr>
      </w:pPr>
    </w:p>
    <w:p>
      <w:pPr>
        <w:ind w:right="80"/>
        <w:spacing w:after="0"/>
        <w:rPr>
          <w:sz w:val="20"/>
          <w:szCs w:val="20"/>
          <w:color w:val="auto"/>
        </w:rPr>
      </w:pPr>
      <w:r>
        <w:rPr>
          <w:rFonts w:ascii="Arial" w:cs="Arial" w:eastAsia="Arial" w:hAnsi="Arial"/>
          <w:sz w:val="17"/>
          <w:szCs w:val="17"/>
          <w:i w:val="1"/>
          <w:iCs w:val="1"/>
          <w:color w:val="auto"/>
        </w:rPr>
        <w:t>Ukraine</w:t>
      </w:r>
      <w:r>
        <w:rPr>
          <w:rFonts w:ascii="Arial" w:cs="Arial" w:eastAsia="Arial" w:hAnsi="Arial"/>
          <w:sz w:val="17"/>
          <w:szCs w:val="17"/>
          <w:color w:val="auto"/>
        </w:rPr>
        <w:t>. Beginning in the second quarter of 2017, based on projected inflation data published by the National Bank of Ukraine, Ukraine’s three-year</w:t>
      </w:r>
      <w:r>
        <w:rPr>
          <w:rFonts w:ascii="Arial" w:cs="Arial" w:eastAsia="Arial" w:hAnsi="Arial"/>
          <w:sz w:val="17"/>
          <w:szCs w:val="17"/>
          <w:i w:val="1"/>
          <w:iCs w:val="1"/>
          <w:color w:val="auto"/>
        </w:rPr>
        <w:t xml:space="preserve"> </w:t>
      </w:r>
      <w:r>
        <w:rPr>
          <w:rFonts w:ascii="Arial" w:cs="Arial" w:eastAsia="Arial" w:hAnsi="Arial"/>
          <w:sz w:val="17"/>
          <w:szCs w:val="17"/>
          <w:color w:val="auto"/>
        </w:rPr>
        <w:t>cumulative inflation rate dropped below 100% and it is projected to stay below 100% for the rest of the year. As such, Ukraine is no longer designated highly inflationary and we continue to record currency translation adjustments within equity and realized exchange gains and losses on transactions in earnings. Our Ukrainian operations contributed $21 million, or 0.3%, of consolidated net revenues in the three months and $51 million, or 0.3% of consolidated net revenues in the nine months ended September 30, 2017, and our Ukrainian net monetary assets as of September 30, 2017 were not material.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in approximately 165 countries and have operations in over 80 countries, we monitor economic and currency-related risks and seek to take protective measures in response to these exposures. Some of the countries in which we do business have recently experienced periods of significant economic uncertainty. These include Brazil, China, Mexico, Russia, United Kingdom (Brexit), Turkey, Egypt, Nigeria and South Africa, most of which have had exchange rate volatility. We continue to monitor operations, currencies and net monetary exposures in these countries. At this time, we do not anticipate a risk to our operating results from changing to highly inflationary accounting in these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$1.0 billion. Under the program, we may sell eligible short-term trade receivables to the bank in exchange for cash. We then continue to collect the receivables sold, acting solely as a collecting agent on behalf of the bank. The outstanding principal amount of receivables under this arrangement amounted to $650 million as of September 30, 2017 and $644 million as of December 31, 2016.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August 2017, the Financial Accounting Standards Board (“FASB”) issued an Accounting Standards Update (“ASU”) to better align hedge accounting with an entity’s risk management activities and improve disclosures surrounding hedging.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are currently assessing the impact on our consolidated financial statements.</w:t>
      </w:r>
    </w:p>
    <w:p>
      <w:pPr>
        <w:spacing w:after="0" w:line="14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May 2017, the FASB issued an ASU to clarify when changes to the terms or conditions of a share-based payment award must be accounted for as modifications. The ASU is applied prospectively to awards that are modified on or after the adoption date. The ASU is effective for fiscal years beginning after December 15, 2017, with early adoption permitted. We do not anticipate a material impact to our consolidated financial statements.</w:t>
      </w:r>
    </w:p>
    <w:p>
      <w:pPr>
        <w:spacing w:after="0" w:line="130" w:lineRule="exact"/>
        <w:rPr>
          <w:sz w:val="20"/>
          <w:szCs w:val="20"/>
          <w:color w:val="auto"/>
        </w:rPr>
      </w:pPr>
    </w:p>
    <w:p>
      <w:pPr>
        <w:jc w:val="both"/>
        <w:ind w:right="260"/>
        <w:spacing w:after="0" w:line="245" w:lineRule="auto"/>
        <w:rPr>
          <w:sz w:val="20"/>
          <w:szCs w:val="20"/>
          <w:color w:val="auto"/>
        </w:rPr>
      </w:pPr>
      <w:r>
        <w:rPr>
          <w:rFonts w:ascii="Arial" w:cs="Arial" w:eastAsia="Arial" w:hAnsi="Arial"/>
          <w:sz w:val="18"/>
          <w:szCs w:val="18"/>
          <w:color w:val="auto"/>
        </w:rPr>
        <w:t>In March 2017, the FASB issued an ASU to amend the amortization period for certain purchased callable debt securities held at a premium, shortening the period to the earliest call date instead of the maturity date. The standard does not impact securities held at a discount as the discount continues to be amortized to maturity. The ASU is applied on a modified retrospective basis through a cumulative-effect adjustment directly to retained earnings as of the beginning of the period of adoption. The ASU is effective for fiscal years beginning after December 15, 2018, with early adoption permitted. We do not anticipate a material impact to our consolidated financial statements.</w:t>
      </w:r>
    </w:p>
    <w:p>
      <w:pPr>
        <w:spacing w:after="0" w:line="13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In March 2017, the FASB issued an ASU to improve the presentation of net periodic pension cost and net periodic postretirement benefit cost. The standard requires employers to disaggregate the service cost component from the other components of net benefit cost and disclose the amount and location where the net benefit cost is recorded in the income statement or capitalized in assets. The standard is to be applied on a retrospective basis for the change in presentation in the income statement and prospectively for the change in presentation on the balance sheet. The ASU is effective for fiscal years beginning after December 15, 2017, with early adoption permitted. We will adopt the standard on January 1, 2018. For information on our service cost and other components of net periodic benefit cost for pension, postretirement benefit and post-employment plans,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in this Form 10-Q and Note 9, </w:t>
      </w:r>
      <w:r>
        <w:rPr>
          <w:rFonts w:ascii="Arial" w:cs="Arial" w:eastAsia="Arial" w:hAnsi="Arial"/>
          <w:sz w:val="18"/>
          <w:szCs w:val="18"/>
          <w:i w:val="1"/>
          <w:iCs w:val="1"/>
          <w:color w:val="auto"/>
        </w:rPr>
        <w:t>Benefit Plans</w:t>
      </w:r>
      <w:r>
        <w:rPr>
          <w:rFonts w:ascii="Arial" w:cs="Arial" w:eastAsia="Arial" w:hAnsi="Arial"/>
          <w:sz w:val="18"/>
          <w:szCs w:val="18"/>
          <w:color w:val="auto"/>
        </w:rPr>
        <w:t>, to our consolidated financial statements in our Annual Report on Form 10-K for the fiscal year ended December 31, 2016.</w:t>
      </w:r>
    </w:p>
    <w:p>
      <w:pPr>
        <w:spacing w:after="0" w:line="15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January 2017, the FASB issued an ASU that clarifies the definition of a business with the objective of adding guidance to assist companies with evaluating whether transactions should be accounted for as acquisitions or disposals of assets or businesses. The definition of a business may affect many areas of accounting including acquisitions, disposals, goodwill and consolidation. The ASU is applied on a prospective basis and is effective for fiscal years beginning after December 15, 2017, with early adoption permitted. We continue to assess the ASU based on any pending or new transactions that may arise prior to the January 1, 2018 adoption date. At this time, we do not anticipate early adopting nor a material impact on our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November 2016, the FASB issued an ASU that requires the change in restricted cash or cash equivalents to be included with other changes in cash and cash equivalents in the statement of cash flows. The ASU is effective for fiscal years beginning after December 15, 2017, with early adoption permitted. We anticipate adopting this standard at the same time as the cash flow statement classification changes described below go into effect on January 1, 2018. This ASU is not expected to have a material impact on our consolidated statement of cash flows.</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October 2016, the FASB issued an ASU that requires the recognition of tax consequences of intercompany asset transfers other than inventory when the transfer occurs and removes the exception to postpone recognition until the asset has been sold to an outside party. The standard is to be applied on a modified retrospective basis through a cumulative-effect adjustment directly to retained earnings. The ASU is effective for fiscal years beginning after December 15, 2017, with early adoption permitted. We anticipate adopting on January 1, 2018 and do not expect the ASU to have a material impact on our consolidated financial statements.</w:t>
      </w:r>
    </w:p>
    <w:p>
      <w:pPr>
        <w:spacing w:after="0" w:line="13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August 2016, the FASB issued an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anticipate adopting this standard on January 1, 2018. This ASU is not expected to have a material impact on our consolidated financial statements.</w:t>
      </w:r>
    </w:p>
    <w:p>
      <w:pPr>
        <w:spacing w:after="0" w:line="13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continue to make progress in our due diligence and assess the impact of the new standard across our operations and on our consolidated financial statements, which will consist primarily of recording lease assets and liabilities on our balance sheet for our operating leases.</w:t>
      </w:r>
    </w:p>
    <w:p>
      <w:pPr>
        <w:spacing w:after="0" w:line="15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This ASU is not expected to have a material impact on our consolidated financial statements.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early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with early adoption permitted as of the original effective date (annual reporting periods beginning after December 15, 2016). The ASU may be applied retrospectively to historical periods presented or as a cumulative-effect adjustment as of the date of adoption. We plan to adopt the new standard on January 1, 2018 on a full retrospective basis. We are finalizing reviews and working on implementing the process, policy and disclosure changes that will go into effect on January 1, 2018. At this time, we do not expect a material financial impact from adopting the new revenue standards.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1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 xml:space="preserve">Certain amounts previously reported have been reclassified to conform to current-year presentation. In connection with the October 1, 2016 segment change described above, prior-period segment information was updated to reflect the new segment structure. See Note 5, </w:t>
      </w:r>
      <w:r>
        <w:rPr>
          <w:rFonts w:ascii="Arial" w:cs="Arial" w:eastAsia="Arial" w:hAnsi="Arial"/>
          <w:sz w:val="17"/>
          <w:szCs w:val="17"/>
          <w:i w:val="1"/>
          <w:iCs w:val="1"/>
          <w:color w:val="auto"/>
        </w:rPr>
        <w:t>Goodwill and 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Assets</w:t>
      </w:r>
      <w:r>
        <w:rPr>
          <w:rFonts w:ascii="Arial" w:cs="Arial" w:eastAsia="Arial" w:hAnsi="Arial"/>
          <w:sz w:val="17"/>
          <w:szCs w:val="17"/>
          <w:color w:val="auto"/>
        </w:rPr>
        <w:t>; Note 6,</w:t>
      </w:r>
      <w:r>
        <w:rPr>
          <w:rFonts w:ascii="Arial" w:cs="Arial" w:eastAsia="Arial" w:hAnsi="Arial"/>
          <w:sz w:val="17"/>
          <w:szCs w:val="17"/>
          <w:i w:val="1"/>
          <w:iCs w:val="1"/>
          <w:color w:val="auto"/>
        </w:rPr>
        <w:t xml:space="preserve"> 2014-2018 Restructuring Program; </w:t>
      </w:r>
      <w:r>
        <w:rPr>
          <w:rFonts w:ascii="Arial" w:cs="Arial" w:eastAsia="Arial" w:hAnsi="Arial"/>
          <w:sz w:val="17"/>
          <w:szCs w:val="17"/>
          <w:color w:val="auto"/>
        </w:rPr>
        <w:t>and Note 15,</w:t>
      </w:r>
      <w:r>
        <w:rPr>
          <w:rFonts w:ascii="Arial" w:cs="Arial" w:eastAsia="Arial" w:hAnsi="Arial"/>
          <w:sz w:val="17"/>
          <w:szCs w:val="17"/>
          <w:i w:val="1"/>
          <w:iCs w:val="1"/>
          <w:color w:val="auto"/>
        </w:rPr>
        <w:t xml:space="preserve"> Segment Reporting</w:t>
      </w:r>
      <w:r>
        <w:rPr>
          <w:rFonts w:ascii="Arial" w:cs="Arial" w:eastAsia="Arial" w:hAnsi="Arial"/>
          <w:sz w:val="17"/>
          <w:szCs w:val="17"/>
          <w:color w:val="auto"/>
        </w:rPr>
        <w:t>. We also reclassified certain amounts previously reported within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condensed consolidated statements of comprehensive earnings and Note 12, </w:t>
      </w:r>
      <w:r>
        <w:rPr>
          <w:rFonts w:ascii="Arial" w:cs="Arial" w:eastAsia="Arial" w:hAnsi="Arial"/>
          <w:sz w:val="17"/>
          <w:szCs w:val="17"/>
          <w:i w:val="1"/>
          <w:iCs w:val="1"/>
          <w:color w:val="auto"/>
        </w:rPr>
        <w:t>Reclassifications from Accumulated Other Comprehensive Income,</w:t>
      </w:r>
      <w:r>
        <w:rPr>
          <w:rFonts w:ascii="Arial" w:cs="Arial" w:eastAsia="Arial" w:hAnsi="Arial"/>
          <w:sz w:val="17"/>
          <w:szCs w:val="17"/>
          <w:color w:val="auto"/>
        </w:rPr>
        <w:t xml:space="preserve"> to be consistent with the current-year presentation.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JDE Coffee Business Transactions:</w:t>
      </w:r>
    </w:p>
    <w:p>
      <w:pPr>
        <w:spacing w:after="0" w:line="14"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 xml:space="preserve">On July 2, 2015, we completed transactions to combine our wholly owned coffee businesses with those of D.E Master Blenders 1753 B.V. (“DEMB”) to create a new company, Jacobs Douwe Egberts (“JDE”). Following the exchange of a portion of our investment in JDE for an interest in Keurig Green Mountain, Inc. (“Keurig”) in March 2016, we held a 26.5% equity interest in JDE. (See discussion under </w:t>
      </w:r>
      <w:r>
        <w:rPr>
          <w:rFonts w:ascii="Arial" w:cs="Arial" w:eastAsia="Arial" w:hAnsi="Arial"/>
          <w:sz w:val="17"/>
          <w:szCs w:val="17"/>
          <w:i w:val="1"/>
          <w:iCs w:val="1"/>
          <w:color w:val="auto"/>
        </w:rPr>
        <w:t>Keurig Transaction</w:t>
      </w:r>
      <w:r>
        <w:rPr>
          <w:rFonts w:ascii="Arial" w:cs="Arial" w:eastAsia="Arial" w:hAnsi="Arial"/>
          <w:sz w:val="17"/>
          <w:szCs w:val="17"/>
          <w:color w:val="auto"/>
        </w:rPr>
        <w:t xml:space="preserve"> below.) The remaining 73.5% equity interest in JDE was held by a subsidiary of Acorn Holdings B.V. (“AHBV,” owner of DEMB prior to July 2, 2015). Following the transactions discussed under </w:t>
      </w:r>
      <w:r>
        <w:rPr>
          <w:rFonts w:ascii="Arial" w:cs="Arial" w:eastAsia="Arial" w:hAnsi="Arial"/>
          <w:sz w:val="17"/>
          <w:szCs w:val="17"/>
          <w:i w:val="1"/>
          <w:iCs w:val="1"/>
          <w:color w:val="auto"/>
        </w:rPr>
        <w:t>JDE Stock-Based Compensation Arrangements</w:t>
      </w:r>
      <w:r>
        <w:rPr>
          <w:rFonts w:ascii="Arial" w:cs="Arial" w:eastAsia="Arial" w:hAnsi="Arial"/>
          <w:sz w:val="17"/>
          <w:szCs w:val="17"/>
          <w:color w:val="auto"/>
        </w:rPr>
        <w:t xml:space="preserve"> below, as of September 30, 2017, we hold a 26.5% voting interest, a</w:t>
      </w:r>
    </w:p>
    <w:p>
      <w:pPr>
        <w:spacing w:after="0" w:line="1"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26.4% ownership interest and a 26.2% profit and dividend sharing interest in JDE. We recorded $50 million of JDE equity earnings for three months and $88 million for the nine months ended September 30, 2017 and losses of $3 million for the three months and earnings of $89 million for the nine months ended September 30, 2016. We also recorded $49 million of cash dividends received during the first quarter of 2017.</w:t>
      </w:r>
    </w:p>
    <w:p>
      <w:pPr>
        <w:spacing w:after="0" w:line="13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July 5, 2016, we received an expected cash payment of $275 million from JDE to settle the receivable related to tax formation costs that were part of the initial sales price.</w:t>
      </w:r>
    </w:p>
    <w:p>
      <w:pPr>
        <w:spacing w:after="0" w:line="10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 xml:space="preserve">On July 19, 2016, the Supreme Court of Spain reached a final resolution on a challenged JDE tax position held by a predecessor DEMB company that resulted in an unfavorable tax expense of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114 million. As a result, our share of JDE’s equity earnings during the third quarter of 2016 was negatively affected by </w:t>
      </w:r>
      <w:r>
        <w:rPr>
          <w:rFonts w:ascii="Times New Roman" w:cs="Times New Roman" w:eastAsia="Times New Roman" w:hAnsi="Times New Roman"/>
          <w:sz w:val="17"/>
          <w:szCs w:val="17"/>
          <w:color w:val="auto"/>
        </w:rPr>
        <w:t>€</w:t>
      </w:r>
      <w:r>
        <w:rPr>
          <w:rFonts w:ascii="Arial" w:cs="Arial" w:eastAsia="Arial" w:hAnsi="Arial"/>
          <w:sz w:val="17"/>
          <w:szCs w:val="17"/>
          <w:color w:val="auto"/>
        </w:rPr>
        <w:t>30 million ($34 million as of September 30,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JDE Stock-Based Compensation Arrangements:</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and vested stock-based compensation awards granted to, JDE employees. Under these arrangements, share ownership dilution from the JDE Class C, D and E shareholders is limited to 2%. We retained our 26.5% voting rights and have a slightly lower portion of JDE’s profits and dividends than our shareholder ownership interest as certain employee shareholders receive a slightly larger share. Upon execution of the agreements and the creation of the Class C, D and E JDE shares, as a percentage of the total JDE issued shares, our Class B shares decreased from 26.5% to 26.4% and AHBV’s Class A shares decreased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On March 3, 2016, a subsidiary of AHBV completed a $13.9 billion acquisition of all of the outstanding common stock of Keurig through a merger transaction. On March 7, 2016, we exchanged with a subsidiary of AHBV a portion of our equity interest in JDE with a carrying value of </w:t>
      </w:r>
      <w:r>
        <w:rPr>
          <w:rFonts w:ascii="Times New Roman" w:cs="Times New Roman" w:eastAsia="Times New Roman" w:hAnsi="Times New Roman"/>
          <w:sz w:val="17"/>
          <w:szCs w:val="17"/>
          <w:color w:val="auto"/>
        </w:rPr>
        <w:t>€</w:t>
      </w:r>
      <w:r>
        <w:rPr>
          <w:rFonts w:ascii="Arial" w:cs="Arial" w:eastAsia="Arial" w:hAnsi="Arial"/>
          <w:sz w:val="17"/>
          <w:szCs w:val="17"/>
          <w:color w:val="auto"/>
        </w:rPr>
        <w:t>1.7 billion (approximately $2.0 billion as of March 7, 2016) for an interest in Keurig with a fair value of $2.0 billion based on the merger consideration per share for Keurig. We recorded the difference between the fair value of Keurig and our basis in JDE shares as a $43 million gain on the equity method investment exchange in March 2016. Immediately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September 30, 2017. The shareholder loan has a 5.5% interest rate and is payable at the end of a seven-year term on February 27, 2023. We recorded Keurig equity earnings, shareholder loan interest and dividends of $25 million, $6 million and $5 million during the three months and $54 million, $18 million and $11 million during the nine months ended September 30, 2017. In 2016, we recorded Keurig equity earnings, shareholder loan interest and dividends of $10 million, $6 million and $2 million during the three months and $39 million, $14 million and $4 million during the seven months ended September 30, 2016.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w:t>
      </w:r>
    </w:p>
    <w:p>
      <w:pPr>
        <w:spacing w:after="0" w:line="16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In connection with the 2012 spin-off of Kraft Foods Group, Inc. (now a part of The Kraft Heinz Company (“KHC”)), Kraft Foods Group and we each granted the other various licenses to use certain trademarks in connection with 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9 million ($11 million as of August 17, 2017) and on October 23, 2017, the second transaction closed and we received cash proceeds of </w:t>
      </w:r>
      <w:r>
        <w:rPr>
          <w:rFonts w:ascii="Times New Roman" w:cs="Times New Roman" w:eastAsia="Times New Roman" w:hAnsi="Times New Roman"/>
          <w:sz w:val="18"/>
          <w:szCs w:val="18"/>
          <w:color w:val="auto"/>
        </w:rPr>
        <w:t>€</w:t>
      </w:r>
      <w:r>
        <w:rPr>
          <w:rFonts w:ascii="Arial" w:cs="Arial" w:eastAsia="Arial" w:hAnsi="Arial"/>
          <w:sz w:val="18"/>
          <w:szCs w:val="18"/>
          <w:color w:val="auto"/>
        </w:rPr>
        <w:t>3 million ($3 million as of October 23, 2017). The gain on both transactions combined is expected to be immaterial.</w:t>
      </w:r>
    </w:p>
    <w:p>
      <w:pPr>
        <w:spacing w:after="0" w:line="13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and we expect to make a final working capital adjustment next quarter. We divested $27 million of current assets, $ 135 million of non-current assets and $4 million of current liabilities based on the July 4, 2017 exchange rate. We recorded a pre-tax gain of $247 million Australian dollars ($187 million as of July 4, 2017) on the sale during the three months ended September 30, 2017. We incurred divestiture-related costs of $2 million in the six months ended June 30, 2017. We also had a gain on a foreign currency hedge of $2 million in the three months and a net loss of $3 million in the nine months ended September 30, 2017.</w:t>
      </w:r>
    </w:p>
    <w:p>
      <w:pPr>
        <w:spacing w:after="0" w:line="13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On April 28, 2017, we completed the sale of several manufacturing facilities in France and the sale or license of several local confectionery brands. We received net cash of approximately </w:t>
      </w:r>
      <w:r>
        <w:rPr>
          <w:rFonts w:ascii="Times New Roman" w:cs="Times New Roman" w:eastAsia="Times New Roman" w:hAnsi="Times New Roman"/>
          <w:sz w:val="18"/>
          <w:szCs w:val="18"/>
          <w:color w:val="auto"/>
        </w:rPr>
        <w:t>€</w:t>
      </w:r>
      <w:r>
        <w:rPr>
          <w:rFonts w:ascii="Arial" w:cs="Arial" w:eastAsia="Arial" w:hAnsi="Arial"/>
          <w:sz w:val="18"/>
          <w:szCs w:val="18"/>
          <w:color w:val="auto"/>
        </w:rPr>
        <w:t>157 million ($ 169 million as of April 28, 2017), net of cash divested with the businesses. On April 28, 2017, we divested $44 million of current assets, $155 million of non-current assets, $8 million of current liabilities and $22 million of non-current liabilities based on the April 28, 2017 exchange rate. We recorded a $3 million loss on the sale during the three months ended June 30, 2017. We incurred divestiture-related costs of $1 million in the three months and $22 million in the nine months ended September 30, 2017 and no divestiture-related costs in the three months and $84 million in the nine months ended September 30, 2016. These costs were recorded within cost of sales and selling, general and administrative expenses of our Europe segment. In prior periods, we recorded a $5 million impairment charge in May 2016 for a candy trademark to reduce the overall net assets to the estimated net sales proceeds after transaction costs. On March 31, 2016, we recorded a $14 million impairment charge for another gum &amp; candy trademark as a portion of its carrying value would not be recoverable based on future cash flows expected under a planned license agreement with the buyer.</w:t>
      </w:r>
    </w:p>
    <w:p>
      <w:pPr>
        <w:spacing w:after="0" w:line="14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On November 2, 2016, we purchased from Burton’s Biscuit Company certain intangibles, which included the license to manufacture, market and sell Cadbury-branded biscuits in additional key markets around the world, including in the United Kingdom, France, Ireland, North America and Saudi Arabia. The transaction was accounted for as a business combination. Total cash paid for the acquired assets was £199 million ($245 million as of November 2, 2016). During the third quarter of 2017, we completed the valuation work and finalized the purchase price allocation of $66 million to definite-lived intangible assets, $173 million to goodwill, $2 million to property, plant and equipment and $4 million to inventory, reflecting a November 2, 2016 exchange rate.</w:t>
      </w:r>
    </w:p>
    <w:p>
      <w:pPr>
        <w:spacing w:after="0" w:line="1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On May 2, 2016, we completed the sale of certain local biscuit brands in Finland as part of our strategic decision to exit select small and local brands and shift investment toward our Power Brands. The sales price was </w:t>
      </w:r>
      <w:r>
        <w:rPr>
          <w:rFonts w:ascii="Times New Roman" w:cs="Times New Roman" w:eastAsia="Times New Roman" w:hAnsi="Times New Roman"/>
          <w:sz w:val="18"/>
          <w:szCs w:val="18"/>
          <w:color w:val="auto"/>
        </w:rPr>
        <w:t>€</w:t>
      </w:r>
      <w:r>
        <w:rPr>
          <w:rFonts w:ascii="Arial" w:cs="Arial" w:eastAsia="Arial" w:hAnsi="Arial"/>
          <w:sz w:val="18"/>
          <w:szCs w:val="18"/>
          <w:color w:val="auto"/>
        </w:rPr>
        <w:t>14 million ($16 million as of May 2, 2016) and we divested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$8 million of indefinite-lived intangible assets and less than $1 million of other assets. We received cash proceeds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12 million ($14 million as of May 2, 2016) upon closing and another </w:t>
      </w:r>
      <w:r>
        <w:rPr>
          <w:rFonts w:ascii="Times New Roman" w:cs="Times New Roman" w:eastAsia="Times New Roman" w:hAnsi="Times New Roman"/>
          <w:sz w:val="18"/>
          <w:szCs w:val="18"/>
          <w:color w:val="auto"/>
        </w:rPr>
        <w:t>€</w:t>
      </w:r>
      <w:r>
        <w:rPr>
          <w:rFonts w:ascii="Arial" w:cs="Arial" w:eastAsia="Arial" w:hAnsi="Arial"/>
          <w:sz w:val="18"/>
          <w:szCs w:val="18"/>
          <w:color w:val="auto"/>
        </w:rPr>
        <w:t>2 million ($2 million as of October 31, 2016) following the completion of post-closing requirements. The additional $2 million of consideration increased the pre-tax gain of $6 million recorded in the second quarter of 2016 to a total 2016 pre-tax gain of $8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third quarter of 2016, we sold property in North America that generated cash proceeds of $10 million and a pre-tax gain of $6 million and we sold a corporate aircraft hangar that generated cash proceeds of $ 3 million and a pre-tax gain of $ 1 million. In the second quarter of 2016, we also sold property within our North America segment and from our centrally held corporate assets. The North America sale generated cash proceeds of $40 million and a pre-tax gain of $33 million. The corporate aircraft sale generated cash proceeds of $20 million and a pre-tax gain of $6 million. The gains were recorded within selling, general and administrative expenses and cash proceeds were recorded in cash flows from other investing activities in the nine months ended September 30, 2016.</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7"/>
        </w:trPr>
        <w:tc>
          <w:tcPr>
            <w:tcW w:w="6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gridSpan w:val="4"/>
          </w:tcPr>
          <w:p>
            <w:pPr>
              <w:jc w:val="right"/>
              <w:ind w:right="135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Raw materials</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2" w:lineRule="exact"/>
              <w:rPr>
                <w:sz w:val="20"/>
                <w:szCs w:val="20"/>
                <w:color w:val="auto"/>
              </w:rPr>
            </w:pPr>
            <w:r>
              <w:rPr>
                <w:rFonts w:ascii="Arial" w:cs="Arial" w:eastAsia="Arial" w:hAnsi="Arial"/>
                <w:sz w:val="18"/>
                <w:szCs w:val="18"/>
                <w:color w:val="auto"/>
              </w:rPr>
              <w:t>Finished product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2,154</w:t>
            </w:r>
          </w:p>
        </w:tc>
        <w:tc>
          <w:tcPr>
            <w:tcW w:w="12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115"/>
        </w:trPr>
        <w:tc>
          <w:tcPr>
            <w:tcW w:w="60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2,918</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2" w:lineRule="exact"/>
              <w:rPr>
                <w:sz w:val="20"/>
                <w:szCs w:val="20"/>
                <w:color w:val="auto"/>
              </w:rPr>
            </w:pPr>
            <w:r>
              <w:rPr>
                <w:rFonts w:ascii="Arial" w:cs="Arial" w:eastAsia="Arial" w:hAnsi="Arial"/>
                <w:sz w:val="18"/>
                <w:szCs w:val="18"/>
                <w:color w:val="auto"/>
              </w:rPr>
              <w:t>Inventory reserves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 net</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2,781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0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06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 of September 30,</w:t>
            </w:r>
          </w:p>
        </w:tc>
        <w:tc>
          <w:tcPr>
            <w:tcW w:w="12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7"/>
        </w:trPr>
        <w:tc>
          <w:tcPr>
            <w:tcW w:w="6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gridSpan w:val="4"/>
          </w:tcPr>
          <w:p>
            <w:pPr>
              <w:jc w:val="right"/>
              <w:ind w:right="135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Land and land improvements</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2" w:lineRule="exact"/>
              <w:rPr>
                <w:sz w:val="20"/>
                <w:szCs w:val="20"/>
                <w:color w:val="auto"/>
              </w:rPr>
            </w:pPr>
            <w:r>
              <w:rPr>
                <w:rFonts w:ascii="Arial" w:cs="Arial" w:eastAsia="Arial" w:hAnsi="Arial"/>
                <w:sz w:val="18"/>
                <w:szCs w:val="18"/>
                <w:color w:val="auto"/>
              </w:rPr>
              <w:t>Buildings and building improvements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2,971</w:t>
            </w:r>
          </w:p>
        </w:tc>
        <w:tc>
          <w:tcPr>
            <w:tcW w:w="12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Machinery and equipment</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11,179</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10"/>
        </w:trPr>
        <w:tc>
          <w:tcPr>
            <w:tcW w:w="6060" w:type="dxa"/>
            <w:vAlign w:val="bottom"/>
          </w:tcPr>
          <w:p>
            <w:pPr>
              <w:ind w:left="540"/>
              <w:spacing w:after="0" w:line="202" w:lineRule="exact"/>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1,014</w:t>
            </w: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15,633</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03"/>
        </w:trPr>
        <w:tc>
          <w:tcPr>
            <w:tcW w:w="6060" w:type="dxa"/>
            <w:vAlign w:val="bottom"/>
          </w:tcPr>
          <w:p>
            <w:pPr>
              <w:ind w:left="540"/>
              <w:spacing w:after="0" w:line="202" w:lineRule="exact"/>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(7,095)</w:t>
            </w:r>
          </w:p>
        </w:tc>
        <w:tc>
          <w:tcPr>
            <w:tcW w:w="12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Property, plant and equipment, net</w:t>
            </w:r>
          </w:p>
        </w:tc>
        <w:tc>
          <w:tcPr>
            <w:tcW w:w="1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8,538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For the nine months ended September 30, 2017, capital expenditures of $721 million excluded $220 million of accrued capital expenditures remaining unpaid at September 30, 2017 and included payment for a portion of the $343 million of capital expenditures that were accrued and unpaid at December 31, 2016. For the nine months ended September 30, 2016, capital expenditures of $909 million excluded $274 million of accrued capital expenditures remaining unpaid at September 30, 2016 and included payment for $322 million of capital expenditures that were accrued and unpaid at December 31, 2015.</w:t>
      </w:r>
    </w:p>
    <w:p>
      <w:pPr>
        <w:spacing w:after="0" w:line="17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In connection with our restructuring program, we recorded non-cash asset write-downs (including accelerated depreciation and asset impairments) of $46 million in the three months and $164 million in the nine months ended September 30, 2017 and $120 million in the three months and $233 million in the nine months ended September 30, 2016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were recorded in the condensed consolidated statements of earnings within asset impairment and exit costs and in the segment results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6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5"/>
          </w:tcPr>
          <w:p>
            <w:pPr>
              <w:jc w:val="right"/>
              <w:ind w:right="130"/>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48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820" w:type="dxa"/>
            <w:vAlign w:val="bottom"/>
          </w:tcPr>
          <w:p>
            <w:pPr>
              <w:spacing w:after="0"/>
              <w:rPr>
                <w:sz w:val="13"/>
                <w:szCs w:val="13"/>
                <w:color w:val="auto"/>
              </w:rPr>
            </w:pPr>
          </w:p>
        </w:tc>
        <w:tc>
          <w:tcPr>
            <w:tcW w:w="1020" w:type="dxa"/>
            <w:vAlign w:val="bottom"/>
            <w:tcBorders>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6"/>
        </w:trPr>
        <w:tc>
          <w:tcPr>
            <w:tcW w:w="4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4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4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1020" w:type="dxa"/>
            <w:vAlign w:val="bottom"/>
            <w:shd w:val="clear" w:color="auto" w:fill="CCEEFF"/>
          </w:tcPr>
          <w:p>
            <w:pPr>
              <w:jc w:val="right"/>
              <w:ind w:right="837"/>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1040" w:type="dxa"/>
            <w:vAlign w:val="bottom"/>
            <w:shd w:val="clear" w:color="auto" w:fill="CCEEFF"/>
          </w:tcPr>
          <w:p>
            <w:pPr>
              <w:jc w:val="right"/>
              <w:ind w:right="856"/>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000" w:type="dxa"/>
            <w:vAlign w:val="bottom"/>
            <w:shd w:val="clear" w:color="auto" w:fill="CCEEFF"/>
          </w:tcPr>
          <w:p>
            <w:pPr>
              <w:jc w:val="right"/>
              <w:ind w:right="819"/>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160" w:type="dxa"/>
            <w:vAlign w:val="bottom"/>
            <w:gridSpan w:val="2"/>
            <w:shd w:val="clear" w:color="auto" w:fill="CCEEFF"/>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r>
      <w:tr>
        <w:trPr>
          <w:trHeight w:val="203"/>
        </w:trPr>
        <w:tc>
          <w:tcPr>
            <w:tcW w:w="4820" w:type="dxa"/>
            <w:vAlign w:val="bottom"/>
          </w:tcPr>
          <w:p>
            <w:pPr>
              <w:ind w:left="540"/>
              <w:spacing w:after="0" w:line="202" w:lineRule="exact"/>
              <w:rPr>
                <w:sz w:val="20"/>
                <w:szCs w:val="20"/>
                <w:color w:val="auto"/>
              </w:rPr>
            </w:pPr>
            <w:r>
              <w:rPr>
                <w:rFonts w:ascii="Arial" w:cs="Arial" w:eastAsia="Arial" w:hAnsi="Arial"/>
                <w:sz w:val="18"/>
                <w:szCs w:val="18"/>
                <w:color w:val="auto"/>
              </w:rPr>
              <w:t>AMEA</w:t>
            </w:r>
          </w:p>
        </w:tc>
        <w:tc>
          <w:tcPr>
            <w:tcW w:w="102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1040" w:type="dxa"/>
            <w:vAlign w:val="bottom"/>
          </w:tcPr>
          <w:p>
            <w:pPr>
              <w:spacing w:after="0"/>
              <w:rPr>
                <w:sz w:val="17"/>
                <w:szCs w:val="17"/>
                <w:color w:val="auto"/>
              </w:rPr>
            </w:pP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00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r>
      <w:tr>
        <w:trPr>
          <w:trHeight w:val="203"/>
        </w:trPr>
        <w:tc>
          <w:tcPr>
            <w:tcW w:w="4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Europe</w:t>
            </w:r>
          </w:p>
        </w:tc>
        <w:tc>
          <w:tcPr>
            <w:tcW w:w="10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w:t>
            </w:r>
          </w:p>
        </w:tc>
        <w:tc>
          <w:tcPr>
            <w:tcW w:w="10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w:t>
            </w:r>
          </w:p>
        </w:tc>
      </w:tr>
      <w:tr>
        <w:trPr>
          <w:trHeight w:val="203"/>
        </w:trPr>
        <w:tc>
          <w:tcPr>
            <w:tcW w:w="4820" w:type="dxa"/>
            <w:vAlign w:val="bottom"/>
          </w:tcPr>
          <w:p>
            <w:pPr>
              <w:ind w:left="540"/>
              <w:spacing w:after="0" w:line="202" w:lineRule="exact"/>
              <w:rPr>
                <w:sz w:val="20"/>
                <w:szCs w:val="20"/>
                <w:color w:val="auto"/>
              </w:rPr>
            </w:pPr>
            <w:r>
              <w:rPr>
                <w:rFonts w:ascii="Arial" w:cs="Arial" w:eastAsia="Arial" w:hAnsi="Arial"/>
                <w:sz w:val="18"/>
                <w:szCs w:val="18"/>
                <w:color w:val="auto"/>
              </w:rPr>
              <w:t>North America</w:t>
            </w:r>
          </w:p>
        </w:tc>
        <w:tc>
          <w:tcPr>
            <w:tcW w:w="102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040" w:type="dxa"/>
            <w:vAlign w:val="bottom"/>
          </w:tcPr>
          <w:p>
            <w:pPr>
              <w:spacing w:after="0"/>
              <w:rPr>
                <w:sz w:val="17"/>
                <w:szCs w:val="17"/>
                <w:color w:val="auto"/>
              </w:rPr>
            </w:pPr>
          </w:p>
        </w:tc>
        <w:tc>
          <w:tcPr>
            <w:tcW w:w="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59</w:t>
            </w:r>
          </w:p>
        </w:tc>
        <w:tc>
          <w:tcPr>
            <w:tcW w:w="1000" w:type="dxa"/>
            <w:vAlign w:val="bottom"/>
          </w:tcPr>
          <w:p>
            <w:pPr>
              <w:spacing w:after="0"/>
              <w:rPr>
                <w:sz w:val="17"/>
                <w:szCs w:val="17"/>
                <w:color w:val="auto"/>
              </w:rPr>
            </w:pPr>
          </w:p>
        </w:tc>
        <w:tc>
          <w:tcPr>
            <w:tcW w:w="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w:t>
            </w:r>
          </w:p>
        </w:tc>
      </w:tr>
      <w:tr>
        <w:trPr>
          <w:trHeight w:val="203"/>
        </w:trPr>
        <w:tc>
          <w:tcPr>
            <w:tcW w:w="4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Corporate</w:t>
            </w:r>
          </w:p>
        </w:tc>
        <w:tc>
          <w:tcPr>
            <w:tcW w:w="10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10"/>
        </w:trPr>
        <w:tc>
          <w:tcPr>
            <w:tcW w:w="4820" w:type="dxa"/>
            <w:vAlign w:val="bottom"/>
          </w:tcPr>
          <w:p>
            <w:pPr>
              <w:ind w:left="540"/>
              <w:spacing w:after="0"/>
              <w:rPr>
                <w:sz w:val="20"/>
                <w:szCs w:val="20"/>
                <w:color w:val="auto"/>
              </w:rPr>
            </w:pPr>
            <w:r>
              <w:rPr>
                <w:rFonts w:ascii="Arial" w:cs="Arial" w:eastAsia="Arial" w:hAnsi="Arial"/>
                <w:sz w:val="18"/>
                <w:szCs w:val="18"/>
                <w:color w:val="auto"/>
              </w:rPr>
              <w:t>Total non-cash asset write-downs</w:t>
            </w:r>
          </w:p>
        </w:tc>
        <w:tc>
          <w:tcPr>
            <w:tcW w:w="102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8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reflects our current segment structure for both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ind w:left="860"/>
              <w:spacing w:after="0" w:line="155" w:lineRule="exact"/>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3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947</w:t>
            </w:r>
          </w:p>
        </w:tc>
        <w:tc>
          <w:tcPr>
            <w:tcW w:w="4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3"/>
        </w:trPr>
        <w:tc>
          <w:tcPr>
            <w:tcW w:w="8260" w:type="dxa"/>
            <w:vAlign w:val="bottom"/>
          </w:tcPr>
          <w:p>
            <w:pPr>
              <w:ind w:left="540"/>
              <w:spacing w:after="0" w:line="202" w:lineRule="exact"/>
              <w:rPr>
                <w:sz w:val="20"/>
                <w:szCs w:val="20"/>
                <w:color w:val="auto"/>
              </w:rPr>
            </w:pPr>
            <w:r>
              <w:rPr>
                <w:rFonts w:ascii="Arial" w:cs="Arial" w:eastAsia="Arial" w:hAnsi="Arial"/>
                <w:sz w:val="18"/>
                <w:szCs w:val="18"/>
                <w:color w:val="auto"/>
              </w:rPr>
              <w:t>AMEA</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3,349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Europe</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03"/>
        </w:trPr>
        <w:tc>
          <w:tcPr>
            <w:tcW w:w="8260" w:type="dxa"/>
            <w:vAlign w:val="bottom"/>
          </w:tcPr>
          <w:p>
            <w:pPr>
              <w:ind w:left="540"/>
              <w:spacing w:after="0" w:line="202" w:lineRule="exact"/>
              <w:rPr>
                <w:sz w:val="20"/>
                <w:szCs w:val="20"/>
                <w:color w:val="auto"/>
              </w:rPr>
            </w:pPr>
            <w:r>
              <w:rPr>
                <w:rFonts w:ascii="Arial" w:cs="Arial" w:eastAsia="Arial" w:hAnsi="Arial"/>
                <w:sz w:val="18"/>
                <w:szCs w:val="18"/>
                <w:color w:val="auto"/>
              </w:rPr>
              <w:t>North America</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8,938</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21,071</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2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60" w:type="dxa"/>
            <w:vAlign w:val="bottom"/>
          </w:tcPr>
          <w:p>
            <w:pPr>
              <w:spacing w:after="0"/>
              <w:rPr>
                <w:sz w:val="24"/>
                <w:szCs w:val="2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As of September 30,</w:t>
            </w: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ind w:left="820"/>
              <w:spacing w:after="0" w:line="155" w:lineRule="exact"/>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Non-amortizable intangible assets</w:t>
            </w:r>
          </w:p>
        </w:tc>
        <w:tc>
          <w:tcPr>
            <w:tcW w:w="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17,625</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17,004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540"/>
              <w:spacing w:after="0" w:line="202" w:lineRule="exact"/>
              <w:rPr>
                <w:sz w:val="20"/>
                <w:szCs w:val="20"/>
                <w:color w:val="auto"/>
              </w:rPr>
            </w:pPr>
            <w:r>
              <w:rPr>
                <w:rFonts w:ascii="Arial" w:cs="Arial" w:eastAsia="Arial" w:hAnsi="Arial"/>
                <w:sz w:val="18"/>
                <w:szCs w:val="18"/>
                <w:color w:val="auto"/>
              </w:rPr>
              <w:t>Amortizable intangible assets</w:t>
            </w: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2,414</w:t>
            </w: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20,039</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60" w:type="dxa"/>
            <w:vAlign w:val="bottom"/>
          </w:tcPr>
          <w:p>
            <w:pPr>
              <w:ind w:left="540"/>
              <w:spacing w:after="0" w:line="202" w:lineRule="exact"/>
              <w:rPr>
                <w:sz w:val="20"/>
                <w:szCs w:val="20"/>
                <w:color w:val="auto"/>
              </w:rPr>
            </w:pPr>
            <w:r>
              <w:rPr>
                <w:rFonts w:ascii="Arial" w:cs="Arial" w:eastAsia="Arial" w:hAnsi="Arial"/>
                <w:sz w:val="18"/>
                <w:szCs w:val="18"/>
                <w:color w:val="auto"/>
              </w:rPr>
              <w:t>Accumulated amortization</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(1,401)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Intangible assets, net</w:t>
            </w:r>
          </w:p>
        </w:tc>
        <w:tc>
          <w:tcPr>
            <w:tcW w:w="340" w:type="dxa"/>
            <w:vAlign w:val="bottom"/>
            <w:tcBorders>
              <w:top w:val="single" w:sz="8" w:color="auto"/>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18,638</w:t>
            </w:r>
          </w:p>
        </w:tc>
        <w:tc>
          <w:tcPr>
            <w:tcW w:w="260" w:type="dxa"/>
            <w:vAlign w:val="bottom"/>
            <w:shd w:val="clear" w:color="auto" w:fill="CCEEFF"/>
          </w:tcPr>
          <w:p>
            <w:pPr>
              <w:spacing w:after="0"/>
              <w:rPr>
                <w:sz w:val="17"/>
                <w:szCs w:val="17"/>
                <w:color w:val="auto"/>
              </w:rPr>
            </w:pPr>
          </w:p>
        </w:tc>
        <w:tc>
          <w:tcPr>
            <w:tcW w:w="420" w:type="dxa"/>
            <w:vAlign w:val="bottom"/>
            <w:tcBorders>
              <w:top w:val="single" w:sz="8" w:color="auto"/>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September 30, 2017, the weighted-average life of our amortizable intangible assets was 13.6 years.</w:t>
      </w:r>
    </w:p>
    <w:p>
      <w:pPr>
        <w:spacing w:after="0" w:line="17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Amortization expense for intangible assets was $45 million for the three months and $133 million for the nine months ended September 30, 2017 and $44 million for the three months and $132 million for the nine months ended September 30, 2016. For the next five years, we currently estimate annual amortization expense of approximately $180 million for the next four years and approximately $90 million in year five, reflecting September 30, 2017 exchange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Intangible</w:t>
            </w:r>
          </w:p>
        </w:tc>
      </w:tr>
      <w:tr>
        <w:trPr>
          <w:trHeight w:val="177"/>
        </w:trPr>
        <w:tc>
          <w:tcPr>
            <w:tcW w:w="8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Assets, at cost</w:t>
            </w:r>
          </w:p>
        </w:tc>
      </w:tr>
      <w:tr>
        <w:trPr>
          <w:trHeight w:val="156"/>
        </w:trPr>
        <w:tc>
          <w:tcPr>
            <w:tcW w:w="8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right"/>
              <w:ind w:right="1034"/>
              <w:spacing w:after="0" w:line="155"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r>
      <w:tr>
        <w:trPr>
          <w:trHeight w:val="203"/>
        </w:trPr>
        <w:tc>
          <w:tcPr>
            <w:tcW w:w="8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240" w:type="dxa"/>
            <w:vAlign w:val="bottom"/>
            <w:gridSpan w:val="2"/>
            <w:shd w:val="clear" w:color="auto" w:fill="CCEEFF"/>
          </w:tcPr>
          <w:p>
            <w:pPr>
              <w:jc w:val="right"/>
              <w:ind w:right="65"/>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20,276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19,319</w:t>
            </w:r>
          </w:p>
        </w:tc>
      </w:tr>
      <w:tr>
        <w:trPr>
          <w:trHeight w:val="203"/>
        </w:trPr>
        <w:tc>
          <w:tcPr>
            <w:tcW w:w="8280" w:type="dxa"/>
            <w:vAlign w:val="bottom"/>
          </w:tcPr>
          <w:p>
            <w:pPr>
              <w:ind w:left="540"/>
              <w:spacing w:after="0" w:line="202" w:lineRule="exact"/>
              <w:rPr>
                <w:sz w:val="20"/>
                <w:szCs w:val="20"/>
                <w:color w:val="auto"/>
              </w:rPr>
            </w:pPr>
            <w:r>
              <w:rPr>
                <w:rFonts w:ascii="Arial" w:cs="Arial" w:eastAsia="Arial" w:hAnsi="Arial"/>
                <w:sz w:val="18"/>
                <w:szCs w:val="18"/>
                <w:color w:val="auto"/>
              </w:rPr>
              <w:t>Currency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120" w:type="dxa"/>
            <w:vAlign w:val="bottom"/>
          </w:tcPr>
          <w:p>
            <w:pPr>
              <w:spacing w:after="0"/>
              <w:rPr>
                <w:sz w:val="17"/>
                <w:szCs w:val="17"/>
                <w:color w:val="auto"/>
              </w:rPr>
            </w:pPr>
          </w:p>
        </w:tc>
      </w:tr>
      <w:tr>
        <w:trPr>
          <w:trHeight w:val="203"/>
        </w:trPr>
        <w:tc>
          <w:tcPr>
            <w:tcW w:w="8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Divestitures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w:t>
            </w:r>
          </w:p>
        </w:tc>
      </w:tr>
      <w:tr>
        <w:trPr>
          <w:trHeight w:val="203"/>
        </w:trPr>
        <w:tc>
          <w:tcPr>
            <w:tcW w:w="8280" w:type="dxa"/>
            <w:vAlign w:val="bottom"/>
          </w:tcPr>
          <w:p>
            <w:pPr>
              <w:ind w:left="540"/>
              <w:spacing w:after="0" w:line="202" w:lineRule="exact"/>
              <w:rPr>
                <w:sz w:val="20"/>
                <w:szCs w:val="20"/>
                <w:color w:val="auto"/>
              </w:rPr>
            </w:pPr>
            <w:r>
              <w:rPr>
                <w:rFonts w:ascii="Arial" w:cs="Arial" w:eastAsia="Arial" w:hAnsi="Arial"/>
                <w:sz w:val="18"/>
                <w:szCs w:val="18"/>
                <w:color w:val="auto"/>
              </w:rPr>
              <w:t>Acquisition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r>
      <w:tr>
        <w:trPr>
          <w:trHeight w:val="203"/>
        </w:trPr>
        <w:tc>
          <w:tcPr>
            <w:tcW w:w="8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Asset impairments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r>
      <w:tr>
        <w:trPr>
          <w:trHeight w:val="210"/>
        </w:trPr>
        <w:tc>
          <w:tcPr>
            <w:tcW w:w="8280" w:type="dxa"/>
            <w:vAlign w:val="bottom"/>
          </w:tcPr>
          <w:p>
            <w:pPr>
              <w:ind w:left="540"/>
              <w:spacing w:after="0"/>
              <w:rPr>
                <w:sz w:val="20"/>
                <w:szCs w:val="20"/>
                <w:color w:val="auto"/>
              </w:rPr>
            </w:pPr>
            <w:r>
              <w:rPr>
                <w:rFonts w:ascii="Arial" w:cs="Arial" w:eastAsia="Arial" w:hAnsi="Arial"/>
                <w:sz w:val="18"/>
                <w:szCs w:val="18"/>
                <w:color w:val="auto"/>
              </w:rPr>
              <w:t>Balance at September 30, 2017</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20,039</w:t>
            </w:r>
          </w:p>
        </w:tc>
        <w:tc>
          <w:tcPr>
            <w:tcW w:w="120" w:type="dxa"/>
            <w:vAlign w:val="bottom"/>
          </w:tcPr>
          <w:p>
            <w:pPr>
              <w:spacing w:after="0"/>
              <w:rPr>
                <w:sz w:val="18"/>
                <w:szCs w:val="18"/>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18" w:lineRule="exact"/>
        <w:rPr>
          <w:sz w:val="20"/>
          <w:szCs w:val="20"/>
          <w:color w:val="auto"/>
        </w:rPr>
      </w:pPr>
    </w:p>
    <w:p>
      <w:pPr>
        <w:ind w:left="900" w:right="200" w:hanging="325"/>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Divestitures – During 2017, we divested several manufacturing facilities, primarily in France, and as a result of the divestiture, $23 million of goodwill and $62 million of amortizable and non-amortizable intangible assets. In the third quarter, we also completed a sale of most of our grocery business in Australia and New Zealand resulting in a goodwill decrease of $86 million.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3" w:lineRule="exact"/>
        <w:rPr>
          <w:rFonts w:ascii="Arial" w:cs="Arial" w:eastAsia="Arial" w:hAnsi="Arial"/>
          <w:sz w:val="18"/>
          <w:szCs w:val="18"/>
          <w:color w:val="auto"/>
        </w:rPr>
      </w:pPr>
    </w:p>
    <w:p>
      <w:pPr>
        <w:ind w:left="900" w:right="100" w:hanging="325"/>
        <w:spacing w:after="0" w:line="24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Acquisition – During 2017, we recorded a $15 million adjustment to goodwill and a $7 million adjustment to indefinite lived assets in connection with finalizing the valuation and purchase price allocation for the Burton’s Biscuit Company purchase completed in the fourth quarter of 2016.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00" w:right="100" w:hanging="325"/>
        <w:spacing w:after="0" w:line="24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impairments – During the third quarter of 2017, we recorded $70 million of intangible asset impairments related to our annual testing of non-amortizable intangible assets as described further below and a $1 million impairment related to a transaction. During the second quarter of 2017, we recorded a $38 million intangible asset impairment charge resulting from a category decline and lower than expected product growth related to a gum trademark in our North America segment.</w:t>
      </w:r>
    </w:p>
    <w:p>
      <w:pPr>
        <w:spacing w:after="0" w:line="17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have historically annually tested goodwill and non-amortizable intangible assets for impairment as of October 1. This year, we voluntarily changed the annual impairment assessment date from October 1 to July 1. We believe this measurement date, which represents a change in the method of applying an accounting principle, is preferable because it better aligns with our strategic business planning process and financial forecasts which are key components of the annual impairment tests. The change in the measurement date did not delay, accelerate or prevent an impairment charge. Each quarter, we have evaluated goodwill and intangible asset impairment risks and recognized any related impairments to date. As such, the change in the annual test date was applied on July 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goodwill quantitative annual impairment testing, we compare a reporting unit’s estimated fair value with its carrying value to evaluate the risk of potential goodwill impairment.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7.2% to discount the projected cash flows of those operations. For our Latin America and AMEA reporting units, we used a risk-rated discount rate of 10.2%.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record an impairment based on the difference between the carrying value and fair value of the reporting unit.</w:t>
      </w:r>
    </w:p>
    <w:p>
      <w:pPr>
        <w:spacing w:after="0" w:line="18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2017 and 2016,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During our 2017 annual testing of non-amortizable intangible assets, we recorded $70 million of impairment charges in the third quarter of 2017 related to five trademarks. The impairments arose due to lower than expected product growth in part driven by decisions to redirect support from these trademarks to other regional and global brands. We recorded charges related to candy and gum trademarks of $52 million in AMEA, $11 million in Europe, $ 5 million in Latin America and $2 million in North America. The impairment charges were calculated as the excess of the carrying value over the estimated fair value of the intangible assets on a global basis and were recorded within asset impairment and exit costs. We primarily use a relief of royalty valuation method, which utilizes estimates of future sales, growth rates, royalty rates and discount rates in determining a brand’s global fair value. We also noted thirteen brands, including the five impaired trademarks, with $965 million of aggregate book value as of September 30, 2017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1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On May 6, 2014, our Board of Directors approved a $3.5 billion restructuring program and up to $2.2 billion of capital expenditures. On August 31, 2016, our Board of Directors approved a $600 million reallocation between restructuring program cash costs and capital expenditures so that now the $5.7 billion program consists of approximately $4.1 billion of restructuring program costs ($3.1 billion cash costs and $1 billion non-cash costs) and up to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$3.1 billion related to the 2014-2018 Restructuring Program. We expect to incur the full $4.1 billion of program charges by year-end 2018.</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18"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We recorded restructuring charges of $113 million in the three months and $418 million in the nine months ended September 30, 2017 and $187 million in the three months and $480 million in the nine months ended September 30, 2016 within asset impairment and exit costs. The 2014-2018 Restructuring Program liability activity for the nine months ended September 30, 2017 was: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and related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56"/>
        </w:trPr>
        <w:tc>
          <w:tcPr>
            <w:tcW w:w="7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66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7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balance, January 1, 2017</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7"/>
                <w:szCs w:val="17"/>
                <w:color w:val="auto"/>
              </w:rPr>
            </w:pPr>
          </w:p>
        </w:tc>
      </w:tr>
      <w:tr>
        <w:trPr>
          <w:trHeight w:val="203"/>
        </w:trPr>
        <w:tc>
          <w:tcPr>
            <w:tcW w:w="7140" w:type="dxa"/>
            <w:vAlign w:val="bottom"/>
          </w:tcPr>
          <w:p>
            <w:pPr>
              <w:ind w:left="720"/>
              <w:spacing w:after="0" w:line="202" w:lineRule="exact"/>
              <w:rPr>
                <w:sz w:val="20"/>
                <w:szCs w:val="20"/>
                <w:color w:val="auto"/>
              </w:rPr>
            </w:pPr>
            <w:r>
              <w:rPr>
                <w:rFonts w:ascii="Arial" w:cs="Arial" w:eastAsia="Arial" w:hAnsi="Arial"/>
                <w:sz w:val="18"/>
                <w:szCs w:val="18"/>
                <w:color w:val="auto"/>
              </w:rPr>
              <w:t>Charges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168</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418</w:t>
            </w:r>
          </w:p>
        </w:tc>
        <w:tc>
          <w:tcPr>
            <w:tcW w:w="120" w:type="dxa"/>
            <w:vAlign w:val="bottom"/>
          </w:tcPr>
          <w:p>
            <w:pPr>
              <w:spacing w:after="0"/>
              <w:rPr>
                <w:sz w:val="17"/>
                <w:szCs w:val="17"/>
                <w:color w:val="auto"/>
              </w:rPr>
            </w:pPr>
          </w:p>
        </w:tc>
      </w:tr>
      <w:tr>
        <w:trPr>
          <w:trHeight w:val="203"/>
        </w:trPr>
        <w:tc>
          <w:tcPr>
            <w:tcW w:w="7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spent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(245)</w:t>
            </w:r>
          </w:p>
        </w:tc>
      </w:tr>
      <w:tr>
        <w:trPr>
          <w:trHeight w:val="203"/>
        </w:trPr>
        <w:tc>
          <w:tcPr>
            <w:tcW w:w="7140" w:type="dxa"/>
            <w:vAlign w:val="bottom"/>
          </w:tcPr>
          <w:p>
            <w:pPr>
              <w:ind w:left="720"/>
              <w:spacing w:after="0" w:line="202" w:lineRule="exact"/>
              <w:rPr>
                <w:sz w:val="20"/>
                <w:szCs w:val="20"/>
                <w:color w:val="auto"/>
              </w:rPr>
            </w:pPr>
            <w:r>
              <w:rPr>
                <w:rFonts w:ascii="Arial" w:cs="Arial" w:eastAsia="Arial" w:hAnsi="Arial"/>
                <w:sz w:val="18"/>
                <w:szCs w:val="18"/>
                <w:color w:val="auto"/>
              </w:rPr>
              <w:t>Non-cash settlements/adjustments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(168)</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(174)</w:t>
            </w:r>
          </w:p>
        </w:tc>
      </w:tr>
      <w:tr>
        <w:trPr>
          <w:trHeight w:val="203"/>
        </w:trPr>
        <w:tc>
          <w:tcPr>
            <w:tcW w:w="7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r>
      <w:tr>
        <w:trPr>
          <w:trHeight w:val="210"/>
        </w:trPr>
        <w:tc>
          <w:tcPr>
            <w:tcW w:w="7140" w:type="dxa"/>
            <w:vAlign w:val="bottom"/>
          </w:tcPr>
          <w:p>
            <w:pPr>
              <w:ind w:left="540"/>
              <w:spacing w:after="0"/>
              <w:rPr>
                <w:sz w:val="20"/>
                <w:szCs w:val="20"/>
                <w:color w:val="auto"/>
              </w:rPr>
            </w:pPr>
            <w:r>
              <w:rPr>
                <w:rFonts w:ascii="Arial" w:cs="Arial" w:eastAsia="Arial" w:hAnsi="Arial"/>
                <w:sz w:val="18"/>
                <w:szCs w:val="18"/>
                <w:color w:val="auto"/>
              </w:rPr>
              <w:t>Liability balance, September 30, 2017</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 xml:space="preserve">We spent $83 million in the three months and $245 million in the nine months ended September 30, 2017 and $89 million in the three months and $249 million in the nine months ended September 30, 2016 in cash severance and related costs. We also recognized non-cash pension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$48 million in the three months and $174 million in the nine months ended September 30, 2017 and $120 million in the three months and $244 million in the nine months ended September 30, 2016. At September 30, 2017, $431 million of our net restructuring liability was recorded within other current liabilities and $62 million was recorded within other long-term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$62 million in the three months and $179 million in the nine months ended September 30, 2017 and $114 million in the three months and $286 million in the nine months ended September 30, 2016. We recorded these costs within cost of sales and general corporate expense within selling, general and administrative expenses.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Restructuring and Implementation Costs in Operating Income:</w:t>
      </w:r>
    </w:p>
    <w:p>
      <w:pPr>
        <w:spacing w:after="0" w:line="23" w:lineRule="exact"/>
        <w:rPr>
          <w:sz w:val="20"/>
          <w:szCs w:val="20"/>
          <w:color w:val="auto"/>
        </w:rPr>
      </w:pPr>
    </w:p>
    <w:p>
      <w:pPr>
        <w:ind w:right="440"/>
        <w:spacing w:after="0" w:line="265" w:lineRule="auto"/>
        <w:rPr>
          <w:sz w:val="20"/>
          <w:szCs w:val="20"/>
          <w:color w:val="auto"/>
        </w:rPr>
      </w:pPr>
      <w:r>
        <w:rPr>
          <w:rFonts w:ascii="Arial" w:cs="Arial" w:eastAsia="Arial" w:hAnsi="Arial"/>
          <w:sz w:val="16"/>
          <w:szCs w:val="16"/>
          <w:color w:val="auto"/>
        </w:rPr>
        <w:t>During the three and nine months ended September 30, 2017 and September 30, 2016, and since inception of the 2014-2018 Restructuring Program, we recorded restructuring and implementation costs within operating income by segment (as revised to reflect our current segment structure)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40"/>
              <w:spacing w:after="0"/>
              <w:rPr>
                <w:sz w:val="20"/>
                <w:szCs w:val="20"/>
                <w:color w:val="auto"/>
              </w:rPr>
            </w:pPr>
            <w:r>
              <w:rPr>
                <w:rFonts w:ascii="Arial" w:cs="Arial" w:eastAsia="Arial" w:hAnsi="Arial"/>
                <w:sz w:val="14"/>
                <w:szCs w:val="14"/>
                <w:b w:val="1"/>
                <w:bCs w:val="1"/>
                <w:color w:val="auto"/>
              </w:rPr>
              <w:t>Latin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North</w:t>
            </w:r>
          </w:p>
        </w:tc>
        <w:tc>
          <w:tcPr>
            <w:tcW w:w="140" w:type="dxa"/>
            <w:vAlign w:val="bottom"/>
          </w:tcPr>
          <w:p>
            <w:pPr>
              <w:spacing w:after="0"/>
              <w:rPr>
                <w:sz w:val="14"/>
                <w:szCs w:val="14"/>
                <w:color w:val="auto"/>
              </w:rPr>
            </w:pPr>
          </w:p>
        </w:tc>
        <w:tc>
          <w:tcPr>
            <w:tcW w:w="13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24"/>
                <w:szCs w:val="24"/>
                <w:b w:val="1"/>
                <w:bCs w:val="1"/>
                <w:color w:val="auto"/>
                <w:vertAlign w:val="superscript"/>
              </w:rPr>
              <w:t>(2)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auto"/>
              </w:rPr>
              <w:t>America</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5"/>
                <w:szCs w:val="15"/>
                <w:color w:val="auto"/>
              </w:rPr>
            </w:pPr>
          </w:p>
        </w:tc>
        <w:tc>
          <w:tcPr>
            <w:tcW w:w="1020" w:type="dxa"/>
            <w:vAlign w:val="bottom"/>
            <w:gridSpan w:val="2"/>
          </w:tcPr>
          <w:p>
            <w:pPr>
              <w:jc w:val="center"/>
              <w:ind w:right="240"/>
              <w:spacing w:after="0" w:line="181"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1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b w:val="1"/>
                <w:bCs w:val="1"/>
                <w:color w:val="auto"/>
              </w:rPr>
              <w:t>For the Three Months Ended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September 30,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80"/>
              <w:spacing w:after="0"/>
              <w:rPr>
                <w:sz w:val="20"/>
                <w:szCs w:val="20"/>
                <w:color w:val="auto"/>
              </w:rPr>
            </w:pPr>
            <w:r>
              <w:rPr>
                <w:rFonts w:ascii="Arial" w:cs="Arial" w:eastAsia="Arial" w:hAnsi="Arial"/>
                <w:sz w:val="16"/>
                <w:szCs w:val="16"/>
                <w:color w:val="auto"/>
              </w:rPr>
              <w:t>Restructuring Costs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4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Implementation Costs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6"/>
        </w:trPr>
        <w:tc>
          <w:tcPr>
            <w:tcW w:w="3960" w:type="dxa"/>
            <w:vAlign w:val="bottom"/>
          </w:tcPr>
          <w:p>
            <w:pPr>
              <w:ind w:left="48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b w:val="1"/>
                <w:bCs w:val="1"/>
                <w:color w:val="auto"/>
              </w:rPr>
              <w:t>For the Nine Months Ended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September 30,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80"/>
              <w:spacing w:after="0"/>
              <w:rPr>
                <w:sz w:val="20"/>
                <w:szCs w:val="20"/>
                <w:color w:val="auto"/>
              </w:rPr>
            </w:pPr>
            <w:r>
              <w:rPr>
                <w:rFonts w:ascii="Arial" w:cs="Arial" w:eastAsia="Arial" w:hAnsi="Arial"/>
                <w:sz w:val="16"/>
                <w:szCs w:val="16"/>
                <w:color w:val="auto"/>
              </w:rPr>
              <w:t>Restructuring Costs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4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79</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Implementation Costs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96"/>
        </w:trPr>
        <w:tc>
          <w:tcPr>
            <w:tcW w:w="3960" w:type="dxa"/>
            <w:vAlign w:val="bottom"/>
          </w:tcPr>
          <w:p>
            <w:pPr>
              <w:ind w:left="48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480"/>
              <w:spacing w:after="0" w:line="169" w:lineRule="exact"/>
              <w:rPr>
                <w:sz w:val="20"/>
                <w:szCs w:val="20"/>
                <w:color w:val="auto"/>
              </w:rPr>
            </w:pPr>
            <w:r>
              <w:rPr>
                <w:rFonts w:ascii="Arial" w:cs="Arial" w:eastAsia="Arial" w:hAnsi="Arial"/>
                <w:sz w:val="16"/>
                <w:szCs w:val="16"/>
                <w:b w:val="1"/>
                <w:bCs w:val="1"/>
                <w:color w:val="auto"/>
              </w:rPr>
              <w:t>For the Three Months Ended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September 30, 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80"/>
              <w:spacing w:after="0"/>
              <w:rPr>
                <w:sz w:val="20"/>
                <w:szCs w:val="20"/>
                <w:color w:val="auto"/>
              </w:rPr>
            </w:pPr>
            <w:r>
              <w:rPr>
                <w:rFonts w:ascii="Arial" w:cs="Arial" w:eastAsia="Arial" w:hAnsi="Arial"/>
                <w:sz w:val="16"/>
                <w:szCs w:val="16"/>
                <w:color w:val="auto"/>
              </w:rPr>
              <w:t>Restructuring Costs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4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75</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Implementation Costs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96"/>
        </w:trPr>
        <w:tc>
          <w:tcPr>
            <w:tcW w:w="3960" w:type="dxa"/>
            <w:vAlign w:val="bottom"/>
          </w:tcPr>
          <w:p>
            <w:pPr>
              <w:ind w:left="48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960" w:type="dxa"/>
            <w:vAlign w:val="bottom"/>
            <w:shd w:val="clear" w:color="auto" w:fill="CCEEFF"/>
          </w:tcPr>
          <w:p>
            <w:pPr>
              <w:ind w:left="500"/>
              <w:spacing w:after="0" w:line="169" w:lineRule="exact"/>
              <w:rPr>
                <w:sz w:val="20"/>
                <w:szCs w:val="20"/>
                <w:color w:val="auto"/>
              </w:rPr>
            </w:pPr>
            <w:r>
              <w:rPr>
                <w:rFonts w:ascii="Arial" w:cs="Arial" w:eastAsia="Arial" w:hAnsi="Arial"/>
                <w:sz w:val="16"/>
                <w:szCs w:val="16"/>
                <w:b w:val="1"/>
                <w:bCs w:val="1"/>
                <w:color w:val="auto"/>
              </w:rPr>
              <w:t>For the Nine Months Ended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660"/>
              <w:spacing w:after="0"/>
              <w:rPr>
                <w:sz w:val="20"/>
                <w:szCs w:val="20"/>
                <w:color w:val="auto"/>
              </w:rPr>
            </w:pPr>
            <w:r>
              <w:rPr>
                <w:rFonts w:ascii="Arial" w:cs="Arial" w:eastAsia="Arial" w:hAnsi="Arial"/>
                <w:sz w:val="16"/>
                <w:szCs w:val="16"/>
                <w:b w:val="1"/>
                <w:bCs w:val="1"/>
                <w:color w:val="auto"/>
              </w:rPr>
              <w:t>September 30, 2016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80"/>
              <w:spacing w:after="0"/>
              <w:rPr>
                <w:sz w:val="20"/>
                <w:szCs w:val="20"/>
                <w:color w:val="auto"/>
              </w:rPr>
            </w:pPr>
            <w:r>
              <w:rPr>
                <w:rFonts w:ascii="Arial" w:cs="Arial" w:eastAsia="Arial" w:hAnsi="Arial"/>
                <w:sz w:val="16"/>
                <w:szCs w:val="16"/>
                <w:color w:val="auto"/>
              </w:rPr>
              <w:t>Restructuring Costs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4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144</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Implementation Costs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96"/>
        </w:trPr>
        <w:tc>
          <w:tcPr>
            <w:tcW w:w="3960" w:type="dxa"/>
            <w:vAlign w:val="bottom"/>
          </w:tcPr>
          <w:p>
            <w:pPr>
              <w:ind w:left="480"/>
              <w:spacing w:after="0"/>
              <w:rPr>
                <w:sz w:val="20"/>
                <w:szCs w:val="20"/>
                <w:color w:val="auto"/>
              </w:rPr>
            </w:pPr>
            <w:r>
              <w:rPr>
                <w:rFonts w:ascii="Arial" w:cs="Arial" w:eastAsia="Arial" w:hAnsi="Arial"/>
                <w:sz w:val="16"/>
                <w:szCs w:val="16"/>
                <w:color w:val="auto"/>
              </w:rPr>
              <w:t>Total</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480"/>
              <w:spacing w:after="0" w:line="189" w:lineRule="exact"/>
              <w:rPr>
                <w:sz w:val="20"/>
                <w:szCs w:val="20"/>
                <w:color w:val="auto"/>
              </w:rPr>
            </w:pPr>
            <w:r>
              <w:rPr>
                <w:rFonts w:ascii="Arial" w:cs="Arial" w:eastAsia="Arial" w:hAnsi="Arial"/>
                <w:sz w:val="13"/>
                <w:szCs w:val="13"/>
                <w:b w:val="1"/>
                <w:bCs w:val="1"/>
                <w:color w:val="auto"/>
              </w:rPr>
              <w:t xml:space="preserve">Total Project 2014-2017 </w:t>
            </w:r>
            <w:r>
              <w:rPr>
                <w:rFonts w:ascii="Arial" w:cs="Arial" w:eastAsia="Arial" w:hAnsi="Arial"/>
                <w:sz w:val="21"/>
                <w:szCs w:val="21"/>
                <w:color w:val="auto"/>
                <w:vertAlign w:val="superscript"/>
              </w:rPr>
              <w:t>(3)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480"/>
              <w:spacing w:after="0"/>
              <w:rPr>
                <w:sz w:val="20"/>
                <w:szCs w:val="20"/>
                <w:color w:val="auto"/>
              </w:rPr>
            </w:pPr>
            <w:r>
              <w:rPr>
                <w:rFonts w:ascii="Arial" w:cs="Arial" w:eastAsia="Arial" w:hAnsi="Arial"/>
                <w:sz w:val="16"/>
                <w:szCs w:val="16"/>
                <w:color w:val="auto"/>
              </w:rPr>
              <w:t>Restructuring Costs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413</w:t>
            </w:r>
          </w:p>
        </w:tc>
        <w:tc>
          <w:tcPr>
            <w:tcW w:w="4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413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798</w:t>
            </w:r>
          </w:p>
        </w:tc>
        <w:tc>
          <w:tcPr>
            <w:tcW w:w="2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433</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Implementation Costs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233</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196"/>
        </w:trPr>
        <w:tc>
          <w:tcPr>
            <w:tcW w:w="3960" w:type="dxa"/>
            <w:vAlign w:val="bottom"/>
          </w:tcPr>
          <w:p>
            <w:pPr>
              <w:ind w:left="48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140" w:right="60" w:hanging="335"/>
        <w:spacing w:after="0" w:line="255" w:lineRule="auto"/>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2017 and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w:t>
      </w:r>
    </w:p>
    <w:p>
      <w:pPr>
        <w:ind w:left="1140" w:hanging="335"/>
        <w:spacing w:after="0"/>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September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Short-Term Borrowings: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Our short-term borrowings and related weighted-average interest rates consisted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As of September 30, 2017</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 2016</w:t>
            </w:r>
          </w:p>
        </w:tc>
      </w:tr>
      <w:tr>
        <w:trPr>
          <w:trHeight w:val="140"/>
        </w:trPr>
        <w:tc>
          <w:tcPr>
            <w:tcW w:w="4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660"/>
              <w:spacing w:after="0" w:line="141"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41"/>
              <w:spacing w:after="0" w:line="141" w:lineRule="exact"/>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680"/>
              <w:spacing w:after="0" w:line="141"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41"/>
              <w:spacing w:after="0" w:line="141"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r>
      <w:tr>
        <w:trPr>
          <w:trHeight w:val="177"/>
        </w:trPr>
        <w:tc>
          <w:tcPr>
            <w:tcW w:w="4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Outstanding</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Average Rate</w:t>
            </w:r>
          </w:p>
        </w:tc>
        <w:tc>
          <w:tcPr>
            <w:tcW w:w="300" w:type="dxa"/>
            <w:vAlign w:val="bottom"/>
          </w:tcPr>
          <w:p>
            <w:pPr>
              <w:spacing w:after="0"/>
              <w:rPr>
                <w:sz w:val="15"/>
                <w:szCs w:val="15"/>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Outstanding</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Average Rate</w:t>
            </w:r>
          </w:p>
        </w:tc>
      </w:tr>
      <w:tr>
        <w:trPr>
          <w:trHeight w:val="196"/>
        </w:trPr>
        <w:tc>
          <w:tcPr>
            <w:tcW w:w="4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41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9"/>
        </w:trPr>
        <w:tc>
          <w:tcPr>
            <w:tcW w:w="41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Commercial paper</w:t>
            </w:r>
          </w:p>
        </w:tc>
        <w:tc>
          <w:tcPr>
            <w:tcW w:w="1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4,370</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w:t>
            </w: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2,371</w:t>
            </w: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r>
      <w:tr>
        <w:trPr>
          <w:trHeight w:val="189"/>
        </w:trPr>
        <w:tc>
          <w:tcPr>
            <w:tcW w:w="4140" w:type="dxa"/>
            <w:vAlign w:val="bottom"/>
          </w:tcPr>
          <w:p>
            <w:pPr>
              <w:ind w:left="520"/>
              <w:spacing w:after="0" w:line="189" w:lineRule="exact"/>
              <w:rPr>
                <w:sz w:val="20"/>
                <w:szCs w:val="20"/>
                <w:color w:val="auto"/>
              </w:rPr>
            </w:pPr>
            <w:r>
              <w:rPr>
                <w:rFonts w:ascii="Arial" w:cs="Arial" w:eastAsia="Arial" w:hAnsi="Arial"/>
                <w:sz w:val="17"/>
                <w:szCs w:val="17"/>
                <w:color w:val="auto"/>
              </w:rPr>
              <w:t>Bank loans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181</w:t>
            </w:r>
          </w:p>
        </w:tc>
        <w:tc>
          <w:tcPr>
            <w:tcW w:w="124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10.6%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160</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10.6%</w:t>
            </w:r>
          </w:p>
        </w:tc>
      </w:tr>
      <w:tr>
        <w:trPr>
          <w:trHeight w:val="27"/>
        </w:trPr>
        <w:tc>
          <w:tcPr>
            <w:tcW w:w="4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1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Total short-term borrowings</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4,551</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2,531</w:t>
            </w: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As of September 30, 2017, commercial paper issued and outstanding had between 2 and 66 days remaining to maturity. Commercial paper borrowings increased since year-end primarily as a result of issuances to finance the payment of long-term debt maturities, dividend payments and share repurchases during the year.</w:t>
      </w:r>
    </w:p>
    <w:p>
      <w:pPr>
        <w:spacing w:after="0" w:line="124"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Some of our international subsidiaries maintain primarily uncommitted credit lines to meet short-term working capital needs. Collectively, these credit lines amounted to $1.9 billion at September 30, 2017 and $1.8 billion at December 31, 2016. Borrowings on these lines were $181 million at September 30, 2017 and $160 million at December 31, 2016.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 Arrangements: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On March 1, 2017, to supplement our commercial paper program, we entered into a $1.5 billion revolving credit agreement for a 364-day senior unsecured credit facility that is scheduled to expire on February 28, 2018. The agreement includes the same terms and conditions as our existing $4.5 billion multi-year credit facility discussed below. As of September 30, 2017, no amounts were drawn on the facility.</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September 30, 2017, we complied with this covenant as our shareholders’ equity, as defined by the covenant, was $35.9 billion. The revolving credit facility agreement also contains customary representations, covenants and events of default. There are no credit rating triggers, provisions or other financial covenants that could require us to post collateral as security. As of September 30, 2017, no amounts were drawn on the facility.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Debt:</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On April 12, 2017, we discharged $488 million of our 6.500% U.S. dollar-denominated debt. We paid $504 million, representing principal as well as past and future interest accruals from February 2017 through the August 2017 maturity date. We recorded an $11 million loss on debt extinguishment within interest expense and a $5 million reduction in accrued interest.</w:t>
      </w:r>
    </w:p>
    <w:p>
      <w:pPr>
        <w:spacing w:after="0" w:line="13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 xml:space="preserve">On March 30, 2017, </w:t>
      </w:r>
      <w:r>
        <w:rPr>
          <w:rFonts w:ascii="Arial" w:cs="Arial" w:eastAsia="Arial" w:hAnsi="Arial"/>
          <w:sz w:val="17"/>
          <w:szCs w:val="17"/>
          <w:i w:val="1"/>
          <w:iCs w:val="1"/>
          <w:color w:val="auto"/>
        </w:rPr>
        <w:t>fr.</w:t>
      </w:r>
      <w:r>
        <w:rPr>
          <w:rFonts w:ascii="Arial" w:cs="Arial" w:eastAsia="Arial" w:hAnsi="Arial"/>
          <w:sz w:val="17"/>
          <w:szCs w:val="17"/>
          <w:color w:val="auto"/>
        </w:rPr>
        <w:t xml:space="preserve">175 million of our 0.000% Swiss franc-denominated notes matured. The notes and accrued interest to date were paid with net proceeds from the </w:t>
      </w:r>
      <w:r>
        <w:rPr>
          <w:rFonts w:ascii="Arial" w:cs="Arial" w:eastAsia="Arial" w:hAnsi="Arial"/>
          <w:sz w:val="17"/>
          <w:szCs w:val="17"/>
          <w:i w:val="1"/>
          <w:iCs w:val="1"/>
          <w:color w:val="auto"/>
        </w:rPr>
        <w:t>fr</w:t>
      </w:r>
      <w:r>
        <w:rPr>
          <w:rFonts w:ascii="Arial" w:cs="Arial" w:eastAsia="Arial" w:hAnsi="Arial"/>
          <w:sz w:val="17"/>
          <w:szCs w:val="17"/>
          <w:color w:val="auto"/>
        </w:rPr>
        <w:t>.350 million Swiss franc-denominated notes issued on March 13, 2017.</w:t>
      </w:r>
    </w:p>
    <w:p>
      <w:pPr>
        <w:spacing w:after="0" w:line="106"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 xml:space="preserve">On March 13, 2017, we launched an offering of </w:t>
      </w:r>
      <w:r>
        <w:rPr>
          <w:rFonts w:ascii="Arial" w:cs="Arial" w:eastAsia="Arial" w:hAnsi="Arial"/>
          <w:sz w:val="17"/>
          <w:szCs w:val="17"/>
          <w:i w:val="1"/>
          <w:iCs w:val="1"/>
          <w:color w:val="auto"/>
        </w:rPr>
        <w:t>fr</w:t>
      </w:r>
      <w:r>
        <w:rPr>
          <w:rFonts w:ascii="Arial" w:cs="Arial" w:eastAsia="Arial" w:hAnsi="Arial"/>
          <w:sz w:val="17"/>
          <w:szCs w:val="17"/>
          <w:color w:val="auto"/>
        </w:rPr>
        <w:t>.350 million of Swiss franc-denominated notes, or $349 million in U.S. dollars as of March 31, 2017, consisting of:</w:t>
      </w:r>
    </w:p>
    <w:p>
      <w:pPr>
        <w:ind w:left="900" w:hanging="325"/>
        <w:spacing w:after="0" w:line="233"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fr</w:t>
      </w:r>
      <w:r>
        <w:rPr>
          <w:rFonts w:ascii="Arial" w:cs="Arial" w:eastAsia="Arial" w:hAnsi="Arial"/>
          <w:sz w:val="17"/>
          <w:szCs w:val="17"/>
          <w:color w:val="auto"/>
        </w:rPr>
        <w:t>.225 million (or $224 million) of 0.050% fixed rate notes that mature on March 30, 2020</w:t>
      </w:r>
    </w:p>
    <w:p>
      <w:pPr>
        <w:ind w:left="900" w:hanging="325"/>
        <w:spacing w:after="0" w:line="232"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fr</w:t>
      </w:r>
      <w:r>
        <w:rPr>
          <w:rFonts w:ascii="Arial" w:cs="Arial" w:eastAsia="Arial" w:hAnsi="Arial"/>
          <w:sz w:val="17"/>
          <w:szCs w:val="17"/>
          <w:color w:val="auto"/>
        </w:rPr>
        <w:t>.125 million (or $125 million) of 0.617% fixed rate notes that mature on September 30, 2024</w:t>
      </w:r>
    </w:p>
    <w:p>
      <w:pPr>
        <w:spacing w:after="0"/>
        <w:rPr>
          <w:sz w:val="20"/>
          <w:szCs w:val="20"/>
          <w:color w:val="auto"/>
        </w:rPr>
      </w:pPr>
      <w:r>
        <w:rPr>
          <w:rFonts w:ascii="Arial" w:cs="Arial" w:eastAsia="Arial" w:hAnsi="Arial"/>
          <w:sz w:val="17"/>
          <w:szCs w:val="17"/>
          <w:color w:val="auto"/>
        </w:rPr>
        <w:t xml:space="preserve">On March 30, 2017, we received net proceeds of </w:t>
      </w:r>
      <w:r>
        <w:rPr>
          <w:rFonts w:ascii="Arial" w:cs="Arial" w:eastAsia="Arial" w:hAnsi="Arial"/>
          <w:sz w:val="17"/>
          <w:szCs w:val="17"/>
          <w:i w:val="1"/>
          <w:iCs w:val="1"/>
          <w:color w:val="auto"/>
        </w:rPr>
        <w:t>fr.</w:t>
      </w:r>
      <w:r>
        <w:rPr>
          <w:rFonts w:ascii="Arial" w:cs="Arial" w:eastAsia="Arial" w:hAnsi="Arial"/>
          <w:sz w:val="17"/>
          <w:szCs w:val="17"/>
          <w:color w:val="auto"/>
        </w:rPr>
        <w:t>349 million (or $349 million) that were used for general corporate purposes.</w:t>
      </w:r>
    </w:p>
    <w:p>
      <w:pPr>
        <w:spacing w:after="0" w:line="161"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color w:val="auto"/>
        </w:rPr>
        <w:t xml:space="preserve">On January 26, 2017, </w:t>
      </w:r>
      <w:r>
        <w:rPr>
          <w:rFonts w:ascii="Times New Roman" w:cs="Times New Roman" w:eastAsia="Times New Roman" w:hAnsi="Times New Roman"/>
          <w:sz w:val="17"/>
          <w:szCs w:val="17"/>
          <w:color w:val="auto"/>
        </w:rPr>
        <w:t>€</w:t>
      </w:r>
      <w:r>
        <w:rPr>
          <w:rFonts w:ascii="Arial" w:cs="Arial" w:eastAsia="Arial" w:hAnsi="Arial"/>
          <w:sz w:val="17"/>
          <w:szCs w:val="17"/>
          <w:color w:val="auto"/>
        </w:rPr>
        <w:t>750 million of our 1.125% euro-denominated notes matured. The notes and accrued interest to date were paid with the issuance of commercial paper and cash on hand.</w:t>
      </w:r>
    </w:p>
    <w:p>
      <w:pPr>
        <w:spacing w:after="0" w:line="9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weighted-average interest rate on our total debt was 2.0% as of September 30, 2017 and 2.2% as of December 31, 2016, down from 3.7% as of December 31, 2015.</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Our Debt: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our short-term borrowings at September 30, 2017 and December 31, 2016 reflects current market interest rates and approximates the</w:t>
      </w:r>
    </w:p>
    <w:p>
      <w:pPr>
        <w:spacing w:after="0" w:line="232" w:lineRule="auto"/>
        <w:rPr>
          <w:sz w:val="20"/>
          <w:szCs w:val="20"/>
          <w:color w:val="auto"/>
        </w:rPr>
      </w:pPr>
      <w:r>
        <w:rPr>
          <w:rFonts w:ascii="Arial" w:cs="Arial" w:eastAsia="Arial" w:hAnsi="Arial"/>
          <w:sz w:val="17"/>
          <w:szCs w:val="17"/>
          <w:color w:val="auto"/>
        </w:rPr>
        <w:t>amounts we have recorded on our condensed consolidated balance sheets. The fair value of our long-term debt was determined using quoted prices in</w:t>
      </w:r>
    </w:p>
    <w:p>
      <w:pPr>
        <w:spacing w:after="0" w:line="232" w:lineRule="auto"/>
        <w:rPr>
          <w:sz w:val="20"/>
          <w:szCs w:val="20"/>
          <w:color w:val="auto"/>
        </w:rPr>
      </w:pPr>
      <w:r>
        <w:rPr>
          <w:rFonts w:ascii="Arial" w:cs="Arial" w:eastAsia="Arial" w:hAnsi="Arial"/>
          <w:sz w:val="17"/>
          <w:szCs w:val="17"/>
          <w:color w:val="auto"/>
        </w:rPr>
        <w:t>active markets (Level 1 valuation data) for the publicly traded debt obligations. At September 30, 2017, the aggregate fair value of our total debt was</w:t>
      </w:r>
    </w:p>
    <w:p>
      <w:pPr>
        <w:spacing w:after="0" w:line="232" w:lineRule="auto"/>
        <w:rPr>
          <w:sz w:val="20"/>
          <w:szCs w:val="20"/>
          <w:color w:val="auto"/>
        </w:rPr>
      </w:pPr>
      <w:r>
        <w:rPr>
          <w:rFonts w:ascii="Arial" w:cs="Arial" w:eastAsia="Arial" w:hAnsi="Arial"/>
          <w:sz w:val="17"/>
          <w:szCs w:val="17"/>
          <w:color w:val="auto"/>
        </w:rPr>
        <w:t>$19,367 million and its carrying value was $18,633 million. At December 31, 2016, the aggregate fair value of our total debt was $17,882 million and its</w:t>
      </w:r>
    </w:p>
    <w:p>
      <w:pPr>
        <w:spacing w:after="0"/>
        <w:rPr>
          <w:sz w:val="20"/>
          <w:szCs w:val="20"/>
          <w:color w:val="auto"/>
        </w:rPr>
      </w:pPr>
      <w:r>
        <w:rPr>
          <w:rFonts w:ascii="Arial" w:cs="Arial" w:eastAsia="Arial" w:hAnsi="Arial"/>
          <w:sz w:val="17"/>
          <w:szCs w:val="17"/>
          <w:color w:val="auto"/>
        </w:rPr>
        <w:t>carrying value was $17,199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expense, net within our results of continuing operations consisted of:</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4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96"/>
        </w:trPr>
        <w:tc>
          <w:tcPr>
            <w:tcW w:w="4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4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43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expense, debt</w:t>
            </w:r>
          </w:p>
        </w:tc>
        <w:tc>
          <w:tcPr>
            <w:tcW w:w="178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89</w:t>
            </w:r>
          </w:p>
        </w:tc>
        <w:tc>
          <w:tcPr>
            <w:tcW w:w="9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295</w:t>
            </w:r>
          </w:p>
        </w:tc>
        <w:tc>
          <w:tcPr>
            <w:tcW w:w="5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w:t>
            </w:r>
          </w:p>
        </w:tc>
      </w:tr>
      <w:tr>
        <w:trPr>
          <w:trHeight w:val="203"/>
        </w:trPr>
        <w:tc>
          <w:tcPr>
            <w:tcW w:w="4380" w:type="dxa"/>
            <w:vAlign w:val="bottom"/>
          </w:tcPr>
          <w:p>
            <w:pPr>
              <w:ind w:left="540"/>
              <w:spacing w:after="0" w:line="202" w:lineRule="exact"/>
              <w:rPr>
                <w:sz w:val="20"/>
                <w:szCs w:val="20"/>
                <w:color w:val="auto"/>
              </w:rPr>
            </w:pPr>
            <w:r>
              <w:rPr>
                <w:rFonts w:ascii="Arial" w:cs="Arial" w:eastAsia="Arial" w:hAnsi="Arial"/>
                <w:sz w:val="18"/>
                <w:szCs w:val="18"/>
                <w:color w:val="auto"/>
              </w:rPr>
              <w:t>Loss on debt extinguishment</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Loss related to interest rate swaps</w:t>
            </w:r>
          </w:p>
        </w:tc>
        <w:tc>
          <w:tcPr>
            <w:tcW w:w="1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4380" w:type="dxa"/>
            <w:vAlign w:val="bottom"/>
          </w:tcPr>
          <w:p>
            <w:pPr>
              <w:ind w:left="540"/>
              <w:spacing w:after="0" w:line="202" w:lineRule="exact"/>
              <w:rPr>
                <w:sz w:val="20"/>
                <w:szCs w:val="20"/>
                <w:color w:val="auto"/>
              </w:rPr>
            </w:pPr>
            <w:r>
              <w:rPr>
                <w:rFonts w:ascii="Arial" w:cs="Arial" w:eastAsia="Arial" w:hAnsi="Arial"/>
                <w:sz w:val="18"/>
                <w:szCs w:val="18"/>
                <w:color w:val="auto"/>
              </w:rPr>
              <w:t>Other (income)/expense, net</w:t>
            </w: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and other expense, net</w:t>
            </w:r>
          </w:p>
        </w:tc>
        <w:tc>
          <w:tcPr>
            <w:tcW w:w="178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262</w:t>
            </w:r>
          </w:p>
        </w:tc>
        <w:tc>
          <w:tcPr>
            <w:tcW w:w="5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540</w:t>
            </w:r>
          </w:p>
        </w:tc>
      </w:tr>
      <w:tr>
        <w:trPr>
          <w:trHeight w:val="20"/>
        </w:trPr>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380" w:type="dxa"/>
            <w:vAlign w:val="bottom"/>
          </w:tcPr>
          <w:p>
            <w:pPr>
              <w:spacing w:after="0"/>
              <w:rPr>
                <w:sz w:val="24"/>
                <w:szCs w:val="24"/>
                <w:color w:val="auto"/>
              </w:rPr>
            </w:pPr>
          </w:p>
        </w:tc>
        <w:tc>
          <w:tcPr>
            <w:tcW w:w="1780" w:type="dxa"/>
            <w:vAlign w:val="bottom"/>
            <w:gridSpan w:val="2"/>
          </w:tcPr>
          <w:p>
            <w:pPr>
              <w:jc w:val="right"/>
              <w:ind w:right="268"/>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loss related to U.S. dollar interest rate swaps no longer designated as accounting cash flow hedges during the first quarter of 2016.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information on the $59 million of other income recorded in connection with the resolution of a Brazilian indirect tax matter and the reversal of related accrued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September 30, 2017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 2016</w:t>
            </w:r>
          </w:p>
        </w:tc>
      </w:tr>
      <w:tr>
        <w:trPr>
          <w:trHeight w:val="140"/>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60"/>
              <w:spacing w:after="0" w:line="141" w:lineRule="exact"/>
              <w:rPr>
                <w:sz w:val="20"/>
                <w:szCs w:val="20"/>
                <w:color w:val="auto"/>
              </w:rPr>
            </w:pPr>
            <w:r>
              <w:rPr>
                <w:rFonts w:ascii="Arial" w:cs="Arial" w:eastAsia="Arial" w:hAnsi="Arial"/>
                <w:sz w:val="14"/>
                <w:szCs w:val="14"/>
                <w:b w:val="1"/>
                <w:bCs w:val="1"/>
                <w:color w:val="auto"/>
              </w:rPr>
              <w:t>Asset</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9"/>
              </w:rPr>
              <w:t>Asset</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33"/>
              <w:spacing w:after="0" w:line="141"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2"/>
                <w:szCs w:val="12"/>
                <w:color w:val="auto"/>
              </w:rPr>
            </w:pPr>
          </w:p>
        </w:tc>
      </w:tr>
      <w:tr>
        <w:trPr>
          <w:trHeight w:val="177"/>
        </w:trPr>
        <w:tc>
          <w:tcPr>
            <w:tcW w:w="4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Derivatives</w:t>
            </w:r>
          </w:p>
        </w:tc>
      </w:tr>
      <w:tr>
        <w:trPr>
          <w:trHeight w:val="196"/>
        </w:trPr>
        <w:tc>
          <w:tcPr>
            <w:tcW w:w="4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4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8"/>
        </w:trPr>
        <w:tc>
          <w:tcPr>
            <w:tcW w:w="4360" w:type="dxa"/>
            <w:vAlign w:val="bottom"/>
            <w:shd w:val="clear" w:color="auto" w:fill="CCEEFF"/>
          </w:tcPr>
          <w:p>
            <w:pPr>
              <w:ind w:left="540"/>
              <w:spacing w:after="0" w:line="178" w:lineRule="exact"/>
              <w:rPr>
                <w:sz w:val="20"/>
                <w:szCs w:val="20"/>
                <w:color w:val="auto"/>
              </w:rPr>
            </w:pPr>
            <w:r>
              <w:rPr>
                <w:rFonts w:ascii="Arial" w:cs="Arial" w:eastAsia="Arial" w:hAnsi="Arial"/>
                <w:sz w:val="18"/>
                <w:szCs w:val="18"/>
                <w:b w:val="1"/>
                <w:bCs w:val="1"/>
                <w:color w:val="auto"/>
              </w:rPr>
              <w:t>Derivatives designated as</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7"/>
        </w:trPr>
        <w:tc>
          <w:tcPr>
            <w:tcW w:w="4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360" w:type="dxa"/>
            <w:vAlign w:val="bottom"/>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4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203"/>
        </w:trPr>
        <w:tc>
          <w:tcPr>
            <w:tcW w:w="4360" w:type="dxa"/>
            <w:vAlign w:val="bottom"/>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7"/>
        </w:trPr>
        <w:tc>
          <w:tcPr>
            <w:tcW w:w="4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423</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r>
      <w:tr>
        <w:trPr>
          <w:trHeight w:val="252"/>
        </w:trPr>
        <w:tc>
          <w:tcPr>
            <w:tcW w:w="4360" w:type="dxa"/>
            <w:vAlign w:val="bottom"/>
          </w:tcPr>
          <w:p>
            <w:pPr>
              <w:ind w:left="540"/>
              <w:spacing w:after="0"/>
              <w:rPr>
                <w:sz w:val="20"/>
                <w:szCs w:val="20"/>
                <w:color w:val="auto"/>
              </w:rPr>
            </w:pPr>
            <w:r>
              <w:rPr>
                <w:rFonts w:ascii="Arial" w:cs="Arial" w:eastAsia="Arial" w:hAnsi="Arial"/>
                <w:sz w:val="18"/>
                <w:szCs w:val="18"/>
                <w:b w:val="1"/>
                <w:bCs w:val="1"/>
                <w:color w:val="auto"/>
              </w:rPr>
              <w:t>Derivatives not designated</w:t>
            </w:r>
          </w:p>
        </w:tc>
        <w:tc>
          <w:tcPr>
            <w:tcW w:w="1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7"/>
        </w:trPr>
        <w:tc>
          <w:tcPr>
            <w:tcW w:w="4360" w:type="dxa"/>
            <w:vAlign w:val="bottom"/>
          </w:tcPr>
          <w:p>
            <w:pPr>
              <w:ind w:left="720"/>
              <w:spacing w:after="0"/>
              <w:rPr>
                <w:sz w:val="20"/>
                <w:szCs w:val="20"/>
                <w:color w:val="auto"/>
              </w:rPr>
            </w:pPr>
            <w:r>
              <w:rPr>
                <w:rFonts w:ascii="Arial" w:cs="Arial" w:eastAsia="Arial" w:hAnsi="Arial"/>
                <w:sz w:val="18"/>
                <w:szCs w:val="18"/>
                <w:b w:val="1"/>
                <w:bCs w:val="1"/>
                <w:color w:val="auto"/>
              </w:rPr>
              <w:t>as accounting hedges: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45</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03"/>
        </w:trPr>
        <w:tc>
          <w:tcPr>
            <w:tcW w:w="43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w:t>
            </w:r>
          </w:p>
        </w:tc>
      </w:tr>
      <w:tr>
        <w:trPr>
          <w:trHeight w:val="203"/>
        </w:trPr>
        <w:tc>
          <w:tcPr>
            <w:tcW w:w="4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17"/>
        </w:trPr>
        <w:tc>
          <w:tcPr>
            <w:tcW w:w="4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r>
      <w:tr>
        <w:trPr>
          <w:trHeight w:val="203"/>
        </w:trPr>
        <w:tc>
          <w:tcPr>
            <w:tcW w:w="4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fair value</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647</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w:t>
            </w: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 xml:space="preserve">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As of September 30, 2017</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tcPr>
          <w:p>
            <w:pPr>
              <w:jc w:val="center"/>
              <w:ind w:right="400"/>
              <w:spacing w:after="0" w:line="141" w:lineRule="exact"/>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Active Markets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for Identical</w:t>
            </w:r>
          </w:p>
        </w:tc>
        <w:tc>
          <w:tcPr>
            <w:tcW w:w="320" w:type="dxa"/>
            <w:vAlign w:val="bottom"/>
          </w:tcPr>
          <w:p>
            <w:pPr>
              <w:spacing w:after="0"/>
              <w:rPr>
                <w:sz w:val="14"/>
                <w:szCs w:val="1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60" w:type="dxa"/>
            <w:vAlign w:val="bottom"/>
          </w:tcPr>
          <w:p>
            <w:pPr>
              <w:spacing w:after="0"/>
              <w:rPr>
                <w:sz w:val="14"/>
                <w:szCs w:val="14"/>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r>
      <w:tr>
        <w:trPr>
          <w:trHeight w:val="177"/>
        </w:trPr>
        <w:tc>
          <w:tcPr>
            <w:tcW w:w="4660" w:type="dxa"/>
            <w:vAlign w:val="bottom"/>
          </w:tcPr>
          <w:p>
            <w:pPr>
              <w:spacing w:after="0"/>
              <w:rPr>
                <w:sz w:val="15"/>
                <w:szCs w:val="15"/>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Asset/(Liability)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6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4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4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2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10"/>
        </w:trPr>
        <w:tc>
          <w:tcPr>
            <w:tcW w:w="466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As of December 31, 2016</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center"/>
              <w:ind w:right="700"/>
              <w:spacing w:after="0" w:line="141"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for Identical</w:t>
            </w:r>
          </w:p>
        </w:tc>
        <w:tc>
          <w:tcPr>
            <w:tcW w:w="16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 Observable</w:t>
            </w:r>
          </w:p>
        </w:tc>
        <w:tc>
          <w:tcPr>
            <w:tcW w:w="32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74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 of Net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r>
      <w:tr>
        <w:trPr>
          <w:trHeight w:val="177"/>
        </w:trPr>
        <w:tc>
          <w:tcPr>
            <w:tcW w:w="4740" w:type="dxa"/>
            <w:vAlign w:val="bottom"/>
          </w:tcPr>
          <w:p>
            <w:pPr>
              <w:spacing w:after="0"/>
              <w:rPr>
                <w:sz w:val="15"/>
                <w:szCs w:val="15"/>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Asset/(Liability)</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4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4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(60)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(86)</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10"/>
        </w:trPr>
        <w:tc>
          <w:tcPr>
            <w:tcW w:w="474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7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Level 1 financial assets and liabilities consist of exchange-traded commodity futures and listed options. The fair value of these instruments 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determined based on quoted market prices on commodity exchanges. Our exchange-traded derivatives are generally subject to master netting</w:t>
      </w:r>
    </w:p>
    <w:p>
      <w:pPr>
        <w:spacing w:after="0" w:line="232" w:lineRule="auto"/>
        <w:rPr>
          <w:sz w:val="20"/>
          <w:szCs w:val="20"/>
          <w:color w:val="auto"/>
        </w:rPr>
      </w:pPr>
      <w:r>
        <w:rPr>
          <w:rFonts w:ascii="Arial" w:cs="Arial" w:eastAsia="Arial" w:hAnsi="Arial"/>
          <w:sz w:val="17"/>
          <w:szCs w:val="17"/>
          <w:color w:val="auto"/>
        </w:rPr>
        <w:t>arrangements that permit net settlement of transactions with the same counterparty when certain criteria are met, such as in the event of default. We</w:t>
      </w:r>
    </w:p>
    <w:p>
      <w:pPr>
        <w:spacing w:after="0" w:line="232" w:lineRule="auto"/>
        <w:rPr>
          <w:sz w:val="20"/>
          <w:szCs w:val="20"/>
          <w:color w:val="auto"/>
        </w:rPr>
      </w:pPr>
      <w:r>
        <w:rPr>
          <w:rFonts w:ascii="Arial" w:cs="Arial" w:eastAsia="Arial" w:hAnsi="Arial"/>
          <w:sz w:val="17"/>
          <w:szCs w:val="17"/>
          <w:color w:val="auto"/>
        </w:rPr>
        <w:t>also are required to maintain cash margin accounts in connection with funding the settlement of our open positions, and the margin requirements</w:t>
      </w:r>
    </w:p>
    <w:p>
      <w:pPr>
        <w:spacing w:after="0" w:line="232" w:lineRule="auto"/>
        <w:rPr>
          <w:sz w:val="20"/>
          <w:szCs w:val="20"/>
          <w:color w:val="auto"/>
        </w:rPr>
      </w:pPr>
      <w:r>
        <w:rPr>
          <w:rFonts w:ascii="Arial" w:cs="Arial" w:eastAsia="Arial" w:hAnsi="Arial"/>
          <w:sz w:val="17"/>
          <w:szCs w:val="17"/>
          <w:color w:val="auto"/>
        </w:rPr>
        <w:t>generally fluctuate daily based on market conditions. We have recorded margin deposits related to our exchange-traded derivatives of $198 million as</w:t>
      </w:r>
    </w:p>
    <w:p>
      <w:pPr>
        <w:spacing w:after="0" w:line="232" w:lineRule="auto"/>
        <w:rPr>
          <w:sz w:val="20"/>
          <w:szCs w:val="20"/>
          <w:color w:val="auto"/>
        </w:rPr>
      </w:pPr>
      <w:r>
        <w:rPr>
          <w:rFonts w:ascii="Arial" w:cs="Arial" w:eastAsia="Arial" w:hAnsi="Arial"/>
          <w:sz w:val="17"/>
          <w:szCs w:val="17"/>
          <w:color w:val="auto"/>
        </w:rPr>
        <w:t>of September 30, 2017 and $133 million as of December 31, 2016 within other current assets. Based on our net asset or liability positions with</w:t>
      </w:r>
    </w:p>
    <w:p>
      <w:pPr>
        <w:spacing w:after="0" w:line="232" w:lineRule="auto"/>
        <w:rPr>
          <w:sz w:val="20"/>
          <w:szCs w:val="20"/>
          <w:color w:val="auto"/>
        </w:rPr>
      </w:pPr>
      <w:r>
        <w:rPr>
          <w:rFonts w:ascii="Arial" w:cs="Arial" w:eastAsia="Arial" w:hAnsi="Arial"/>
          <w:sz w:val="17"/>
          <w:szCs w:val="17"/>
          <w:color w:val="auto"/>
        </w:rPr>
        <w:t>individual counterparties, in the event of default and immediate net settlement of all of our open positions, for derivatives we have in a net asset</w:t>
      </w:r>
    </w:p>
    <w:p>
      <w:pPr>
        <w:spacing w:after="0" w:line="232" w:lineRule="auto"/>
        <w:rPr>
          <w:sz w:val="20"/>
          <w:szCs w:val="20"/>
          <w:color w:val="auto"/>
        </w:rPr>
      </w:pPr>
      <w:r>
        <w:rPr>
          <w:rFonts w:ascii="Arial" w:cs="Arial" w:eastAsia="Arial" w:hAnsi="Arial"/>
          <w:sz w:val="17"/>
          <w:szCs w:val="17"/>
          <w:color w:val="auto"/>
        </w:rPr>
        <w:t>position, our counterparties would owe us a total of $65 million as of September 30, 2017 and $48 million as of December 31, 2016. As of</w:t>
      </w:r>
    </w:p>
    <w:p>
      <w:pPr>
        <w:spacing w:after="0" w:line="232" w:lineRule="auto"/>
        <w:rPr>
          <w:sz w:val="20"/>
          <w:szCs w:val="20"/>
          <w:color w:val="auto"/>
        </w:rPr>
      </w:pPr>
      <w:r>
        <w:rPr>
          <w:rFonts w:ascii="Arial" w:cs="Arial" w:eastAsia="Arial" w:hAnsi="Arial"/>
          <w:sz w:val="17"/>
          <w:szCs w:val="17"/>
          <w:color w:val="auto"/>
        </w:rPr>
        <w:t>September 30, 2017, we have no derivatives in a net liability position, and as of December 31, 2016 we would have owed $2 million for derivatives in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net liability position.</w:t>
      </w:r>
    </w:p>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derivatives we have in a net liability position, we would owe $409 million as of September 30, 2017 and $40 million as of December 31, 2016, and for derivatives we have in a net asset position, our counterparties would owe us a total of $25 million as of September 30, 2017 and $162 million as of December 31, 2016.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net notional values of our derivative instruments were: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
          </w:tcPr>
          <w:p>
            <w:pPr>
              <w:jc w:val="center"/>
              <w:ind w:left="414"/>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2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 of September 30,</w:t>
            </w:r>
          </w:p>
        </w:tc>
        <w:tc>
          <w:tcPr>
            <w:tcW w:w="2280" w:type="dxa"/>
            <w:vAlign w:val="bottom"/>
            <w:gridSpan w:val="2"/>
          </w:tcPr>
          <w:p>
            <w:pPr>
              <w:ind w:left="940"/>
              <w:spacing w:after="0" w:line="141" w:lineRule="exact"/>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2"/>
                <w:szCs w:val="12"/>
                <w:color w:val="auto"/>
              </w:rPr>
            </w:pPr>
          </w:p>
        </w:tc>
      </w:tr>
      <w:tr>
        <w:trPr>
          <w:trHeight w:val="202"/>
        </w:trPr>
        <w:tc>
          <w:tcPr>
            <w:tcW w:w="5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36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7"/>
                <w:szCs w:val="17"/>
                <w:color w:val="auto"/>
              </w:rPr>
            </w:pPr>
          </w:p>
        </w:tc>
      </w:tr>
      <w:tr>
        <w:trPr>
          <w:trHeight w:val="137"/>
        </w:trPr>
        <w:tc>
          <w:tcPr>
            <w:tcW w:w="53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96"/>
        </w:trPr>
        <w:tc>
          <w:tcPr>
            <w:tcW w:w="5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60" w:type="dxa"/>
            <w:vAlign w:val="bottom"/>
          </w:tcPr>
          <w:p>
            <w:pPr>
              <w:jc w:val="center"/>
              <w:ind w:right="402"/>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53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32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2780" w:type="dxa"/>
            <w:vAlign w:val="bottom"/>
            <w:gridSpan w:val="2"/>
          </w:tcPr>
          <w:p>
            <w:pPr>
              <w:ind w:left="23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3,649</w:t>
            </w:r>
          </w:p>
        </w:tc>
        <w:tc>
          <w:tcPr>
            <w:tcW w:w="1360" w:type="dxa"/>
            <w:vAlign w:val="bottom"/>
          </w:tcPr>
          <w:p>
            <w:pPr>
              <w:ind w:left="9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3,343</w:t>
            </w:r>
          </w:p>
        </w:tc>
      </w:tr>
      <w:tr>
        <w:trPr>
          <w:trHeight w:val="203"/>
        </w:trPr>
        <w:tc>
          <w:tcPr>
            <w:tcW w:w="5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2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w:t>
            </w:r>
          </w:p>
        </w:tc>
        <w:tc>
          <w:tcPr>
            <w:tcW w:w="1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1,452</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1,137</w:t>
            </w:r>
          </w:p>
        </w:tc>
        <w:tc>
          <w:tcPr>
            <w:tcW w:w="13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837</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6,517</w:t>
            </w:r>
          </w:p>
        </w:tc>
        <w:tc>
          <w:tcPr>
            <w:tcW w:w="1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6,365</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Net investment hedge – euro notes</w:t>
            </w:r>
          </w:p>
        </w:tc>
        <w:tc>
          <w:tcPr>
            <w:tcW w:w="2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3,975</w:t>
            </w:r>
          </w:p>
        </w:tc>
        <w:tc>
          <w:tcPr>
            <w:tcW w:w="136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4,012</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2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w:t>
            </w:r>
          </w:p>
        </w:tc>
        <w:tc>
          <w:tcPr>
            <w:tcW w:w="1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w:t>
            </w:r>
          </w:p>
        </w:tc>
      </w:tr>
      <w:tr>
        <w:trPr>
          <w:trHeight w:val="243"/>
        </w:trPr>
        <w:tc>
          <w:tcPr>
            <w:tcW w:w="5320" w:type="dxa"/>
            <w:vAlign w:val="bottom"/>
          </w:tcPr>
          <w:p>
            <w:pPr>
              <w:ind w:left="540"/>
              <w:spacing w:after="0"/>
              <w:rPr>
                <w:sz w:val="20"/>
                <w:szCs w:val="20"/>
                <w:color w:val="auto"/>
              </w:rPr>
            </w:pPr>
            <w:r>
              <w:rPr>
                <w:rFonts w:ascii="Arial" w:cs="Arial" w:eastAsia="Arial" w:hAnsi="Arial"/>
                <w:sz w:val="18"/>
                <w:szCs w:val="18"/>
                <w:color w:val="auto"/>
              </w:rPr>
              <w:t>Net investment hedge – Swiss franc notes</w:t>
            </w:r>
          </w:p>
        </w:tc>
        <w:tc>
          <w:tcPr>
            <w:tcW w:w="2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1,704</w:t>
            </w:r>
          </w:p>
        </w:tc>
        <w:tc>
          <w:tcPr>
            <w:tcW w:w="13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r>
      <w:tr>
        <w:trPr>
          <w:trHeight w:val="328"/>
        </w:trPr>
        <w:tc>
          <w:tcPr>
            <w:tcW w:w="5320" w:type="dxa"/>
            <w:vAlign w:val="bottom"/>
          </w:tcPr>
          <w:p>
            <w:pPr>
              <w:spacing w:after="0"/>
              <w:rPr>
                <w:sz w:val="24"/>
                <w:szCs w:val="24"/>
                <w:color w:val="auto"/>
              </w:rPr>
            </w:pPr>
          </w:p>
        </w:tc>
        <w:tc>
          <w:tcPr>
            <w:tcW w:w="2340" w:type="dxa"/>
            <w:vAlign w:val="bottom"/>
          </w:tcPr>
          <w:p>
            <w:pPr>
              <w:jc w:val="right"/>
              <w:ind w:right="175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Cash flow hedge activity, net of taxes, within accumulated other comprehensive earnings/(losses) included: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8"/>
        </w:trPr>
        <w:tc>
          <w:tcPr>
            <w:tcW w:w="5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5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Accumulated (loss)/gain at beginning of period</w:t>
            </w:r>
          </w:p>
        </w:tc>
        <w:tc>
          <w:tcPr>
            <w:tcW w:w="660" w:type="dxa"/>
            <w:vAlign w:val="bottom"/>
            <w:gridSpan w:val="2"/>
            <w:shd w:val="clear" w:color="auto" w:fill="CCEEFF"/>
          </w:tcPr>
          <w:p>
            <w:pPr>
              <w:jc w:val="right"/>
              <w:ind w:right="487"/>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(91)</w:t>
            </w:r>
          </w:p>
        </w:tc>
        <w:tc>
          <w:tcPr>
            <w:tcW w:w="1000" w:type="dxa"/>
            <w:vAlign w:val="bottom"/>
            <w:gridSpan w:val="2"/>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w:t>
            </w:r>
          </w:p>
        </w:tc>
        <w:tc>
          <w:tcPr>
            <w:tcW w:w="5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r>
      <w:tr>
        <w:trPr>
          <w:trHeight w:val="180"/>
        </w:trPr>
        <w:tc>
          <w:tcPr>
            <w:tcW w:w="5280" w:type="dxa"/>
            <w:vAlign w:val="bottom"/>
          </w:tcPr>
          <w:p>
            <w:pPr>
              <w:ind w:left="540"/>
              <w:spacing w:after="0" w:line="180" w:lineRule="exact"/>
              <w:rPr>
                <w:sz w:val="20"/>
                <w:szCs w:val="20"/>
                <w:color w:val="auto"/>
              </w:rPr>
            </w:pPr>
            <w:r>
              <w:rPr>
                <w:rFonts w:ascii="Arial" w:cs="Arial" w:eastAsia="Arial" w:hAnsi="Arial"/>
                <w:sz w:val="18"/>
                <w:szCs w:val="18"/>
                <w:color w:val="auto"/>
              </w:rPr>
              <w:t>Transfer of realized (gains)/losses in fair value to</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5"/>
        </w:trPr>
        <w:tc>
          <w:tcPr>
            <w:tcW w:w="5280" w:type="dxa"/>
            <w:vAlign w:val="bottom"/>
          </w:tcPr>
          <w:p>
            <w:pPr>
              <w:ind w:left="72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r>
      <w:tr>
        <w:trPr>
          <w:trHeight w:val="203"/>
        </w:trPr>
        <w:tc>
          <w:tcPr>
            <w:tcW w:w="5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Unrealized gain/(loss) in fair value</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w:t>
            </w:r>
          </w:p>
        </w:tc>
      </w:tr>
      <w:tr>
        <w:trPr>
          <w:trHeight w:val="210"/>
        </w:trPr>
        <w:tc>
          <w:tcPr>
            <w:tcW w:w="5280" w:type="dxa"/>
            <w:vAlign w:val="bottom"/>
          </w:tcPr>
          <w:p>
            <w:pPr>
              <w:ind w:left="540"/>
              <w:spacing w:after="0"/>
              <w:rPr>
                <w:sz w:val="20"/>
                <w:szCs w:val="20"/>
                <w:color w:val="auto"/>
              </w:rPr>
            </w:pPr>
            <w:r>
              <w:rPr>
                <w:rFonts w:ascii="Arial" w:cs="Arial" w:eastAsia="Arial" w:hAnsi="Arial"/>
                <w:sz w:val="18"/>
                <w:szCs w:val="18"/>
                <w:color w:val="auto"/>
              </w:rPr>
              <w:t>Accumulated (loss)/gain at end of period</w:t>
            </w: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6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After-tax gains/(losses) reclassified from accumulated other comprehensive earnings/(losses) into net earnings were: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For the Nine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96"/>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8"/>
        </w:trPr>
        <w:tc>
          <w:tcPr>
            <w:tcW w:w="52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180"/>
        </w:trPr>
        <w:tc>
          <w:tcPr>
            <w:tcW w:w="528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color w:val="auto"/>
              </w:rPr>
              <w:t>Currency exchange contracts – forecasted</w:t>
            </w: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transactions</w:t>
            </w:r>
          </w:p>
        </w:tc>
        <w:tc>
          <w:tcPr>
            <w:tcW w:w="740" w:type="dxa"/>
            <w:vAlign w:val="bottom"/>
            <w:gridSpan w:val="2"/>
            <w:shd w:val="clear" w:color="auto" w:fill="CCEEFF"/>
          </w:tcPr>
          <w:p>
            <w:pPr>
              <w:jc w:val="right"/>
              <w:ind w:right="567"/>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03"/>
        </w:trPr>
        <w:tc>
          <w:tcPr>
            <w:tcW w:w="52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12</w:t>
            </w:r>
          </w:p>
        </w:tc>
        <w:tc>
          <w:tcPr>
            <w:tcW w:w="72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5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r>
      <w:tr>
        <w:trPr>
          <w:trHeight w:val="210"/>
        </w:trPr>
        <w:tc>
          <w:tcPr>
            <w:tcW w:w="5280" w:type="dxa"/>
            <w:vAlign w:val="bottom"/>
          </w:tcPr>
          <w:p>
            <w:pPr>
              <w:ind w:left="5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(64)</w:t>
            </w:r>
          </w:p>
        </w:tc>
        <w:tc>
          <w:tcPr>
            <w:tcW w:w="120" w:type="dxa"/>
            <w:vAlign w:val="bottom"/>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After-tax gains/(losses) recognized in other comprehensive earnings/(losses) were: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color w:val="auto"/>
              </w:rPr>
              <w:t>Currency exchange contracts – forecasted</w:t>
            </w: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transactions</w:t>
            </w:r>
          </w:p>
        </w:tc>
        <w:tc>
          <w:tcPr>
            <w:tcW w:w="700" w:type="dxa"/>
            <w:vAlign w:val="bottom"/>
            <w:gridSpan w:val="2"/>
            <w:shd w:val="clear" w:color="auto" w:fill="CCEEFF"/>
          </w:tcPr>
          <w:p>
            <w:pPr>
              <w:jc w:val="right"/>
              <w:ind w:right="527"/>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(11)</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2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5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Cash flow hedge ineffectiveness was not material for all periods presented.</w:t>
      </w:r>
    </w:p>
    <w:p>
      <w:pPr>
        <w:spacing w:after="0" w:line="169" w:lineRule="exact"/>
        <w:rPr>
          <w:sz w:val="20"/>
          <w:szCs w:val="20"/>
          <w:color w:val="auto"/>
        </w:rPr>
      </w:pPr>
    </w:p>
    <w:p>
      <w:pPr>
        <w:ind w:right="160"/>
        <w:spacing w:after="0" w:line="242" w:lineRule="auto"/>
        <w:rPr>
          <w:sz w:val="20"/>
          <w:szCs w:val="20"/>
          <w:color w:val="auto"/>
        </w:rPr>
      </w:pPr>
      <w:r>
        <w:rPr>
          <w:rFonts w:ascii="Arial" w:cs="Arial" w:eastAsia="Arial" w:hAnsi="Arial"/>
          <w:sz w:val="17"/>
          <w:szCs w:val="17"/>
          <w:color w:val="auto"/>
        </w:rPr>
        <w:t>Within interest and other expense, net, we recorded pre-tax losses of $97 million in the first quarter of 2016 related to amounts excluded from effectiveness testing. This amount relates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we changed our plans to issue U.S. dollar-denominated debt and instead issued euro and Swiss franc-denominated notes in the first quarter of 2016. Amounts excluded from effectiveness testing were not material for all other periods presented.</w:t>
      </w:r>
    </w:p>
    <w:p>
      <w:pPr>
        <w:spacing w:after="0" w:line="135" w:lineRule="exact"/>
        <w:rPr>
          <w:sz w:val="20"/>
          <w:szCs w:val="20"/>
          <w:color w:val="auto"/>
        </w:rPr>
      </w:pPr>
    </w:p>
    <w:p>
      <w:pPr>
        <w:ind w:right="380"/>
        <w:spacing w:after="0" w:line="245" w:lineRule="auto"/>
        <w:rPr>
          <w:sz w:val="20"/>
          <w:szCs w:val="20"/>
          <w:color w:val="auto"/>
        </w:rPr>
      </w:pPr>
      <w:r>
        <w:rPr>
          <w:rFonts w:ascii="Arial" w:cs="Arial" w:eastAsia="Arial" w:hAnsi="Arial"/>
          <w:sz w:val="17"/>
          <w:szCs w:val="17"/>
          <w:color w:val="auto"/>
        </w:rPr>
        <w:t>We record pre-tax and after-tax (i) gains or losses reclassified from accumulated other comprehensive earnings/(losses) into earnings, (ii) gains or losses on ineffectiveness and (iii) gains or losses on amounts excluded from effectiveness testing in:</w:t>
      </w:r>
    </w:p>
    <w:p>
      <w:pPr>
        <w:ind w:left="900" w:hanging="325"/>
        <w:spacing w:after="0" w:line="23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of sales for commodity contracts;</w:t>
      </w:r>
    </w:p>
    <w:p>
      <w:pPr>
        <w:ind w:left="900" w:hanging="325"/>
        <w:spacing w:after="0" w:line="232"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cost of sales for currency exchange contracts related to forecasted transactions; and</w:t>
      </w: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interest and other expense, net for interest rate contracts and currency exchange contracts related to intercompany loans.</w:t>
      </w:r>
    </w:p>
    <w:p>
      <w:pPr>
        <w:spacing w:after="0" w:line="12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Based on current market conditions, we would expect to transfer losses of $11 million (net of taxes) for commodity cash flow hedges, unrealized losses of $2 million (net of taxes) for currency cash flow hedges and unrealized losses of $1 million (net of taxes) for interest rate cash flow hedges to earnings during the next 12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we hedged transactions forecasted to impact cash flows over the following periods:</w:t>
      </w:r>
    </w:p>
    <w:p>
      <w:pPr>
        <w:ind w:left="900" w:hanging="325"/>
        <w:spacing w:after="0" w:line="23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3 months;</w:t>
      </w:r>
    </w:p>
    <w:p>
      <w:pPr>
        <w:ind w:left="900" w:hanging="325"/>
        <w:spacing w:after="0" w:line="23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6 years and 1 month; and</w:t>
      </w: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3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8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2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r>
      <w:tr>
        <w:trPr>
          <w:trHeight w:val="156"/>
        </w:trPr>
        <w:tc>
          <w:tcPr>
            <w:tcW w:w="2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81"/>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03"/>
        </w:trPr>
        <w:tc>
          <w:tcPr>
            <w:tcW w:w="26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Derivatives</w:t>
            </w:r>
          </w:p>
        </w:tc>
        <w:tc>
          <w:tcPr>
            <w:tcW w:w="19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jc w:val="right"/>
              <w:ind w:right="559"/>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(11)</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w:t>
            </w:r>
          </w:p>
        </w:tc>
      </w:tr>
      <w:tr>
        <w:trPr>
          <w:trHeight w:val="243"/>
        </w:trPr>
        <w:tc>
          <w:tcPr>
            <w:tcW w:w="264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jc w:val="right"/>
              <w:ind w:right="216"/>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21"/>
                <w:szCs w:val="21"/>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241"/>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1"/>
                <w:szCs w:val="21"/>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80" w:type="dxa"/>
            <w:vAlign w:val="bottom"/>
            <w:gridSpan w:val="3"/>
            <w:vMerge w:val="restart"/>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32"/>
        </w:trPr>
        <w:tc>
          <w:tcPr>
            <w:tcW w:w="3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5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720"/>
              <w:spacing w:after="0"/>
              <w:rPr>
                <w:sz w:val="20"/>
                <w:szCs w:val="20"/>
                <w:color w:val="auto"/>
              </w:rPr>
            </w:pPr>
            <w:r>
              <w:rPr>
                <w:rFonts w:ascii="Arial" w:cs="Arial" w:eastAsia="Arial" w:hAnsi="Arial"/>
                <w:sz w:val="18"/>
                <w:szCs w:val="18"/>
                <w:color w:val="auto"/>
              </w:rPr>
              <w:t>Intercompany loans and</w:t>
            </w:r>
          </w:p>
        </w:tc>
        <w:tc>
          <w:tcPr>
            <w:tcW w:w="1020" w:type="dxa"/>
            <w:vAlign w:val="bottom"/>
            <w:gridSpan w:val="2"/>
            <w:vMerge w:val="restart"/>
          </w:tcPr>
          <w:p>
            <w:pPr>
              <w:jc w:val="right"/>
              <w:ind w:right="528"/>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(13)</w:t>
            </w:r>
          </w:p>
        </w:tc>
        <w:tc>
          <w:tcPr>
            <w:tcW w:w="740" w:type="dxa"/>
            <w:vAlign w:val="bottom"/>
            <w:vMerge w:val="restart"/>
          </w:tcPr>
          <w:p>
            <w:pPr>
              <w:jc w:val="right"/>
              <w:ind w:right="556"/>
              <w:spacing w:after="0"/>
              <w:rPr>
                <w:sz w:val="20"/>
                <w:szCs w:val="20"/>
                <w:color w:val="auto"/>
              </w:rPr>
            </w:pPr>
            <w:r>
              <w:rPr>
                <w:rFonts w:ascii="Arial" w:cs="Arial" w:eastAsia="Arial" w:hAnsi="Arial"/>
                <w:sz w:val="18"/>
                <w:szCs w:val="18"/>
                <w:color w:val="auto"/>
                <w:w w:val="79"/>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18</w:t>
            </w:r>
          </w:p>
        </w:tc>
        <w:tc>
          <w:tcPr>
            <w:tcW w:w="1380" w:type="dxa"/>
            <w:vAlign w:val="bottom"/>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3520" w:type="dxa"/>
            <w:vAlign w:val="bottom"/>
          </w:tcPr>
          <w:p>
            <w:pPr>
              <w:ind w:left="900"/>
              <w:spacing w:after="0" w:line="189" w:lineRule="exact"/>
              <w:rPr>
                <w:sz w:val="20"/>
                <w:szCs w:val="20"/>
                <w:color w:val="auto"/>
              </w:rPr>
            </w:pPr>
            <w:r>
              <w:rPr>
                <w:rFonts w:ascii="Arial" w:cs="Arial" w:eastAsia="Arial" w:hAnsi="Arial"/>
                <w:sz w:val="18"/>
                <w:szCs w:val="18"/>
                <w:color w:val="auto"/>
              </w:rPr>
              <w:t>forecasted interest payments</w:t>
            </w:r>
          </w:p>
        </w:tc>
        <w:tc>
          <w:tcPr>
            <w:tcW w:w="10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(14)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(91)</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720"/>
              <w:spacing w:after="0"/>
              <w:rPr>
                <w:sz w:val="20"/>
                <w:szCs w:val="20"/>
                <w:color w:val="auto"/>
              </w:rPr>
            </w:pPr>
            <w:r>
              <w:rPr>
                <w:rFonts w:ascii="Arial" w:cs="Arial" w:eastAsia="Arial" w:hAnsi="Arial"/>
                <w:sz w:val="18"/>
                <w:szCs w:val="18"/>
                <w:color w:val="auto"/>
              </w:rPr>
              <w:t>Forecasted transactions</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10</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5"/>
        </w:trPr>
        <w:tc>
          <w:tcPr>
            <w:tcW w:w="3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49"/>
        </w:trPr>
        <w:tc>
          <w:tcPr>
            <w:tcW w:w="3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Forecasted transactions</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75"/>
        </w:trPr>
        <w:tc>
          <w:tcPr>
            <w:tcW w:w="352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03"/>
        </w:trPr>
        <w:tc>
          <w:tcPr>
            <w:tcW w:w="35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w:t>
            </w:r>
          </w:p>
        </w:tc>
        <w:tc>
          <w:tcPr>
            <w:tcW w:w="740" w:type="dxa"/>
            <w:vAlign w:val="bottom"/>
          </w:tcPr>
          <w:p>
            <w:pPr>
              <w:spacing w:after="0"/>
              <w:rPr>
                <w:sz w:val="17"/>
                <w:szCs w:val="17"/>
                <w:color w:val="auto"/>
              </w:rPr>
            </w:pPr>
          </w:p>
        </w:tc>
        <w:tc>
          <w:tcPr>
            <w:tcW w:w="5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w w:val="99"/>
              </w:rPr>
              <w:t>(13)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(176)</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(26)</w:t>
            </w:r>
          </w:p>
        </w:tc>
        <w:tc>
          <w:tcPr>
            <w:tcW w:w="138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w:t>
            </w: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(14)</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(183)</w:t>
            </w:r>
          </w:p>
        </w:tc>
        <w:tc>
          <w:tcPr>
            <w:tcW w:w="9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(73)</w:t>
            </w: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6"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pound sterling and Swiss franc-denominated debt were: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r>
      <w:tr>
        <w:trPr>
          <w:trHeight w:val="177"/>
        </w:trPr>
        <w:tc>
          <w:tcPr>
            <w:tcW w:w="3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Gain/(Loss)</w:t>
            </w:r>
          </w:p>
        </w:tc>
      </w:tr>
      <w:tr>
        <w:trPr>
          <w:trHeight w:val="156"/>
        </w:trPr>
        <w:tc>
          <w:tcPr>
            <w:tcW w:w="3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Recognized in AOCI</w:t>
            </w:r>
          </w:p>
        </w:tc>
      </w:tr>
      <w:tr>
        <w:trPr>
          <w:trHeight w:val="156"/>
        </w:trPr>
        <w:tc>
          <w:tcPr>
            <w:tcW w:w="3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3"/>
        </w:trPr>
        <w:tc>
          <w:tcPr>
            <w:tcW w:w="3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 notes</w:t>
            </w:r>
          </w:p>
        </w:tc>
        <w:tc>
          <w:tcPr>
            <w:tcW w:w="154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4"/>
              <w:spacing w:after="0" w:line="202" w:lineRule="exact"/>
              <w:rPr>
                <w:sz w:val="20"/>
                <w:szCs w:val="20"/>
                <w:color w:val="auto"/>
              </w:rPr>
            </w:pPr>
            <w:r>
              <w:rPr>
                <w:rFonts w:ascii="Arial" w:cs="Arial" w:eastAsia="Arial" w:hAnsi="Arial"/>
                <w:sz w:val="18"/>
                <w:szCs w:val="18"/>
                <w:color w:val="auto"/>
              </w:rPr>
              <w:t>(83)</w:t>
            </w:r>
          </w:p>
        </w:tc>
        <w:tc>
          <w:tcPr>
            <w:tcW w:w="98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(38)</w:t>
            </w: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(279)</w:t>
            </w:r>
          </w:p>
        </w:tc>
        <w:tc>
          <w:tcPr>
            <w:tcW w:w="900" w:type="dxa"/>
            <w:vAlign w:val="bottom"/>
            <w:shd w:val="clear" w:color="auto" w:fill="CCEEFF"/>
          </w:tcPr>
          <w:p>
            <w:pPr>
              <w:jc w:val="right"/>
              <w:ind w:right="479"/>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5"/>
              </w:rPr>
              <w:t>(110)</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Currency</w:t>
            </w:r>
          </w:p>
        </w:tc>
      </w:tr>
      <w:tr>
        <w:trPr>
          <w:trHeight w:val="203"/>
        </w:trPr>
        <w:tc>
          <w:tcPr>
            <w:tcW w:w="3000" w:type="dxa"/>
            <w:vAlign w:val="bottom"/>
          </w:tcPr>
          <w:p>
            <w:pPr>
              <w:ind w:left="540"/>
              <w:spacing w:after="0" w:line="202" w:lineRule="exact"/>
              <w:rPr>
                <w:sz w:val="20"/>
                <w:szCs w:val="20"/>
                <w:color w:val="auto"/>
              </w:rPr>
            </w:pPr>
            <w:r>
              <w:rPr>
                <w:rFonts w:ascii="Arial" w:cs="Arial" w:eastAsia="Arial" w:hAnsi="Arial"/>
                <w:sz w:val="18"/>
                <w:szCs w:val="18"/>
                <w:color w:val="auto"/>
              </w:rPr>
              <w:t>Pound sterling notes</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(8)</w:t>
            </w:r>
          </w:p>
        </w:tc>
        <w:tc>
          <w:tcPr>
            <w:tcW w:w="980" w:type="dxa"/>
            <w:vAlign w:val="bottom"/>
          </w:tcPr>
          <w:p>
            <w:pPr>
              <w:spacing w:after="0"/>
              <w:rPr>
                <w:sz w:val="17"/>
                <w:szCs w:val="17"/>
                <w:color w:val="auto"/>
              </w:rPr>
            </w:pP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179"/>
              <w:spacing w:after="0" w:line="202" w:lineRule="exact"/>
              <w:rPr>
                <w:sz w:val="20"/>
                <w:szCs w:val="20"/>
                <w:color w:val="auto"/>
              </w:rPr>
            </w:pPr>
            <w:r>
              <w:rPr>
                <w:rFonts w:ascii="Arial" w:cs="Arial" w:eastAsia="Arial" w:hAnsi="Arial"/>
                <w:sz w:val="18"/>
                <w:szCs w:val="18"/>
                <w:color w:val="auto"/>
              </w:rPr>
              <w:t>(23)</w:t>
            </w:r>
          </w:p>
        </w:tc>
        <w:tc>
          <w:tcPr>
            <w:tcW w:w="900" w:type="dxa"/>
            <w:vAlign w:val="bottom"/>
          </w:tcPr>
          <w:p>
            <w:pPr>
              <w:spacing w:after="0"/>
              <w:rPr>
                <w:sz w:val="17"/>
                <w:szCs w:val="17"/>
                <w:color w:val="auto"/>
              </w:rPr>
            </w:pPr>
          </w:p>
        </w:tc>
        <w:tc>
          <w:tcPr>
            <w:tcW w:w="8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107</w:t>
            </w:r>
          </w:p>
        </w:tc>
        <w:tc>
          <w:tcPr>
            <w:tcW w:w="1380" w:type="dxa"/>
            <w:vAlign w:val="bottom"/>
          </w:tcPr>
          <w:p>
            <w:pPr>
              <w:jc w:val="center"/>
              <w:spacing w:after="0"/>
              <w:rPr>
                <w:sz w:val="20"/>
                <w:szCs w:val="20"/>
                <w:color w:val="auto"/>
              </w:rPr>
            </w:pPr>
            <w:r>
              <w:rPr>
                <w:rFonts w:ascii="Arial" w:cs="Arial" w:eastAsia="Arial" w:hAnsi="Arial"/>
                <w:sz w:val="14"/>
                <w:szCs w:val="14"/>
                <w:color w:val="auto"/>
              </w:rPr>
              <w:t>Translation</w:t>
            </w:r>
          </w:p>
        </w:tc>
      </w:tr>
      <w:tr>
        <w:trPr>
          <w:trHeight w:val="203"/>
        </w:trPr>
        <w:tc>
          <w:tcPr>
            <w:tcW w:w="3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Swiss franc notes</w:t>
            </w:r>
          </w:p>
        </w:tc>
        <w:tc>
          <w:tcPr>
            <w:tcW w:w="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12</w:t>
            </w:r>
          </w:p>
        </w:tc>
        <w:tc>
          <w:tcPr>
            <w:tcW w:w="9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9"/>
              <w:spacing w:after="0" w:line="202" w:lineRule="exact"/>
              <w:rPr>
                <w:sz w:val="20"/>
                <w:szCs w:val="20"/>
                <w:color w:val="auto"/>
              </w:rPr>
            </w:pPr>
            <w:r>
              <w:rPr>
                <w:rFonts w:ascii="Arial" w:cs="Arial" w:eastAsia="Arial" w:hAnsi="Arial"/>
                <w:sz w:val="18"/>
                <w:szCs w:val="18"/>
                <w:color w:val="auto"/>
              </w:rPr>
              <w:t>(53)</w:t>
            </w:r>
          </w:p>
        </w:tc>
        <w:tc>
          <w:tcPr>
            <w:tcW w:w="9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Adjustment</w:t>
            </w:r>
          </w:p>
        </w:tc>
      </w:tr>
      <w:tr>
        <w:trPr>
          <w:trHeight w:val="369"/>
        </w:trPr>
        <w:tc>
          <w:tcPr>
            <w:tcW w:w="3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U.S. Plans</w:t>
            </w: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Non-U.S. Plans</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5"/>
          </w:tcPr>
          <w:p>
            <w:pPr>
              <w:jc w:val="center"/>
              <w:ind w:left="207"/>
              <w:spacing w:after="0" w:line="141" w:lineRule="exact"/>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4"/>
          </w:tcPr>
          <w:p>
            <w:pPr>
              <w:jc w:val="center"/>
              <w:ind w:right="132"/>
              <w:spacing w:after="0" w:line="141" w:lineRule="exact"/>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2"/>
                <w:szCs w:val="12"/>
                <w:color w:val="auto"/>
              </w:rPr>
            </w:pPr>
          </w:p>
        </w:tc>
      </w:tr>
      <w:tr>
        <w:trPr>
          <w:trHeight w:val="177"/>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3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CCEEFF"/>
          </w:tcPr>
          <w:p>
            <w:pPr>
              <w:jc w:val="right"/>
              <w:ind w:right="547"/>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4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70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w:t>
            </w: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(24)</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r>
      <w:tr>
        <w:trPr>
          <w:trHeight w:val="203"/>
        </w:trPr>
        <w:tc>
          <w:tcPr>
            <w:tcW w:w="570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7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w:t>
            </w:r>
          </w:p>
        </w:tc>
      </w:tr>
      <w:tr>
        <w:trPr>
          <w:trHeight w:val="203"/>
        </w:trPr>
        <w:tc>
          <w:tcPr>
            <w:tcW w:w="570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credit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 and other expenses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570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U.S. Plans</w:t>
            </w:r>
          </w:p>
        </w:tc>
        <w:tc>
          <w:tcPr>
            <w:tcW w:w="2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Non-U.S. Plans</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0"/>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5"/>
          </w:tcPr>
          <w:p>
            <w:pPr>
              <w:jc w:val="center"/>
              <w:ind w:left="207"/>
              <w:spacing w:after="0" w:line="141" w:lineRule="exact"/>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4"/>
          </w:tcPr>
          <w:p>
            <w:pPr>
              <w:jc w:val="center"/>
              <w:ind w:right="132"/>
              <w:spacing w:after="0" w:line="141" w:lineRule="exact"/>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2"/>
                <w:szCs w:val="12"/>
                <w:color w:val="auto"/>
              </w:rPr>
            </w:pPr>
          </w:p>
        </w:tc>
      </w:tr>
      <w:tr>
        <w:trPr>
          <w:trHeight w:val="177"/>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ind w:right="3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CCEEFF"/>
          </w:tcPr>
          <w:p>
            <w:pPr>
              <w:jc w:val="right"/>
              <w:ind w:right="547"/>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570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148</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w:t>
            </w: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(72)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(326)</w:t>
            </w:r>
          </w:p>
        </w:tc>
      </w:tr>
      <w:tr>
        <w:trPr>
          <w:trHeight w:val="203"/>
        </w:trPr>
        <w:tc>
          <w:tcPr>
            <w:tcW w:w="570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7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w:t>
            </w:r>
          </w:p>
        </w:tc>
      </w:tr>
      <w:tr>
        <w:trPr>
          <w:trHeight w:val="203"/>
        </w:trPr>
        <w:tc>
          <w:tcPr>
            <w:tcW w:w="570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cost/(credit)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losses/(gains) and other expenses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10"/>
        </w:trPr>
        <w:tc>
          <w:tcPr>
            <w:tcW w:w="570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Within settlement losses/(gains) and other expenses are losses of $1 million for the three months and $12 million for the nine months ended September 30, 2017 and $3 million for the three months and $12 million for the nine months ended September 30, 2016, that are related to our 2014-2018 Restructuring Program and are recorded within asset impairment and exit costs on our condensed consolidated statements of earnings.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During the nine months ended September 30, 2017, we contributed $19 million to our U.S. pension plans and $408 million to our non-U.S. pension plans. The non-U.S. amount included a non-recurring $250 million contribution made in connection with a new funding agreement for a Company plan in the U.K.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2017, we plan to make further contributions of approximately $7 million to our U.S. plans and approximately $ 47 million to our non-U.S. plans during the remainder of 2017. Our actual contributions may be different due to many factors, including changes in tax and other benefit laws, significant differences between expected and actual pension asset performance or interest rates.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3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5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7"/>
                <w:szCs w:val="17"/>
                <w:color w:val="auto"/>
              </w:rPr>
            </w:pP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20" w:type="dxa"/>
            <w:vAlign w:val="bottom"/>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700" w:type="dxa"/>
            <w:vAlign w:val="bottom"/>
          </w:tcPr>
          <w:p>
            <w:pPr>
              <w:spacing w:after="0"/>
              <w:rPr>
                <w:sz w:val="17"/>
                <w:szCs w:val="17"/>
                <w:color w:val="auto"/>
              </w:rPr>
            </w:pPr>
          </w:p>
        </w:tc>
        <w:tc>
          <w:tcPr>
            <w:tcW w:w="6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r>
      <w:tr>
        <w:trPr>
          <w:trHeight w:val="203"/>
        </w:trPr>
        <w:tc>
          <w:tcPr>
            <w:tcW w:w="5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15"/>
                <w:szCs w:val="15"/>
                <w:color w:val="auto"/>
              </w:rPr>
              <w:t>(1)</w:t>
            </w:r>
          </w:p>
        </w:tc>
        <w:tc>
          <w:tcPr>
            <w:tcW w:w="7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187"/>
        </w:trPr>
        <w:tc>
          <w:tcPr>
            <w:tcW w:w="5320" w:type="dxa"/>
            <w:vAlign w:val="bottom"/>
          </w:tcPr>
          <w:p>
            <w:pPr>
              <w:ind w:left="540"/>
              <w:spacing w:after="0" w:line="187" w:lineRule="exact"/>
              <w:rPr>
                <w:sz w:val="20"/>
                <w:szCs w:val="20"/>
                <w:color w:val="auto"/>
              </w:rPr>
            </w:pPr>
            <w:r>
              <w:rPr>
                <w:rFonts w:ascii="Arial" w:cs="Arial" w:eastAsia="Arial" w:hAnsi="Arial"/>
                <w:sz w:val="18"/>
                <w:szCs w:val="18"/>
                <w:color w:val="auto"/>
              </w:rPr>
              <w:t>Net periodic postretirement health care</w:t>
            </w: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5320" w:type="dxa"/>
            <w:vAlign w:val="bottom"/>
          </w:tcPr>
          <w:p>
            <w:pPr>
              <w:ind w:left="720"/>
              <w:spacing w:after="0"/>
              <w:rPr>
                <w:sz w:val="20"/>
                <w:szCs w:val="20"/>
                <w:color w:val="auto"/>
              </w:rPr>
            </w:pPr>
            <w:r>
              <w:rPr>
                <w:rFonts w:ascii="Arial" w:cs="Arial" w:eastAsia="Arial" w:hAnsi="Arial"/>
                <w:sz w:val="18"/>
                <w:szCs w:val="18"/>
                <w:color w:val="auto"/>
              </w:rPr>
              <w:t>(credits)/costs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0"/>
        </w:trPr>
        <w:tc>
          <w:tcPr>
            <w:tcW w:w="5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1" w:lineRule="exact"/>
        <w:rPr>
          <w:sz w:val="20"/>
          <w:szCs w:val="20"/>
          <w:color w:val="auto"/>
        </w:rPr>
      </w:pPr>
    </w:p>
    <w:p>
      <w:pPr>
        <w:ind w:left="1140" w:hanging="335"/>
        <w:spacing w:after="0" w:line="291" w:lineRule="auto"/>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2017, amortization of prior service credit includes an $8 million and $24 million gain respectively, related to a change in the eligibility requirement and a change in benefits to Medicare-eligible participants.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10"/>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5"/>
          </w:tcPr>
          <w:p>
            <w:pPr>
              <w:ind w:left="40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12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79"/>
              </w:rPr>
              <w:t>2</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5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440"/>
              <w:spacing w:after="0" w:line="202" w:lineRule="exact"/>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 of net gains</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Pr>
          <w:p>
            <w:pPr>
              <w:ind w:left="540"/>
              <w:spacing w:after="0"/>
              <w:rPr>
                <w:sz w:val="20"/>
                <w:szCs w:val="20"/>
                <w:color w:val="auto"/>
              </w:rPr>
            </w:pPr>
            <w:r>
              <w:rPr>
                <w:rFonts w:ascii="Arial" w:cs="Arial" w:eastAsia="Arial" w:hAnsi="Arial"/>
                <w:sz w:val="18"/>
                <w:szCs w:val="18"/>
                <w:color w:val="auto"/>
              </w:rPr>
              <w:t>Net periodic postemployment costs</w:t>
            </w:r>
          </w:p>
        </w:tc>
        <w:tc>
          <w:tcPr>
            <w:tcW w:w="10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 Plans</w:t>
            </w: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Exercise or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ind w:left="240"/>
              <w:spacing w:after="0"/>
              <w:rPr>
                <w:sz w:val="20"/>
                <w:szCs w:val="20"/>
                <w:color w:val="auto"/>
              </w:rPr>
            </w:pPr>
            <w:r>
              <w:rPr>
                <w:rFonts w:ascii="Arial" w:cs="Arial" w:eastAsia="Arial" w:hAnsi="Arial"/>
                <w:sz w:val="14"/>
                <w:szCs w:val="14"/>
                <w:b w:val="1"/>
                <w:bCs w:val="1"/>
                <w:color w:val="auto"/>
              </w:rPr>
              <w:t>Shares Subject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Grant Price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7"/>
        </w:trPr>
        <w:tc>
          <w:tcPr>
            <w:tcW w:w="4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 Option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88"/>
        </w:trPr>
        <w:tc>
          <w:tcPr>
            <w:tcW w:w="4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53,601,612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6 years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874 million</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vMerge w:val="restart"/>
          </w:tcPr>
          <w:p>
            <w:pPr>
              <w:ind w:left="440"/>
              <w:spacing w:after="0"/>
              <w:rPr>
                <w:sz w:val="20"/>
                <w:szCs w:val="20"/>
                <w:color w:val="auto"/>
              </w:rPr>
            </w:pPr>
            <w:r>
              <w:rPr>
                <w:rFonts w:ascii="Arial" w:cs="Arial" w:eastAsia="Arial" w:hAnsi="Arial"/>
                <w:sz w:val="18"/>
                <w:szCs w:val="18"/>
                <w:color w:val="auto"/>
              </w:rPr>
              <w:t>43.20</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6,012,140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Additional options issued</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29,300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44.49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900"/>
              <w:spacing w:after="0"/>
              <w:rPr>
                <w:sz w:val="20"/>
                <w:szCs w:val="20"/>
                <w:color w:val="auto"/>
              </w:rPr>
            </w:pPr>
            <w:r>
              <w:rPr>
                <w:rFonts w:ascii="Arial" w:cs="Arial" w:eastAsia="Arial" w:hAnsi="Arial"/>
                <w:sz w:val="18"/>
                <w:szCs w:val="18"/>
                <w:color w:val="auto"/>
              </w:rPr>
              <w:t>Total options granted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6,041,440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40"/>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(7,837,372)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142 million</w:t>
            </w:r>
          </w:p>
        </w:tc>
        <w:tc>
          <w:tcPr>
            <w:tcW w:w="0" w:type="dxa"/>
            <w:vAlign w:val="bottom"/>
          </w:tcPr>
          <w:p>
            <w:pPr>
              <w:spacing w:after="0"/>
              <w:rPr>
                <w:sz w:val="1"/>
                <w:szCs w:val="1"/>
                <w:color w:val="auto"/>
              </w:rPr>
            </w:pPr>
          </w:p>
        </w:tc>
      </w:tr>
      <w:tr>
        <w:trPr>
          <w:trHeight w:val="210"/>
        </w:trPr>
        <w:tc>
          <w:tcPr>
            <w:tcW w:w="4520" w:type="dxa"/>
            <w:vAlign w:val="bottom"/>
          </w:tcPr>
          <w:p>
            <w:pPr>
              <w:ind w:left="720"/>
              <w:spacing w:after="0" w:line="202" w:lineRule="exact"/>
              <w:rPr>
                <w:sz w:val="20"/>
                <w:szCs w:val="20"/>
                <w:color w:val="auto"/>
              </w:rPr>
            </w:pPr>
            <w:r>
              <w:rPr>
                <w:rFonts w:ascii="Arial" w:cs="Arial" w:eastAsia="Arial" w:hAnsi="Arial"/>
                <w:sz w:val="18"/>
                <w:szCs w:val="18"/>
                <w:color w:val="auto"/>
              </w:rPr>
              <w:t>Options cancelled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(1,536,249)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38.96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September 30, 2017</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50,269,431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6 years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563 million</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140" w:right="20" w:hanging="335"/>
        <w:spacing w:after="0" w:line="266" w:lineRule="auto"/>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Cash received from options exercised was $43 million in the three months and $213 million in the nine months ended September 30, 2017. The actual tax benefit realized and recorded in the provision for income taxes for the tax deductions from the option exercises totaled $6 million in the three months and $24 million in the nine months ended September 30, 2017.</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Weighted-Average   Weighted-Average</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1260" w:type="dxa"/>
            <w:vAlign w:val="bottom"/>
            <w:gridSpan w:val="2"/>
          </w:tcPr>
          <w:p>
            <w:pPr>
              <w:jc w:val="right"/>
              <w:ind w:right="500"/>
              <w:spacing w:after="0" w:line="159" w:lineRule="exact"/>
              <w:rPr>
                <w:sz w:val="20"/>
                <w:szCs w:val="20"/>
                <w:color w:val="auto"/>
              </w:rPr>
            </w:pPr>
            <w:r>
              <w:rPr>
                <w:rFonts w:ascii="Arial" w:cs="Arial" w:eastAsia="Arial" w:hAnsi="Arial"/>
                <w:sz w:val="14"/>
                <w:szCs w:val="14"/>
                <w:b w:val="1"/>
                <w:bCs w:val="1"/>
                <w:color w:val="auto"/>
              </w:rPr>
              <w:t>Number</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500"/>
              <w:spacing w:after="0" w:line="159" w:lineRule="exact"/>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3"/>
                <w:szCs w:val="13"/>
                <w:color w:val="auto"/>
              </w:rPr>
            </w:pPr>
          </w:p>
        </w:tc>
        <w:tc>
          <w:tcPr>
            <w:tcW w:w="116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81"/>
        </w:trPr>
        <w:tc>
          <w:tcPr>
            <w:tcW w:w="596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Shares</w:t>
            </w:r>
          </w:p>
        </w:tc>
        <w:tc>
          <w:tcPr>
            <w:tcW w:w="15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Grant Date</w:t>
            </w:r>
          </w:p>
        </w:tc>
        <w:tc>
          <w:tcPr>
            <w:tcW w:w="1320" w:type="dxa"/>
            <w:vAlign w:val="bottom"/>
            <w:gridSpan w:val="2"/>
          </w:tcPr>
          <w:p>
            <w:pPr>
              <w:jc w:val="right"/>
              <w:ind w:right="420"/>
              <w:spacing w:after="0" w:line="181" w:lineRule="exact"/>
              <w:rPr>
                <w:sz w:val="20"/>
                <w:szCs w:val="20"/>
                <w:color w:val="auto"/>
              </w:rPr>
            </w:pPr>
            <w:r>
              <w:rPr>
                <w:rFonts w:ascii="Arial" w:cs="Arial" w:eastAsia="Arial" w:hAnsi="Arial"/>
                <w:sz w:val="12"/>
                <w:szCs w:val="12"/>
                <w:b w:val="1"/>
                <w:bCs w:val="1"/>
                <w:color w:val="auto"/>
              </w:rPr>
              <w:t xml:space="preserve">Per Share </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1160" w:type="dxa"/>
            <w:vAlign w:val="bottom"/>
            <w:gridSpan w:val="2"/>
          </w:tcPr>
          <w:p>
            <w:pPr>
              <w:jc w:val="right"/>
              <w:ind w:right="240"/>
              <w:spacing w:after="0" w:line="181" w:lineRule="exact"/>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88"/>
        </w:trPr>
        <w:tc>
          <w:tcPr>
            <w:tcW w:w="59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7,593,627</w:t>
            </w:r>
          </w:p>
        </w:tc>
        <w:tc>
          <w:tcPr>
            <w:tcW w:w="15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36.90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3"/>
            <w:vMerge w:val="restart"/>
          </w:tcPr>
          <w:p>
            <w:pPr>
              <w:jc w:val="center"/>
              <w:ind w:right="268"/>
              <w:spacing w:after="0"/>
              <w:rPr>
                <w:sz w:val="20"/>
                <w:szCs w:val="20"/>
                <w:color w:val="auto"/>
              </w:rPr>
            </w:pPr>
            <w:r>
              <w:rPr>
                <w:rFonts w:ascii="Arial" w:cs="Arial" w:eastAsia="Arial" w:hAnsi="Arial"/>
                <w:sz w:val="18"/>
                <w:szCs w:val="18"/>
                <w:color w:val="auto"/>
                <w:w w:val="98"/>
              </w:rPr>
              <w:t>Feb. 16, 2017</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Performance share units</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1,087,010</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43.14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900"/>
              <w:spacing w:after="0" w:line="202" w:lineRule="exact"/>
              <w:rPr>
                <w:sz w:val="20"/>
                <w:szCs w:val="20"/>
                <w:color w:val="auto"/>
              </w:rPr>
            </w:pPr>
            <w:r>
              <w:rPr>
                <w:rFonts w:ascii="Arial" w:cs="Arial" w:eastAsia="Arial" w:hAnsi="Arial"/>
                <w:sz w:val="18"/>
                <w:szCs w:val="18"/>
                <w:color w:val="auto"/>
              </w:rPr>
              <w:t>Deferred stock units</w:t>
            </w: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845,550</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43.20</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546,001</w:t>
            </w:r>
          </w:p>
        </w:tc>
        <w:tc>
          <w:tcPr>
            <w:tcW w:w="1560" w:type="dxa"/>
            <w:vAlign w:val="bottom"/>
            <w:gridSpan w:val="3"/>
            <w:shd w:val="clear" w:color="auto" w:fill="CCEEFF"/>
          </w:tcPr>
          <w:p>
            <w:pPr>
              <w:jc w:val="center"/>
              <w:ind w:right="248"/>
              <w:spacing w:after="0" w:line="202" w:lineRule="exact"/>
              <w:rPr>
                <w:sz w:val="20"/>
                <w:szCs w:val="20"/>
                <w:color w:val="auto"/>
              </w:rPr>
            </w:pPr>
            <w:r>
              <w:rPr>
                <w:rFonts w:ascii="Arial" w:cs="Arial" w:eastAsia="Arial" w:hAnsi="Arial"/>
                <w:sz w:val="18"/>
                <w:szCs w:val="18"/>
                <w:color w:val="auto"/>
                <w:w w:val="98"/>
              </w:rPr>
              <w:t>Various</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33.81</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900"/>
              <w:spacing w:after="0"/>
              <w:rPr>
                <w:sz w:val="20"/>
                <w:szCs w:val="20"/>
                <w:color w:val="auto"/>
              </w:rPr>
            </w:pPr>
            <w:r>
              <w:rPr>
                <w:rFonts w:ascii="Arial" w:cs="Arial" w:eastAsia="Arial" w:hAnsi="Arial"/>
                <w:sz w:val="18"/>
                <w:szCs w:val="18"/>
                <w:color w:val="auto"/>
              </w:rPr>
              <w:t>Total shares granted</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2,478,561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102 million</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2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(2,522,072)</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33.70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 million</w:t>
            </w:r>
          </w:p>
        </w:tc>
        <w:tc>
          <w:tcPr>
            <w:tcW w:w="0" w:type="dxa"/>
            <w:vAlign w:val="bottom"/>
          </w:tcPr>
          <w:p>
            <w:pPr>
              <w:spacing w:after="0"/>
              <w:rPr>
                <w:sz w:val="1"/>
                <w:szCs w:val="1"/>
                <w:color w:val="auto"/>
              </w:rPr>
            </w:pPr>
          </w:p>
        </w:tc>
      </w:tr>
      <w:tr>
        <w:trPr>
          <w:trHeight w:val="203"/>
        </w:trPr>
        <w:tc>
          <w:tcPr>
            <w:tcW w:w="59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(675,920)</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38.43</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September 30, 2017</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6,874,196</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39.44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1140" w:hanging="335"/>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9" w:lineRule="exact"/>
        <w:rPr>
          <w:rFonts w:ascii="Arial" w:cs="Arial" w:eastAsia="Arial" w:hAnsi="Arial"/>
          <w:sz w:val="14"/>
          <w:szCs w:val="14"/>
          <w:color w:val="auto"/>
        </w:rPr>
      </w:pPr>
    </w:p>
    <w:p>
      <w:pPr>
        <w:ind w:left="1140" w:right="180" w:hanging="335"/>
        <w:spacing w:after="0" w:line="241" w:lineRule="auto"/>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 realized and recorded in the provision for income taxes for the tax deductions from the shares vested totaled less than $1 million in the three months and $7 million in the nine months ended September 30, 2017.</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Prior-year weighted average fair value per share has been revised.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w:t>
      </w:r>
    </w:p>
    <w:p>
      <w:pPr>
        <w:spacing w:after="0" w:line="234" w:lineRule="auto"/>
        <w:rPr>
          <w:sz w:val="20"/>
          <w:szCs w:val="20"/>
          <w:color w:val="auto"/>
        </w:rPr>
      </w:pPr>
      <w:r>
        <w:rPr>
          <w:rFonts w:ascii="Arial" w:cs="Arial" w:eastAsia="Arial" w:hAnsi="Arial"/>
          <w:sz w:val="18"/>
          <w:szCs w:val="18"/>
          <w:color w:val="auto"/>
        </w:rPr>
        <w:t>2015, our Finance Committee, with authorization delegated from our Board of Directors, approved an increase of $6.0 billion in the share</w:t>
      </w:r>
    </w:p>
    <w:p>
      <w:pPr>
        <w:spacing w:after="0" w:line="235" w:lineRule="auto"/>
        <w:rPr>
          <w:sz w:val="20"/>
          <w:szCs w:val="20"/>
          <w:color w:val="auto"/>
        </w:rPr>
      </w:pPr>
      <w:r>
        <w:rPr>
          <w:rFonts w:ascii="Arial" w:cs="Arial" w:eastAsia="Arial" w:hAnsi="Arial"/>
          <w:sz w:val="18"/>
          <w:szCs w:val="18"/>
          <w:color w:val="auto"/>
        </w:rPr>
        <w:t>repurchase program, raising the authorization to $13.7 billion of Common Stock repurchases, and extended the program through</w:t>
      </w:r>
    </w:p>
    <w:p>
      <w:pPr>
        <w:spacing w:after="0" w:line="235" w:lineRule="auto"/>
        <w:rPr>
          <w:sz w:val="20"/>
          <w:szCs w:val="20"/>
          <w:color w:val="auto"/>
        </w:rPr>
      </w:pPr>
      <w:r>
        <w:rPr>
          <w:rFonts w:ascii="Arial" w:cs="Arial" w:eastAsia="Arial" w:hAnsi="Arial"/>
          <w:sz w:val="18"/>
          <w:szCs w:val="18"/>
          <w:color w:val="auto"/>
        </w:rPr>
        <w:t>December 31, 2018. Repurchases under the program are determined by management and are wholly discretionary. Prior to January 1, 2017,</w:t>
      </w:r>
    </w:p>
    <w:p>
      <w:pPr>
        <w:spacing w:after="0" w:line="235" w:lineRule="auto"/>
        <w:rPr>
          <w:sz w:val="20"/>
          <w:szCs w:val="20"/>
          <w:color w:val="auto"/>
        </w:rPr>
      </w:pPr>
      <w:r>
        <w:rPr>
          <w:rFonts w:ascii="Arial" w:cs="Arial" w:eastAsia="Arial" w:hAnsi="Arial"/>
          <w:sz w:val="18"/>
          <w:szCs w:val="18"/>
          <w:color w:val="auto"/>
        </w:rPr>
        <w:t>we had repurchased $10.8 billion of Common Stock pursuant to this authorization. During the nine months ended September 30, 2017, we</w:t>
      </w:r>
    </w:p>
    <w:p>
      <w:pPr>
        <w:spacing w:after="0" w:line="235" w:lineRule="auto"/>
        <w:rPr>
          <w:sz w:val="20"/>
          <w:szCs w:val="20"/>
          <w:color w:val="auto"/>
        </w:rPr>
      </w:pPr>
      <w:r>
        <w:rPr>
          <w:rFonts w:ascii="Arial" w:cs="Arial" w:eastAsia="Arial" w:hAnsi="Arial"/>
          <w:sz w:val="18"/>
          <w:szCs w:val="18"/>
          <w:color w:val="auto"/>
        </w:rPr>
        <w:t>repurchased approximately 42 million shares of Common Stock at an average cost of $43.67 per share, or an aggregate cost of approximately</w:t>
      </w:r>
    </w:p>
    <w:p>
      <w:pPr>
        <w:spacing w:after="0" w:line="235" w:lineRule="auto"/>
        <w:rPr>
          <w:sz w:val="20"/>
          <w:szCs w:val="20"/>
          <w:color w:val="auto"/>
        </w:rPr>
      </w:pPr>
      <w:r>
        <w:rPr>
          <w:rFonts w:ascii="Arial" w:cs="Arial" w:eastAsia="Arial" w:hAnsi="Arial"/>
          <w:sz w:val="18"/>
          <w:szCs w:val="18"/>
          <w:color w:val="auto"/>
        </w:rPr>
        <w:t>$1,817 million, all of which was paid during the period except for approximately $31 million settled in October 2017. All share repurchases were</w:t>
      </w:r>
    </w:p>
    <w:p>
      <w:pPr>
        <w:spacing w:after="0" w:line="235" w:lineRule="auto"/>
        <w:rPr>
          <w:sz w:val="20"/>
          <w:szCs w:val="20"/>
          <w:color w:val="auto"/>
        </w:rPr>
      </w:pPr>
      <w:r>
        <w:rPr>
          <w:rFonts w:ascii="Arial" w:cs="Arial" w:eastAsia="Arial" w:hAnsi="Arial"/>
          <w:sz w:val="18"/>
          <w:szCs w:val="18"/>
          <w:color w:val="auto"/>
        </w:rPr>
        <w:t>funded through available cash and commercial paper issuances. As of September 30, 2017, we have approximately $1 billion in remaining</w:t>
      </w:r>
    </w:p>
    <w:p>
      <w:pPr>
        <w:spacing w:after="0"/>
        <w:rPr>
          <w:sz w:val="20"/>
          <w:szCs w:val="20"/>
          <w:color w:val="auto"/>
        </w:rPr>
      </w:pPr>
      <w:r>
        <w:rPr>
          <w:rFonts w:ascii="Arial" w:cs="Arial" w:eastAsia="Arial" w:hAnsi="Arial"/>
          <w:sz w:val="18"/>
          <w:szCs w:val="18"/>
          <w:color w:val="auto"/>
        </w:rPr>
        <w:t>share repurchase capacity.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($57 million as of September 30, 2017)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($90 million as of September 30, 2017).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($75 million as of September 30, 2017) of unpaid excise taxes as well as penalties to be determined up to an amount equivalent to that claimed by the Excise Authority plus interest. With the implementation of the new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w:t>
      </w:r>
    </w:p>
    <w:p>
      <w:pPr>
        <w:spacing w:after="0" w:line="1" w:lineRule="exact"/>
        <w:rPr>
          <w:sz w:val="20"/>
          <w:szCs w:val="20"/>
          <w:color w:val="auto"/>
        </w:rPr>
      </w:pPr>
    </w:p>
    <w:p>
      <w:pPr>
        <w:ind w:firstLine="8"/>
        <w:spacing w:after="0" w:line="23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181"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6"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September 30, 2017, we had no material third-party guarantees recorded on our condensed consolidated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 In the third quarter of 2017, we recorded additional income of $3 million related to a bank guarantee release within selling, general and administrative expenses and interest and other expense, net.</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During the first quarter of 2017, the Brazilian Supreme Court (the “Court”) ruled against the Brazilian tax authorities in a leading case related to the computation of certain indirect taxes. The Court ruled that the indirect tax base should not include a value-added tax known as “ICMS”. By removing the ICMS from the tax base, the Court effectively eliminated a “tax on a tax.” Our Brazilian subsidiary had received an injunction against making payments for the “tax on a tax” in 2008 and since that time until December 2016, had accrued this portion of the tax each quarter in the event that the tax was reaffirmed by the Brazilian courts. On September 30, 2017, based on legal advice and the publication of the Court’s decision related to this case, we determined that the likelihood that the increased tax base would be reinstated and assessed against us was remote. Accordingly, we reversed our accrual of 667 million Brazilian reais, or $212 million as of September 30, 2017, of which, $153 million was recorded within selling, general and administrative expenses and $59 million was recorded within interest and other expense, net. The Brazilian tax authority may appeal the Court’s decision, seeking potential clarification or adjustment of the terms of enforcement. We continue to monitor developments in this matter and currently do not expect a material future impact on our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$28 million in the three months and $112 million in the nine months ended September 30, 2017 and $28 million in the three months and $206 million in the nine months ended September 30,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252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rPr>
              <w:t>For the Nine Months Ended</w:t>
            </w:r>
          </w:p>
        </w:tc>
      </w:tr>
      <w:tr>
        <w:trPr>
          <w:trHeight w:val="209"/>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September 30,</w:t>
            </w:r>
          </w:p>
        </w:tc>
      </w:tr>
      <w:tr>
        <w:trPr>
          <w:trHeight w:val="183"/>
        </w:trPr>
        <w:tc>
          <w:tcPr>
            <w:tcW w:w="63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2017</w:t>
            </w:r>
          </w:p>
        </w:tc>
        <w:tc>
          <w:tcPr>
            <w:tcW w:w="3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2017</w:t>
            </w:r>
          </w:p>
        </w:tc>
        <w:tc>
          <w:tcPr>
            <w:tcW w:w="3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5"/>
                <w:szCs w:val="15"/>
                <w:color w:val="auto"/>
              </w:rPr>
            </w:pPr>
          </w:p>
        </w:tc>
      </w:tr>
      <w:tr>
        <w:trPr>
          <w:trHeight w:val="183"/>
        </w:trPr>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1040"/>
              <w:spacing w:after="0" w:line="183" w:lineRule="exact"/>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Currency Translation Adjustments: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Balance at beginning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(8,007)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(7,902)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(8,914)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(8,006)</w:t>
            </w: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Currency translation adjustments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291</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1,055</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Reclassification to earnings related to:</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Equity method investment exchange</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Tax benefit/(expense)</w:t>
            </w:r>
          </w:p>
        </w:tc>
        <w:tc>
          <w:tcPr>
            <w:tcW w:w="2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r>
      <w:tr>
        <w:trPr>
          <w:trHeight w:val="27"/>
        </w:trPr>
        <w:tc>
          <w:tcPr>
            <w:tcW w:w="6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earnings/(losses)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337</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1,260</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131</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Less: (gain)/loss attributable to noncontrolling interests</w:t>
            </w:r>
          </w:p>
        </w:tc>
        <w:tc>
          <w:tcPr>
            <w:tcW w:w="2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27"/>
        </w:trPr>
        <w:tc>
          <w:tcPr>
            <w:tcW w:w="6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Balance at end of period</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(7,678)</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(7,872)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(7,678)</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(7,872)</w:t>
            </w:r>
          </w:p>
        </w:tc>
      </w:tr>
      <w:tr>
        <w:trPr>
          <w:trHeight w:val="196"/>
        </w:trPr>
        <w:tc>
          <w:tcPr>
            <w:tcW w:w="6340" w:type="dxa"/>
            <w:vAlign w:val="bottom"/>
          </w:tcPr>
          <w:p>
            <w:pPr>
              <w:ind w:left="340"/>
              <w:spacing w:after="0"/>
              <w:rPr>
                <w:sz w:val="20"/>
                <w:szCs w:val="20"/>
                <w:color w:val="auto"/>
              </w:rPr>
            </w:pPr>
            <w:r>
              <w:rPr>
                <w:rFonts w:ascii="Arial" w:cs="Arial" w:eastAsia="Arial" w:hAnsi="Arial"/>
                <w:sz w:val="16"/>
                <w:szCs w:val="16"/>
                <w:b w:val="1"/>
                <w:bCs w:val="1"/>
                <w:color w:val="auto"/>
              </w:rPr>
              <w:t>Pension and Other Benefit Plans:</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(2,119)</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(2,087)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(1,934)</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Net actuarial (loss)/gain arising during period</w:t>
            </w:r>
          </w:p>
        </w:tc>
        <w:tc>
          <w:tcPr>
            <w:tcW w:w="2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24</w:t>
            </w:r>
          </w:p>
        </w:tc>
      </w:tr>
      <w:tr>
        <w:trPr>
          <w:trHeight w:val="189"/>
        </w:trPr>
        <w:tc>
          <w:tcPr>
            <w:tcW w:w="6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Tax benefit/(expense) on net actuarial loss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Losses/(gains) reclassified into net earnings: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340" w:type="dxa"/>
            <w:vAlign w:val="bottom"/>
            <w:shd w:val="clear" w:color="auto" w:fill="CCEEFF"/>
          </w:tcPr>
          <w:p>
            <w:pPr>
              <w:ind w:left="640"/>
              <w:spacing w:after="0" w:line="189" w:lineRule="exact"/>
              <w:rPr>
                <w:sz w:val="20"/>
                <w:szCs w:val="20"/>
                <w:color w:val="auto"/>
              </w:rPr>
            </w:pPr>
            <w:r>
              <w:rPr>
                <w:rFonts w:ascii="Arial" w:cs="Arial" w:eastAsia="Arial" w:hAnsi="Arial"/>
                <w:sz w:val="13"/>
                <w:szCs w:val="13"/>
                <w:color w:val="auto"/>
              </w:rPr>
              <w:t xml:space="preserve">Amortization of experience losses and prior service costs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w:t>
            </w:r>
          </w:p>
        </w:tc>
      </w:tr>
      <w:tr>
        <w:trPr>
          <w:trHeight w:val="189"/>
        </w:trPr>
        <w:tc>
          <w:tcPr>
            <w:tcW w:w="6340" w:type="dxa"/>
            <w:vAlign w:val="bottom"/>
          </w:tcPr>
          <w:p>
            <w:pPr>
              <w:ind w:left="640"/>
              <w:spacing w:after="0" w:line="189" w:lineRule="exact"/>
              <w:rPr>
                <w:sz w:val="20"/>
                <w:szCs w:val="20"/>
                <w:color w:val="auto"/>
              </w:rPr>
            </w:pPr>
            <w:r>
              <w:rPr>
                <w:rFonts w:ascii="Arial" w:cs="Arial" w:eastAsia="Arial" w:hAnsi="Arial"/>
                <w:sz w:val="13"/>
                <w:szCs w:val="13"/>
                <w:color w:val="auto"/>
              </w:rPr>
              <w:t xml:space="preserve">Settlement losses and other expenses </w:t>
            </w:r>
            <w:r>
              <w:rPr>
                <w:rFonts w:ascii="Arial" w:cs="Arial" w:eastAsia="Arial" w:hAnsi="Arial"/>
                <w:sz w:val="21"/>
                <w:szCs w:val="21"/>
                <w:color w:val="auto"/>
                <w:vertAlign w:val="superscript"/>
              </w:rPr>
              <w:t>(1)</w:t>
            </w:r>
          </w:p>
        </w:tc>
        <w:tc>
          <w:tcPr>
            <w:tcW w:w="2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r>
      <w:tr>
        <w:trPr>
          <w:trHeight w:val="189"/>
        </w:trPr>
        <w:tc>
          <w:tcPr>
            <w:tcW w:w="6340" w:type="dxa"/>
            <w:vAlign w:val="bottom"/>
            <w:shd w:val="clear" w:color="auto" w:fill="CCEEFF"/>
          </w:tcPr>
          <w:p>
            <w:pPr>
              <w:ind w:left="640"/>
              <w:spacing w:after="0" w:line="189" w:lineRule="exact"/>
              <w:rPr>
                <w:sz w:val="20"/>
                <w:szCs w:val="20"/>
                <w:color w:val="auto"/>
              </w:rPr>
            </w:pPr>
            <w:r>
              <w:rPr>
                <w:rFonts w:ascii="Arial" w:cs="Arial" w:eastAsia="Arial" w:hAnsi="Arial"/>
                <w:sz w:val="13"/>
                <w:szCs w:val="13"/>
                <w:color w:val="auto"/>
              </w:rPr>
              <w:t xml:space="preserve">Tax benefit on reclassifications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Currency impact</w:t>
            </w:r>
          </w:p>
        </w:tc>
        <w:tc>
          <w:tcPr>
            <w:tcW w:w="2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(171)</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42</w:t>
            </w:r>
          </w:p>
        </w:tc>
      </w:tr>
      <w:tr>
        <w:trPr>
          <w:trHeight w:val="27"/>
        </w:trPr>
        <w:tc>
          <w:tcPr>
            <w:tcW w:w="6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(losses)/earnings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(42)</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w:t>
            </w:r>
          </w:p>
        </w:tc>
      </w:tr>
      <w:tr>
        <w:trPr>
          <w:trHeight w:val="203"/>
        </w:trPr>
        <w:tc>
          <w:tcPr>
            <w:tcW w:w="6340" w:type="dxa"/>
            <w:vAlign w:val="bottom"/>
          </w:tcPr>
          <w:p>
            <w:pPr>
              <w:ind w:left="48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w:t>
            </w:r>
          </w:p>
        </w:tc>
        <w:tc>
          <w:tcPr>
            <w:tcW w:w="100" w:type="dxa"/>
            <w:vAlign w:val="bottom"/>
          </w:tcPr>
          <w:p>
            <w:pPr>
              <w:spacing w:after="0"/>
              <w:rPr>
                <w:sz w:val="17"/>
                <w:szCs w:val="17"/>
                <w:color w:val="auto"/>
              </w:rPr>
            </w:pPr>
          </w:p>
        </w:tc>
      </w:tr>
      <w:tr>
        <w:trPr>
          <w:trHeight w:val="189"/>
        </w:trPr>
        <w:tc>
          <w:tcPr>
            <w:tcW w:w="63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Derivative Cash Flow Hedges: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Balance at beginning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(91)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(36)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(121)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derivative gains/(losses)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w:t>
            </w:r>
          </w:p>
        </w:tc>
      </w:tr>
      <w:tr>
        <w:trPr>
          <w:trHeight w:val="189"/>
        </w:trPr>
        <w:tc>
          <w:tcPr>
            <w:tcW w:w="6340" w:type="dxa"/>
            <w:vAlign w:val="bottom"/>
          </w:tcPr>
          <w:p>
            <w:pPr>
              <w:ind w:left="640"/>
              <w:spacing w:after="0"/>
              <w:rPr>
                <w:sz w:val="20"/>
                <w:szCs w:val="20"/>
                <w:color w:val="auto"/>
              </w:rPr>
            </w:pPr>
            <w:r>
              <w:rPr>
                <w:rFonts w:ascii="Arial" w:cs="Arial" w:eastAsia="Arial" w:hAnsi="Arial"/>
                <w:sz w:val="16"/>
                <w:szCs w:val="16"/>
                <w:color w:val="auto"/>
              </w:rPr>
              <w:t>Tax benefit on net derivative gain/(loss)</w:t>
            </w:r>
          </w:p>
        </w:tc>
        <w:tc>
          <w:tcPr>
            <w:tcW w:w="2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w:t>
            </w: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Losses/(gains) reclassified into net earnings: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340" w:type="dxa"/>
            <w:vAlign w:val="bottom"/>
          </w:tcPr>
          <w:p>
            <w:pPr>
              <w:ind w:left="640"/>
              <w:spacing w:after="0" w:line="189" w:lineRule="exact"/>
              <w:rPr>
                <w:sz w:val="20"/>
                <w:szCs w:val="20"/>
                <w:color w:val="auto"/>
              </w:rPr>
            </w:pPr>
            <w:r>
              <w:rPr>
                <w:rFonts w:ascii="Arial" w:cs="Arial" w:eastAsia="Arial" w:hAnsi="Arial"/>
                <w:sz w:val="13"/>
                <w:szCs w:val="13"/>
                <w:color w:val="auto"/>
              </w:rPr>
              <w:t xml:space="preserve">Currency exchange contracts – forecasted transactions </w:t>
            </w:r>
            <w:r>
              <w:rPr>
                <w:rFonts w:ascii="Arial" w:cs="Arial" w:eastAsia="Arial" w:hAnsi="Arial"/>
                <w:sz w:val="21"/>
                <w:szCs w:val="21"/>
                <w:color w:val="auto"/>
                <w:vertAlign w:val="superscript"/>
              </w:rPr>
              <w:t>(3)</w:t>
            </w:r>
          </w:p>
        </w:tc>
        <w:tc>
          <w:tcPr>
            <w:tcW w:w="2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189"/>
        </w:trPr>
        <w:tc>
          <w:tcPr>
            <w:tcW w:w="6340" w:type="dxa"/>
            <w:vAlign w:val="bottom"/>
            <w:shd w:val="clear" w:color="auto" w:fill="CCEEFF"/>
          </w:tcPr>
          <w:p>
            <w:pPr>
              <w:ind w:left="640"/>
              <w:spacing w:after="0" w:line="189" w:lineRule="exact"/>
              <w:rPr>
                <w:sz w:val="20"/>
                <w:szCs w:val="20"/>
                <w:color w:val="auto"/>
              </w:rPr>
            </w:pPr>
            <w:r>
              <w:rPr>
                <w:rFonts w:ascii="Arial" w:cs="Arial" w:eastAsia="Arial" w:hAnsi="Arial"/>
                <w:sz w:val="13"/>
                <w:szCs w:val="13"/>
                <w:color w:val="auto"/>
              </w:rPr>
              <w:t xml:space="preserve">Commodity contracts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r>
      <w:tr>
        <w:trPr>
          <w:trHeight w:val="189"/>
        </w:trPr>
        <w:tc>
          <w:tcPr>
            <w:tcW w:w="6340" w:type="dxa"/>
            <w:vAlign w:val="bottom"/>
          </w:tcPr>
          <w:p>
            <w:pPr>
              <w:ind w:left="640"/>
              <w:spacing w:after="0" w:line="189" w:lineRule="exact"/>
              <w:rPr>
                <w:sz w:val="20"/>
                <w:szCs w:val="20"/>
                <w:color w:val="auto"/>
              </w:rPr>
            </w:pPr>
            <w:r>
              <w:rPr>
                <w:rFonts w:ascii="Arial" w:cs="Arial" w:eastAsia="Arial" w:hAnsi="Arial"/>
                <w:sz w:val="13"/>
                <w:szCs w:val="13"/>
                <w:color w:val="auto"/>
              </w:rPr>
              <w:t xml:space="preserve">Interest rate contracts </w:t>
            </w:r>
            <w:r>
              <w:rPr>
                <w:rFonts w:ascii="Arial" w:cs="Arial" w:eastAsia="Arial" w:hAnsi="Arial"/>
                <w:sz w:val="21"/>
                <w:szCs w:val="21"/>
                <w:color w:val="auto"/>
                <w:vertAlign w:val="superscript"/>
              </w:rPr>
              <w:t>(4)</w:t>
            </w:r>
          </w:p>
        </w:tc>
        <w:tc>
          <w:tcPr>
            <w:tcW w:w="20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96</w:t>
            </w:r>
          </w:p>
        </w:tc>
      </w:tr>
      <w:tr>
        <w:trPr>
          <w:trHeight w:val="189"/>
        </w:trPr>
        <w:tc>
          <w:tcPr>
            <w:tcW w:w="6340" w:type="dxa"/>
            <w:vAlign w:val="bottom"/>
            <w:shd w:val="clear" w:color="auto" w:fill="CCEEFF"/>
          </w:tcPr>
          <w:p>
            <w:pPr>
              <w:ind w:left="640"/>
              <w:spacing w:after="0" w:line="189" w:lineRule="exact"/>
              <w:rPr>
                <w:sz w:val="20"/>
                <w:szCs w:val="20"/>
                <w:color w:val="auto"/>
              </w:rPr>
            </w:pPr>
            <w:r>
              <w:rPr>
                <w:rFonts w:ascii="Arial" w:cs="Arial" w:eastAsia="Arial" w:hAnsi="Arial"/>
                <w:sz w:val="13"/>
                <w:szCs w:val="13"/>
                <w:color w:val="auto"/>
              </w:rPr>
              <w:t xml:space="preserve">Tax benefit on reclassifications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Currency impact</w:t>
            </w:r>
          </w:p>
        </w:tc>
        <w:tc>
          <w:tcPr>
            <w:tcW w:w="2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r>
      <w:tr>
        <w:trPr>
          <w:trHeight w:val="27"/>
        </w:trPr>
        <w:tc>
          <w:tcPr>
            <w:tcW w:w="6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earnings/(losses)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r>
      <w:tr>
        <w:trPr>
          <w:trHeight w:val="203"/>
        </w:trPr>
        <w:tc>
          <w:tcPr>
            <w:tcW w:w="6340" w:type="dxa"/>
            <w:vAlign w:val="bottom"/>
          </w:tcPr>
          <w:p>
            <w:pPr>
              <w:ind w:left="48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r>
      <w:tr>
        <w:trPr>
          <w:trHeight w:val="169"/>
        </w:trPr>
        <w:tc>
          <w:tcPr>
            <w:tcW w:w="634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b w:val="1"/>
                <w:bCs w:val="1"/>
                <w:color w:val="auto"/>
              </w:rPr>
              <w:t>Accumulated other comprehensive income attributable to Mondelēz</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9"/>
        </w:trPr>
        <w:tc>
          <w:tcPr>
            <w:tcW w:w="634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International:</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Balance at beginning of period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(10,217)</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(9,768)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(11,122)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(9,986)</w:t>
            </w: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comprehensive earnings/(losses)</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308</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1,229</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284</w:t>
            </w:r>
          </w:p>
        </w:tc>
      </w:tr>
      <w:tr>
        <w:trPr>
          <w:trHeight w:val="189"/>
        </w:trPr>
        <w:tc>
          <w:tcPr>
            <w:tcW w:w="6340" w:type="dxa"/>
            <w:vAlign w:val="bottom"/>
          </w:tcPr>
          <w:p>
            <w:pPr>
              <w:ind w:left="480"/>
              <w:spacing w:after="0"/>
              <w:rPr>
                <w:sz w:val="20"/>
                <w:szCs w:val="20"/>
                <w:color w:val="auto"/>
              </w:rPr>
            </w:pPr>
            <w:r>
              <w:rPr>
                <w:rFonts w:ascii="Arial" w:cs="Arial" w:eastAsia="Arial" w:hAnsi="Arial"/>
                <w:sz w:val="16"/>
                <w:szCs w:val="16"/>
                <w:color w:val="auto"/>
              </w:rPr>
              <w:t>Less: loss/(gain) attributable to noncontrolling interests</w:t>
            </w:r>
          </w:p>
        </w:tc>
        <w:tc>
          <w:tcPr>
            <w:tcW w:w="20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27"/>
        </w:trPr>
        <w:tc>
          <w:tcPr>
            <w:tcW w:w="6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6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earnings/(losses) attributable to Mondelēz International</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1,205</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287</w:t>
            </w:r>
          </w:p>
        </w:tc>
      </w:tr>
      <w:tr>
        <w:trPr>
          <w:trHeight w:val="196"/>
        </w:trPr>
        <w:tc>
          <w:tcPr>
            <w:tcW w:w="6340" w:type="dxa"/>
            <w:vAlign w:val="bottom"/>
          </w:tcPr>
          <w:p>
            <w:pPr>
              <w:ind w:left="48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(9,917)</w:t>
            </w:r>
          </w:p>
        </w:tc>
        <w:tc>
          <w:tcPr>
            <w:tcW w:w="3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(9,917)</w:t>
            </w: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(9,699)</w:t>
            </w:r>
          </w:p>
        </w:tc>
        <w:tc>
          <w:tcPr>
            <w:tcW w:w="10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9" w:lineRule="exact"/>
        <w:rPr>
          <w:rFonts w:ascii="Arial" w:cs="Arial" w:eastAsia="Arial" w:hAnsi="Arial"/>
          <w:sz w:val="14"/>
          <w:szCs w:val="14"/>
          <w:color w:val="auto"/>
        </w:rPr>
      </w:pP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18"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Based on current tax laws, our estimated annual effective tax rate for 2017, excluding the impacts from the sale of our Australian grocery business, is 25.8%, which reflects favorable impacts from the mix of pre-tax income in various non-U.S. tax jurisdictions, partially offset by an increase in domestic earnings as compared to the prior year. Our 2017 third quarter effective tax rate of 23.4% was favorably impacted by the divestiture of our Australian grocery business, which had a lower effective tax rate, resulting in a $27 million tax expense related to the pre-tax gain of $187 million. Our effective tax rate for the nine months ended September 30, 2017 of 21.3% was also favorably impacted by the sale of our Australian grocery business as well as other discrete one-time benefits. The discrete net tax benefits primarily consisted of a $74 million benefit from the release of uncertain tax positions due to expirations of statutes of limitations and audit settlements in various jurisdictions and a $16 million benefit related to the U.S. domestic production activities deduction.</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of the third quarter of 2016, our estimated annual effective tax rate for 2016 was 20.8%, reflecting favorable impacts from the mix of pre-tax income in various non-U.S. tax jurisdictions. Our 2016 third quarter effective tax rate of 7.2% included net benefit from discrete one-time events of $60 million, mainly due to $35 million from expirations of statutes of limitations and favorable audit settlements in several jurisdictions and a $17 million benefit from the reduction of U.K. net deferred tax liabilities resulting from tax legislation enacted during the third quarter of 2016 that reduced the U.K. corporate income tax rate. Our effective tax rate for the nine months ended September 30, 2016 of 13.6% was favorably impacted by net tax benefits of $109 million from discrete one-time events. The discrete net tax benefits primarily consisted of benefits of $73 million due to expirations of statutes of limitations and favorable audit settlements in several jurisdictions and a $17 million benefit from the reduction of U.K. net deferred tax liabilities resulting from tax legislation enacted during the third quarter of 2016 that reduced the U.K. corporate income tax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earnings per share (“EPS”) were calculated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3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center"/>
              <w:ind w:left="421"/>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40" w:type="dxa"/>
            <w:vAlign w:val="bottom"/>
            <w:gridSpan w:val="7"/>
          </w:tcPr>
          <w:p>
            <w:pPr>
              <w:ind w:left="1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earnings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993</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2,126</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189"/>
        </w:trPr>
        <w:tc>
          <w:tcPr>
            <w:tcW w:w="6160" w:type="dxa"/>
            <w:vAlign w:val="bottom"/>
          </w:tcPr>
          <w:p>
            <w:pPr>
              <w:ind w:left="480"/>
              <w:spacing w:after="0"/>
              <w:rPr>
                <w:sz w:val="20"/>
                <w:szCs w:val="20"/>
                <w:color w:val="auto"/>
              </w:rPr>
            </w:pPr>
            <w:r>
              <w:rPr>
                <w:rFonts w:ascii="Arial" w:cs="Arial" w:eastAsia="Arial" w:hAnsi="Arial"/>
                <w:sz w:val="16"/>
                <w:szCs w:val="16"/>
                <w:color w:val="auto"/>
              </w:rPr>
              <w:t>Noncontrolling interest (earnings)</w:t>
            </w:r>
          </w:p>
        </w:tc>
        <w:tc>
          <w:tcPr>
            <w:tcW w:w="16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1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earnings attributable to Mondelēz International</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2,120</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80"/>
              <w:spacing w:after="0"/>
              <w:rPr>
                <w:sz w:val="20"/>
                <w:szCs w:val="20"/>
                <w:color w:val="auto"/>
              </w:rPr>
            </w:pPr>
            <w:r>
              <w:rPr>
                <w:rFonts w:ascii="Arial" w:cs="Arial" w:eastAsia="Arial" w:hAnsi="Arial"/>
                <w:sz w:val="16"/>
                <w:szCs w:val="16"/>
                <w:color w:val="auto"/>
              </w:rPr>
              <w:t>Weighted-average shares for basic EPS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1,557</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1,518</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160" w:type="dxa"/>
            <w:vAlign w:val="bottom"/>
            <w:shd w:val="clear" w:color="auto" w:fill="CCEEFF"/>
          </w:tcPr>
          <w:p>
            <w:pPr>
              <w:ind w:left="480"/>
              <w:spacing w:after="0" w:line="171" w:lineRule="exact"/>
              <w:rPr>
                <w:sz w:val="20"/>
                <w:szCs w:val="20"/>
                <w:color w:val="auto"/>
              </w:rPr>
            </w:pPr>
            <w:r>
              <w:rPr>
                <w:rFonts w:ascii="Arial" w:cs="Arial" w:eastAsia="Arial" w:hAnsi="Arial"/>
                <w:sz w:val="16"/>
                <w:szCs w:val="16"/>
                <w:color w:val="auto"/>
              </w:rPr>
              <w:t>Plus incremental shares from assumed conversions</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of stock options and long-term incentive plan shares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6"/>
        </w:trPr>
        <w:tc>
          <w:tcPr>
            <w:tcW w:w="6160" w:type="dxa"/>
            <w:vAlign w:val="bottom"/>
          </w:tcPr>
          <w:p>
            <w:pPr>
              <w:ind w:left="480"/>
              <w:spacing w:after="0"/>
              <w:rPr>
                <w:sz w:val="20"/>
                <w:szCs w:val="20"/>
                <w:color w:val="auto"/>
              </w:rPr>
            </w:pPr>
            <w:r>
              <w:rPr>
                <w:rFonts w:ascii="Arial" w:cs="Arial" w:eastAsia="Arial" w:hAnsi="Arial"/>
                <w:sz w:val="16"/>
                <w:szCs w:val="16"/>
                <w:color w:val="auto"/>
              </w:rPr>
              <w:t>Weighted-average shares for diluted EPS</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3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4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160" w:type="dxa"/>
            <w:vAlign w:val="bottom"/>
            <w:shd w:val="clear" w:color="auto" w:fill="CCEEFF"/>
          </w:tcPr>
          <w:p>
            <w:pPr>
              <w:ind w:left="480"/>
              <w:spacing w:after="0" w:line="165" w:lineRule="exact"/>
              <w:rPr>
                <w:sz w:val="20"/>
                <w:szCs w:val="20"/>
                <w:color w:val="auto"/>
              </w:rPr>
            </w:pPr>
            <w:r>
              <w:rPr>
                <w:rFonts w:ascii="Arial" w:cs="Arial" w:eastAsia="Arial" w:hAnsi="Arial"/>
                <w:sz w:val="16"/>
                <w:szCs w:val="16"/>
                <w:color w:val="auto"/>
              </w:rPr>
              <w:t>Basic earnings per share attributable to</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Mondelēz International</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0.66</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0.35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1.40</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80"/>
              <w:spacing w:after="0"/>
              <w:rPr>
                <w:sz w:val="20"/>
                <w:szCs w:val="20"/>
                <w:color w:val="auto"/>
              </w:rPr>
            </w:pPr>
            <w:r>
              <w:rPr>
                <w:rFonts w:ascii="Arial" w:cs="Arial" w:eastAsia="Arial" w:hAnsi="Arial"/>
                <w:sz w:val="16"/>
                <w:szCs w:val="16"/>
                <w:color w:val="auto"/>
              </w:rPr>
              <w:t>Diluted earnings per share attributable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160" w:type="dxa"/>
            <w:vAlign w:val="bottom"/>
          </w:tcPr>
          <w:p>
            <w:pPr>
              <w:ind w:left="660"/>
              <w:spacing w:after="0"/>
              <w:rPr>
                <w:sz w:val="20"/>
                <w:szCs w:val="20"/>
                <w:color w:val="auto"/>
              </w:rPr>
            </w:pPr>
            <w:r>
              <w:rPr>
                <w:rFonts w:ascii="Arial" w:cs="Arial" w:eastAsia="Arial" w:hAnsi="Arial"/>
                <w:sz w:val="16"/>
                <w:szCs w:val="16"/>
                <w:color w:val="auto"/>
              </w:rPr>
              <w:t>Mondelēz International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0.65</w:t>
            </w:r>
          </w:p>
        </w:tc>
        <w:tc>
          <w:tcPr>
            <w:tcW w:w="2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0.35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1.38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0.99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We exclude antidilutive Mondelēz International stock options from our calculation of weighted-average shares for diluted EPS. We excluded antidilutive stock options of 9.0 million for the three months and 8.0 million for the nine months ended September 30, 2017 and 4.3 million for the three months and 7.7 million for the nine months ended September 30,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1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and management structure are organized into four reportable operating segments:</w:t>
      </w:r>
    </w:p>
    <w:p>
      <w:pPr>
        <w:spacing w:after="0" w:line="25" w:lineRule="exact"/>
        <w:rPr>
          <w:sz w:val="20"/>
          <w:szCs w:val="20"/>
          <w:color w:val="auto"/>
        </w:rPr>
      </w:pPr>
    </w:p>
    <w:p>
      <w:pPr>
        <w:ind w:left="1000" w:hanging="425"/>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Latin America</w:t>
      </w:r>
    </w:p>
    <w:p>
      <w:pPr>
        <w:spacing w:after="0" w:line="5" w:lineRule="exact"/>
        <w:rPr>
          <w:rFonts w:ascii="Arial" w:cs="Arial" w:eastAsia="Arial" w:hAnsi="Arial"/>
          <w:sz w:val="16"/>
          <w:szCs w:val="16"/>
          <w:color w:val="auto"/>
        </w:rPr>
      </w:pPr>
    </w:p>
    <w:p>
      <w:pPr>
        <w:ind w:left="1000" w:hanging="425"/>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AMEA</w:t>
      </w:r>
    </w:p>
    <w:p>
      <w:pPr>
        <w:spacing w:after="0" w:line="5" w:lineRule="exact"/>
        <w:rPr>
          <w:rFonts w:ascii="Arial" w:cs="Arial" w:eastAsia="Arial" w:hAnsi="Arial"/>
          <w:sz w:val="16"/>
          <w:szCs w:val="16"/>
          <w:color w:val="auto"/>
        </w:rPr>
      </w:pPr>
    </w:p>
    <w:p>
      <w:pPr>
        <w:ind w:left="1000" w:hanging="425"/>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Europe</w:t>
      </w:r>
    </w:p>
    <w:p>
      <w:pPr>
        <w:spacing w:after="0" w:line="5" w:lineRule="exact"/>
        <w:rPr>
          <w:rFonts w:ascii="Arial" w:cs="Arial" w:eastAsia="Arial" w:hAnsi="Arial"/>
          <w:sz w:val="16"/>
          <w:szCs w:val="16"/>
          <w:color w:val="auto"/>
        </w:rPr>
      </w:pPr>
    </w:p>
    <w:p>
      <w:pPr>
        <w:ind w:left="1000" w:hanging="425"/>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North America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the AMEA operating segment. We have reflected the segment change as if it had occurred in all periods presented.</w:t>
      </w:r>
    </w:p>
    <w:p>
      <w:pPr>
        <w:spacing w:after="0" w:line="144" w:lineRule="exact"/>
        <w:rPr>
          <w:sz w:val="20"/>
          <w:szCs w:val="20"/>
          <w:color w:val="auto"/>
        </w:rPr>
      </w:pPr>
    </w:p>
    <w:p>
      <w:pPr>
        <w:jc w:val="both"/>
        <w:ind w:right="580"/>
        <w:spacing w:after="0" w:line="255"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124"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and gains and losses on divestitures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were: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r>
      <w:tr>
        <w:trPr>
          <w:trHeight w:val="177"/>
        </w:trPr>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96"/>
        </w:trPr>
        <w:tc>
          <w:tcPr>
            <w:tcW w:w="5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68"/>
        </w:trPr>
        <w:tc>
          <w:tcPr>
            <w:tcW w:w="5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5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740" w:type="dxa"/>
            <w:vAlign w:val="bottom"/>
          </w:tcPr>
          <w:p>
            <w:pPr>
              <w:ind w:left="720"/>
              <w:spacing w:after="0" w:line="202" w:lineRule="exact"/>
              <w:rPr>
                <w:sz w:val="20"/>
                <w:szCs w:val="20"/>
                <w:color w:val="auto"/>
              </w:rPr>
            </w:pPr>
            <w:r>
              <w:rPr>
                <w:rFonts w:ascii="Arial" w:cs="Arial" w:eastAsia="Arial" w:hAnsi="Arial"/>
                <w:sz w:val="18"/>
                <w:szCs w:val="18"/>
                <w:color w:val="auto"/>
              </w:rPr>
              <w:t>Latin America</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908</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868</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2,666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2,528</w:t>
            </w:r>
          </w:p>
        </w:tc>
      </w:tr>
      <w:tr>
        <w:trPr>
          <w:trHeight w:val="203"/>
        </w:trPr>
        <w:tc>
          <w:tcPr>
            <w:tcW w:w="5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AMEA</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1,443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4,290</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4,404</w:t>
            </w:r>
          </w:p>
        </w:tc>
      </w:tr>
      <w:tr>
        <w:trPr>
          <w:trHeight w:val="203"/>
        </w:trPr>
        <w:tc>
          <w:tcPr>
            <w:tcW w:w="5740" w:type="dxa"/>
            <w:vAlign w:val="bottom"/>
          </w:tcPr>
          <w:p>
            <w:pPr>
              <w:ind w:left="720"/>
              <w:spacing w:after="0" w:line="202" w:lineRule="exact"/>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2,442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2,332</w:t>
            </w:r>
          </w:p>
        </w:tc>
        <w:tc>
          <w:tcPr>
            <w:tcW w:w="24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6,978</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7,073</w:t>
            </w:r>
          </w:p>
        </w:tc>
      </w:tr>
      <w:tr>
        <w:trPr>
          <w:trHeight w:val="203"/>
        </w:trPr>
        <w:tc>
          <w:tcPr>
            <w:tcW w:w="5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North America</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4,996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5,148</w:t>
            </w:r>
          </w:p>
        </w:tc>
      </w:tr>
      <w:tr>
        <w:trPr>
          <w:trHeight w:val="210"/>
        </w:trPr>
        <w:tc>
          <w:tcPr>
            <w:tcW w:w="574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3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1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before income taxes: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74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74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255</w:t>
            </w:r>
          </w:p>
        </w:tc>
        <w:tc>
          <w:tcPr>
            <w:tcW w:w="4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7"/>
                <w:szCs w:val="17"/>
                <w:color w:val="auto"/>
              </w:rPr>
            </w:pPr>
          </w:p>
        </w:tc>
      </w:tr>
      <w:tr>
        <w:trPr>
          <w:trHeight w:val="203"/>
        </w:trPr>
        <w:tc>
          <w:tcPr>
            <w:tcW w:w="5740" w:type="dxa"/>
            <w:vAlign w:val="bottom"/>
          </w:tcPr>
          <w:p>
            <w:pPr>
              <w:ind w:left="900"/>
              <w:spacing w:after="0" w:line="202" w:lineRule="exact"/>
              <w:rPr>
                <w:sz w:val="20"/>
                <w:szCs w:val="20"/>
                <w:color w:val="auto"/>
              </w:rPr>
            </w:pPr>
            <w:r>
              <w:rPr>
                <w:rFonts w:ascii="Arial" w:cs="Arial" w:eastAsia="Arial" w:hAnsi="Arial"/>
                <w:sz w:val="18"/>
                <w:szCs w:val="18"/>
                <w:color w:val="auto"/>
              </w:rPr>
              <w:t>AMEA</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165</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120" w:type="dxa"/>
            <w:vAlign w:val="bottom"/>
          </w:tcPr>
          <w:p>
            <w:pPr>
              <w:spacing w:after="0"/>
              <w:rPr>
                <w:sz w:val="17"/>
                <w:szCs w:val="17"/>
                <w:color w:val="auto"/>
              </w:rPr>
            </w:pPr>
          </w:p>
        </w:tc>
      </w:tr>
      <w:tr>
        <w:trPr>
          <w:trHeight w:val="203"/>
        </w:trPr>
        <w:tc>
          <w:tcPr>
            <w:tcW w:w="574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1,158</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7"/>
                <w:szCs w:val="17"/>
                <w:color w:val="auto"/>
              </w:rPr>
            </w:pPr>
          </w:p>
        </w:tc>
      </w:tr>
      <w:tr>
        <w:trPr>
          <w:trHeight w:val="203"/>
        </w:trPr>
        <w:tc>
          <w:tcPr>
            <w:tcW w:w="5740" w:type="dxa"/>
            <w:vAlign w:val="bottom"/>
          </w:tcPr>
          <w:p>
            <w:pPr>
              <w:ind w:left="900"/>
              <w:spacing w:after="0" w:line="202" w:lineRule="exact"/>
              <w:rPr>
                <w:sz w:val="20"/>
                <w:szCs w:val="20"/>
                <w:color w:val="auto"/>
              </w:rPr>
            </w:pPr>
            <w:r>
              <w:rPr>
                <w:rFonts w:ascii="Arial" w:cs="Arial" w:eastAsia="Arial" w:hAnsi="Arial"/>
                <w:sz w:val="18"/>
                <w:szCs w:val="18"/>
                <w:color w:val="auto"/>
              </w:rPr>
              <w:t>North America</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274</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120" w:type="dxa"/>
            <w:vAlign w:val="bottom"/>
          </w:tcPr>
          <w:p>
            <w:pPr>
              <w:spacing w:after="0"/>
              <w:rPr>
                <w:sz w:val="17"/>
                <w:szCs w:val="17"/>
                <w:color w:val="auto"/>
              </w:rPr>
            </w:pPr>
          </w:p>
        </w:tc>
      </w:tr>
      <w:tr>
        <w:trPr>
          <w:trHeight w:val="180"/>
        </w:trPr>
        <w:tc>
          <w:tcPr>
            <w:tcW w:w="5740" w:type="dxa"/>
            <w:vAlign w:val="bottom"/>
            <w:shd w:val="clear" w:color="auto" w:fill="CCEEFF"/>
          </w:tcPr>
          <w:p>
            <w:pPr>
              <w:ind w:left="900"/>
              <w:spacing w:after="0" w:line="180" w:lineRule="exact"/>
              <w:rPr>
                <w:sz w:val="20"/>
                <w:szCs w:val="20"/>
                <w:color w:val="auto"/>
              </w:rPr>
            </w:pPr>
            <w:r>
              <w:rPr>
                <w:rFonts w:ascii="Arial" w:cs="Arial" w:eastAsia="Arial" w:hAnsi="Arial"/>
                <w:sz w:val="18"/>
                <w:szCs w:val="18"/>
                <w:color w:val="auto"/>
              </w:rPr>
              <w:t>Unrealized gains/(losses) on hedging activities (mark-to-</w:t>
            </w: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5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market impacts)</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03"/>
        </w:trPr>
        <w:tc>
          <w:tcPr>
            <w:tcW w:w="5740" w:type="dxa"/>
            <w:vAlign w:val="bottom"/>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(89)</w:t>
            </w:r>
          </w:p>
        </w:tc>
        <w:tc>
          <w:tcPr>
            <w:tcW w:w="24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(196)</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w:t>
            </w:r>
          </w:p>
        </w:tc>
      </w:tr>
      <w:tr>
        <w:trPr>
          <w:trHeight w:val="203"/>
        </w:trPr>
        <w:tc>
          <w:tcPr>
            <w:tcW w:w="574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w:t>
            </w:r>
          </w:p>
        </w:tc>
      </w:tr>
      <w:tr>
        <w:trPr>
          <w:trHeight w:val="203"/>
        </w:trPr>
        <w:tc>
          <w:tcPr>
            <w:tcW w:w="5740" w:type="dxa"/>
            <w:vAlign w:val="bottom"/>
          </w:tcPr>
          <w:p>
            <w:pPr>
              <w:ind w:left="900"/>
              <w:spacing w:after="0" w:line="202" w:lineRule="exact"/>
              <w:rPr>
                <w:sz w:val="20"/>
                <w:szCs w:val="20"/>
                <w:color w:val="auto"/>
              </w:rPr>
            </w:pPr>
            <w:r>
              <w:rPr>
                <w:rFonts w:ascii="Arial" w:cs="Arial" w:eastAsia="Arial" w:hAnsi="Arial"/>
                <w:sz w:val="18"/>
                <w:szCs w:val="18"/>
                <w:color w:val="auto"/>
              </w:rPr>
              <w:t>Net gain on divestitures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7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2,062</w:t>
            </w:r>
          </w:p>
        </w:tc>
      </w:tr>
      <w:tr>
        <w:trPr>
          <w:trHeight w:val="203"/>
        </w:trPr>
        <w:tc>
          <w:tcPr>
            <w:tcW w:w="574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w:t>
            </w:r>
          </w:p>
        </w:tc>
        <w:tc>
          <w:tcPr>
            <w:tcW w:w="24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(262)</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1,162</w:t>
            </w:r>
          </w:p>
        </w:tc>
        <w:tc>
          <w:tcPr>
            <w:tcW w:w="4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2,400</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1,522</w:t>
            </w:r>
          </w:p>
        </w:tc>
      </w:tr>
      <w:tr>
        <w:trPr>
          <w:trHeight w:val="20"/>
        </w:trPr>
        <w:tc>
          <w:tcPr>
            <w:tcW w:w="5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6,</w:t>
      </w:r>
      <w:r>
        <w:rPr>
          <w:rFonts w:ascii="Arial" w:cs="Arial" w:eastAsia="Arial" w:hAnsi="Arial"/>
          <w:sz w:val="18"/>
          <w:szCs w:val="18"/>
          <w:i w:val="1"/>
          <w:iCs w:val="1"/>
          <w:color w:val="auto"/>
        </w:rPr>
        <w:t xml:space="preserve"> 2014-2018 Restructuring Program </w:t>
      </w:r>
      <w:r>
        <w:rPr>
          <w:rFonts w:ascii="Arial" w:cs="Arial" w:eastAsia="Arial" w:hAnsi="Arial"/>
          <w:sz w:val="18"/>
          <w:szCs w:val="18"/>
          <w:color w:val="auto"/>
        </w:rPr>
        <w:t>and Note 11,</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net for each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revised to reflect our new segment structure, were: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rPr>
              <w:t>For the Three Months Ended September 30, 2017</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3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1,427</w:t>
            </w:r>
          </w:p>
        </w:tc>
        <w:tc>
          <w:tcPr>
            <w:tcW w:w="3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2,842</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1,196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1,997</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934</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282</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475</w:t>
            </w: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6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rPr>
              <w:t>For the Three Months Ended September 30, 2016</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56"/>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2,687</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1,882</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989</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308</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530</w:t>
            </w: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6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rPr>
              <w:t>For the Nine Months Ended September 30, 2017</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96"/>
        </w:trPr>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35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1,198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2,130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4,061</w:t>
            </w:r>
          </w:p>
        </w:tc>
        <w:tc>
          <w:tcPr>
            <w:tcW w:w="3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7,969</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5,679</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2,719</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1,031</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1,532</w:t>
            </w: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6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0"/>
          </w:tcPr>
          <w:p>
            <w:pPr>
              <w:jc w:val="center"/>
              <w:ind w:right="260"/>
              <w:spacing w:after="0"/>
              <w:rPr>
                <w:sz w:val="20"/>
                <w:szCs w:val="20"/>
                <w:color w:val="auto"/>
              </w:rPr>
            </w:pPr>
            <w:r>
              <w:rPr>
                <w:rFonts w:ascii="Arial" w:cs="Arial" w:eastAsia="Arial" w:hAnsi="Arial"/>
                <w:sz w:val="14"/>
                <w:szCs w:val="14"/>
                <w:b w:val="1"/>
                <w:bCs w:val="1"/>
                <w:color w:val="auto"/>
              </w:rPr>
              <w:t>For the Nine Months Ended September 30, 2016</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56"/>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1,179</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4,162</w:t>
            </w:r>
          </w:p>
        </w:tc>
        <w:tc>
          <w:tcPr>
            <w:tcW w:w="38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7,931</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3,368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5,476</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2,979</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1,103</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1,664</w:t>
            </w: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6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6"/>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the Company</w:t>
      </w:r>
    </w:p>
    <w:p>
      <w:pPr>
        <w:spacing w:after="0" w:line="212"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165 countries.</w:t>
      </w:r>
    </w:p>
    <w:p>
      <w:pPr>
        <w:spacing w:after="0" w:line="138"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We aim to deliver strong, profitable long-term growth by accelerating our core snacks business and expanding the reach of our Power Brands globally. Leveraging our Power Brands and our innovation platforms, we plan to innovate boldly and connect with our consumers wherever they are, including new markets around the world, using both traditional and digital channels. We monitor developments in consumer preferences, and as consumers in many markets seek better-for-you products, we continue to expand our portfolio through additional well-being offerings, including enhancing the goodness of existing brands. As shopping expands further online, we are also working to grow our e-commerce platform and on-line presence with consumers. To fuel these investments, we have been working to optimize our cost structure. These efforts consist of reinventing our supply chain, including adding and upgrading to more efficient production lines, while reducing the complexity of our product offerings, ingredients and number of suppliers. We also continue to aggressively manage our overhead costs. We have embraced and embedded zero-based budgeting practices across the organization to identify potential areas of cost reductions and capture and sustain savings within our ongoing operating budgets. Through these actions, we’re leveraging our brands, platforms and capabilities to drive long-term value and return on investment for our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Malware Incident</w:t>
      </w:r>
    </w:p>
    <w:p>
      <w:pPr>
        <w:spacing w:after="0" w:line="212"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On June 27, 2017, a global malware incident impacted our business. The malware affected a significant portion of our global sales, distribution and financial networks. During the last four days of the second quarter and early third quarter, we executed business continuity and contingency plans to contain the impact, minimize the damages and restore our systems environment. We do not expect, nor to date have we found, any instances of Company or personal data released externally. We restored our main operating systems and processes and we continue to further enhance the security of our systems.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we estimate that the malware incident had a negative impact of 2.3% on our net revenue growth and 2.4% on our Organic Net Revenue growth. While we are pleased with our recovery efforts following the malware incident, restoring our North America systems has taken longer, resulting in additional lost revenue for the year. As a result, for the third quarter, we estimate that the recovery of shipments delayed due to the malware incident had a net favorable impact of 0.6% on our net revenue and Organic Net Revenue growth. We also incurred incremental expenses of $47 million as a result of the incident in the three months and $54 million in the nine months ended September 30, 2017. We expect to incur additional incremental expenses related to the incident and recovery process during the fourth quarter of 2017.</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Results</w:t>
      </w:r>
    </w:p>
    <w:p>
      <w:pPr>
        <w:spacing w:after="0" w:line="239" w:lineRule="exact"/>
        <w:rPr>
          <w:sz w:val="20"/>
          <w:szCs w:val="20"/>
          <w:color w:val="auto"/>
        </w:rPr>
      </w:pPr>
    </w:p>
    <w:p>
      <w:pPr>
        <w:ind w:left="900" w:hanging="325"/>
        <w:spacing w:after="0" w:line="24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revenues increased 2.1% to $6.5 billion in the third quarter of 2017 and decreased 1.2% to $18.9 billion in the first nine months of 2017 as compared to the same periods in the prior year. During the third quarter of 2017, net revenue growth was positively affected by favorable currency translation as the U.S. dollar weakened against several currencies in which we operate compared to exchange rates in the prior year, as well as the recovery of shipments delayed in the second quarter as a result of the malware incident.</w:t>
      </w:r>
    </w:p>
    <w:p>
      <w:pPr>
        <w:spacing w:after="0" w:line="197" w:lineRule="exact"/>
        <w:rPr>
          <w:rFonts w:ascii="Arial" w:cs="Arial" w:eastAsia="Arial" w:hAnsi="Arial"/>
          <w:sz w:val="17"/>
          <w:szCs w:val="17"/>
          <w:color w:val="auto"/>
        </w:rPr>
      </w:pPr>
    </w:p>
    <w:p>
      <w:pPr>
        <w:ind w:left="900" w:right="2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Organic Net Revenue, a non-GAAP financial measure on a constant currency basis, increased 2.8% to $6.4 billion in the third quarter of 2017 and increased 0.3% to $18.8 billion in the first nine months of 2017 as compared to the same periods in the prior year after recasting all periods to exclude the operating results from divestitures and an acquisition. (Refer to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appearing later in this section and Note 2, </w:t>
      </w:r>
      <w:r>
        <w:rPr>
          <w:rFonts w:ascii="Arial" w:cs="Arial" w:eastAsia="Arial" w:hAnsi="Arial"/>
          <w:sz w:val="17"/>
          <w:szCs w:val="17"/>
          <w:i w:val="1"/>
          <w:iCs w:val="1"/>
          <w:color w:val="auto"/>
        </w:rPr>
        <w:t>Divestitures and Acquisitions,</w:t>
      </w:r>
      <w:r>
        <w:rPr>
          <w:rFonts w:ascii="Arial" w:cs="Arial" w:eastAsia="Arial" w:hAnsi="Arial"/>
          <w:sz w:val="17"/>
          <w:szCs w:val="17"/>
          <w:color w:val="auto"/>
        </w:rPr>
        <w:t xml:space="preserve"> for additional information.) We use Organic Net Revenue as it provides improved year-over-year comparability of our underlying results (see the definition of Organic Net Revenue and our reconciliation with net revenues within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 xml:space="preserve"> appearing later in this section).</w:t>
      </w:r>
    </w:p>
    <w:p>
      <w:pPr>
        <w:spacing w:after="0" w:line="204" w:lineRule="exact"/>
        <w:rPr>
          <w:rFonts w:ascii="Arial" w:cs="Arial" w:eastAsia="Arial" w:hAnsi="Arial"/>
          <w:sz w:val="17"/>
          <w:szCs w:val="17"/>
          <w:color w:val="auto"/>
        </w:rPr>
      </w:pPr>
    </w:p>
    <w:p>
      <w:pPr>
        <w:ind w:left="900" w:right="100" w:hanging="325"/>
        <w:spacing w:after="0" w:line="24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Diluted EPS attributable to Mondelēz International increased 85.7% to $0.65 in the third quarter of 2017 and increased 39.4% to $1.38 in the first nine months of 2017 as compared to the same periods in the prior year. During the third quarter and the first nine months of 2017, a benefit from the resolution of a Brazilian indirect tax matter and a gain on a divestiture significantly contributed to the increase in diluted EPS. See our </w:t>
      </w:r>
      <w:r>
        <w:rPr>
          <w:rFonts w:ascii="Arial" w:cs="Arial" w:eastAsia="Arial" w:hAnsi="Arial"/>
          <w:sz w:val="17"/>
          <w:szCs w:val="17"/>
          <w:i w:val="1"/>
          <w:iCs w:val="1"/>
          <w:color w:val="auto"/>
        </w:rPr>
        <w:t>Discussion and Analysis of Historical Results</w:t>
      </w:r>
      <w:r>
        <w:rPr>
          <w:rFonts w:ascii="Arial" w:cs="Arial" w:eastAsia="Arial" w:hAnsi="Arial"/>
          <w:sz w:val="17"/>
          <w:szCs w:val="17"/>
          <w:color w:val="auto"/>
        </w:rPr>
        <w:t xml:space="preserve"> appearing later in this section for further details.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00" w:hanging="325"/>
        <w:spacing w:after="0" w:line="24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Adjusted EPS, a non-GAAP financial measure, increased 14.0% to $0.57 in the third quarter of 2017 and increased 10.6% to $1.57 in the first nine months of 2017 as compared to the same periods in the prior year after recasting all periods to exclude the operating results from divestitures and historical mark-to-market impacts. On a constant currency basis, Adjusted EPS increased 12.0% to $0.56 in the third quarter of 2017 and increased 12.0% to $1.59 in the first nine months of 2017. We use Adjusted EPS as it provides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 See our </w:t>
      </w:r>
      <w:r>
        <w:rPr>
          <w:rFonts w:ascii="Arial" w:cs="Arial" w:eastAsia="Arial" w:hAnsi="Arial"/>
          <w:sz w:val="18"/>
          <w:szCs w:val="18"/>
          <w:i w:val="1"/>
          <w:iCs w:val="1"/>
          <w:color w:val="auto"/>
        </w:rPr>
        <w:t>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Historical Results </w:t>
      </w:r>
      <w:r>
        <w:rPr>
          <w:rFonts w:ascii="Arial" w:cs="Arial" w:eastAsia="Arial" w:hAnsi="Arial"/>
          <w:sz w:val="18"/>
          <w:szCs w:val="18"/>
          <w:color w:val="auto"/>
        </w:rPr>
        <w:t>appearing later in this section for further details.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4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In addition to monitoring our key operating metrics, we monitor developments and trends that could impact our revenue and profitability objectives, similar to those we highlighted in our most recently filed Annual Report on Form 10-K for the year ended December 31, 2016. Weak category growth and volatility in the global commodity and currency markets continue. As noted above, the malware incident resulted in an unfavorable impact to our 2017 revenue. We also expect to incur additional incremental expenses related to the incident and recovery process during the fourth quarter of 2017. We continue to monitor the U.K. planned exit from the E.U. (Brexit) and its impact on our results as well as currencies at risk of potential highly inflationary accounting, such as the Argentinian peso and the Ukrainian hryvnia. In connection with collective bargaining agreements covering eight U.S. facilities that expired on February 29, 2016, we continue to work toward reaching an agreement with the union and have made plans to ensure business continuity during the re-negotiations. For more information on these items,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as well as Note 1,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 Currency Translation and Highly Inflationary Accounting </w:t>
      </w:r>
      <w:r>
        <w:rPr>
          <w:rFonts w:ascii="Arial" w:cs="Arial" w:eastAsia="Arial" w:hAnsi="Arial"/>
          <w:sz w:val="18"/>
          <w:szCs w:val="18"/>
          <w:color w:val="auto"/>
        </w:rPr>
        <w:t>and Note 6,</w:t>
      </w:r>
      <w:r>
        <w:rPr>
          <w:rFonts w:ascii="Arial" w:cs="Arial" w:eastAsia="Arial" w:hAnsi="Arial"/>
          <w:sz w:val="18"/>
          <w:szCs w:val="18"/>
          <w:i w:val="1"/>
          <w:iCs w:val="1"/>
          <w:color w:val="auto"/>
        </w:rPr>
        <w:t xml:space="preserve"> 2014-2018 Restructuring Program</w:t>
      </w:r>
      <w:r>
        <w:rPr>
          <w:rFonts w:ascii="Arial" w:cs="Arial" w:eastAsia="Arial" w:hAnsi="Arial"/>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486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See Note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433"/>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413"/>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6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6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6"/>
          </w:tcPr>
          <w:p>
            <w:pPr>
              <w:jc w:val="right"/>
              <w:ind w:right="253"/>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4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Gain on equity method investment exchange</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7"/>
              </w:rPr>
              <w:t>Note 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8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2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Note 6</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Restructuring charges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(418)</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3"/>
        </w:trPr>
        <w:tc>
          <w:tcPr>
            <w:tcW w:w="4860" w:type="dxa"/>
            <w:vAlign w:val="bottom"/>
          </w:tcPr>
          <w:p>
            <w:pPr>
              <w:ind w:left="720"/>
              <w:spacing w:after="0" w:line="202" w:lineRule="exact"/>
              <w:rPr>
                <w:sz w:val="20"/>
                <w:szCs w:val="20"/>
                <w:color w:val="auto"/>
              </w:rPr>
            </w:pPr>
            <w:r>
              <w:rPr>
                <w:rFonts w:ascii="Arial" w:cs="Arial" w:eastAsia="Arial" w:hAnsi="Arial"/>
                <w:sz w:val="18"/>
                <w:szCs w:val="18"/>
                <w:color w:val="auto"/>
              </w:rPr>
              <w:t>Implementation charges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(62)</w:t>
            </w:r>
          </w:p>
        </w:tc>
        <w:tc>
          <w:tcPr>
            <w:tcW w:w="4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(179)</w:t>
            </w:r>
          </w:p>
        </w:tc>
        <w:tc>
          <w:tcPr>
            <w:tcW w:w="44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8"/>
              </w:rPr>
              <w:t>Note 7 &amp; 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48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Loss on debt extinguishment</w:t>
            </w:r>
          </w:p>
        </w:tc>
        <w:tc>
          <w:tcPr>
            <w:tcW w:w="12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Note 7</w:t>
            </w:r>
          </w:p>
        </w:tc>
        <w:tc>
          <w:tcPr>
            <w:tcW w:w="160" w:type="dxa"/>
            <w:vAlign w:val="bottom"/>
          </w:tcPr>
          <w:p>
            <w:pPr>
              <w:spacing w:after="0"/>
              <w:rPr>
                <w:sz w:val="17"/>
                <w:szCs w:val="17"/>
                <w:color w:val="auto"/>
              </w:rPr>
            </w:pPr>
          </w:p>
        </w:tc>
        <w:tc>
          <w:tcPr>
            <w:tcW w:w="11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w:t>
            </w:r>
          </w:p>
        </w:tc>
        <w:tc>
          <w:tcPr>
            <w:tcW w:w="4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Intangible asset impairment charges</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7"/>
              </w:rPr>
              <w:t>Note 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b w:val="1"/>
                <w:bCs w:val="1"/>
                <w:color w:val="auto"/>
              </w:rPr>
              <w:t>Divestitures and sales of property</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Note 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gain on divestitures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187</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184</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720"/>
              <w:spacing w:after="0" w:line="202" w:lineRule="exact"/>
              <w:rPr>
                <w:sz w:val="20"/>
                <w:szCs w:val="20"/>
                <w:color w:val="auto"/>
              </w:rPr>
            </w:pPr>
            <w:r>
              <w:rPr>
                <w:rFonts w:ascii="Arial" w:cs="Arial" w:eastAsia="Arial" w:hAnsi="Arial"/>
                <w:sz w:val="18"/>
                <w:szCs w:val="18"/>
                <w:color w:val="auto"/>
              </w:rPr>
              <w:t>Gain on sale of intangible assets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Divestiture-related costs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4860" w:type="dxa"/>
            <w:vAlign w:val="bottom"/>
          </w:tcPr>
          <w:p>
            <w:pPr>
              <w:ind w:left="720"/>
              <w:spacing w:after="0" w:line="202" w:lineRule="exact"/>
              <w:rPr>
                <w:sz w:val="20"/>
                <w:szCs w:val="20"/>
                <w:color w:val="auto"/>
              </w:rPr>
            </w:pPr>
            <w:r>
              <w:rPr>
                <w:rFonts w:ascii="Arial" w:cs="Arial" w:eastAsia="Arial" w:hAnsi="Arial"/>
                <w:sz w:val="18"/>
                <w:szCs w:val="18"/>
                <w:color w:val="auto"/>
              </w:rPr>
              <w:t>Gains on sales of property</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Mark-to-market gains/(losses) from derivatives</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rPr>
              <w:t>Note 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(69)</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48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 xml:space="preserve">Benefits from resolution of tax matters </w:t>
            </w:r>
            <w:r>
              <w:rPr>
                <w:rFonts w:ascii="Arial" w:cs="Arial" w:eastAsia="Arial" w:hAnsi="Arial"/>
                <w:sz w:val="15"/>
                <w:szCs w:val="15"/>
                <w:b w:val="1"/>
                <w:bCs w:val="1"/>
                <w:color w:val="auto"/>
              </w:rPr>
              <w:t>(1)</w:t>
            </w:r>
          </w:p>
        </w:tc>
        <w:tc>
          <w:tcPr>
            <w:tcW w:w="12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8"/>
              </w:rPr>
              <w:t>Note 11</w:t>
            </w:r>
          </w:p>
        </w:tc>
        <w:tc>
          <w:tcPr>
            <w:tcW w:w="160" w:type="dxa"/>
            <w:vAlign w:val="bottom"/>
          </w:tcPr>
          <w:p>
            <w:pPr>
              <w:spacing w:after="0"/>
              <w:rPr>
                <w:sz w:val="17"/>
                <w:szCs w:val="17"/>
                <w:color w:val="auto"/>
              </w:rPr>
            </w:pPr>
          </w:p>
        </w:tc>
        <w:tc>
          <w:tcPr>
            <w:tcW w:w="11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215</w:t>
            </w:r>
          </w:p>
        </w:tc>
        <w:tc>
          <w:tcPr>
            <w:tcW w:w="420" w:type="dxa"/>
            <w:vAlign w:val="bottom"/>
          </w:tcPr>
          <w:p>
            <w:pPr>
              <w:spacing w:after="0"/>
              <w:rPr>
                <w:sz w:val="17"/>
                <w:szCs w:val="17"/>
                <w:color w:val="auto"/>
              </w:rPr>
            </w:pPr>
          </w:p>
        </w:tc>
        <w:tc>
          <w:tcPr>
            <w:tcW w:w="9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273</w:t>
            </w:r>
          </w:p>
        </w:tc>
        <w:tc>
          <w:tcPr>
            <w:tcW w:w="4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Malware incident incremental expenses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4860" w:type="dxa"/>
            <w:vAlign w:val="bottom"/>
          </w:tcPr>
          <w:p>
            <w:pPr>
              <w:ind w:left="540"/>
              <w:spacing w:after="0"/>
              <w:rPr>
                <w:sz w:val="20"/>
                <w:szCs w:val="20"/>
                <w:color w:val="auto"/>
              </w:rPr>
            </w:pPr>
            <w:r>
              <w:rPr>
                <w:rFonts w:ascii="Arial" w:cs="Arial" w:eastAsia="Arial" w:hAnsi="Arial"/>
                <w:sz w:val="18"/>
                <w:szCs w:val="18"/>
                <w:b w:val="1"/>
                <w:bCs w:val="1"/>
                <w:color w:val="auto"/>
              </w:rPr>
              <w:t>Effective tax rate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Note 13</w:t>
            </w:r>
          </w:p>
        </w:tc>
        <w:tc>
          <w:tcPr>
            <w:tcW w:w="1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140" w:right="60" w:hanging="335"/>
        <w:spacing w:after="0" w:line="258" w:lineRule="auto"/>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 During the first quarter of 2017, we recorded a $58 million gain on the settlement of a pre-acquisition Cadbury tax matter and during the third quarter of 2017, we recorded additional income of $3 million. During the third quarter of 2017, we recorded a $212 million reversal of tax liabilities in connection with the resolution of a Brazilian indirect tax matter, with $153 million in operating income and $59 million in interest income.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months ended September 30, 2017 and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70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6"/>
          </w:tcPr>
          <w:p>
            <w:pPr>
              <w:jc w:val="right"/>
              <w:ind w:right="654"/>
              <w:spacing w:after="0"/>
              <w:rPr>
                <w:sz w:val="20"/>
                <w:szCs w:val="20"/>
                <w:color w:val="auto"/>
              </w:rPr>
            </w:pPr>
            <w:r>
              <w:rPr>
                <w:rFonts w:ascii="Arial" w:cs="Arial" w:eastAsia="Arial" w:hAnsi="Arial"/>
                <w:sz w:val="14"/>
                <w:szCs w:val="14"/>
                <w:b w:val="1"/>
                <w:bCs w:val="1"/>
                <w:color w:val="auto"/>
              </w:rPr>
              <w:t>(in millions, except per share data)</w:t>
            </w:r>
          </w:p>
        </w:tc>
        <w:tc>
          <w:tcPr>
            <w:tcW w:w="4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6,530</w:t>
            </w:r>
          </w:p>
        </w:tc>
        <w:tc>
          <w:tcPr>
            <w:tcW w:w="5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6,396</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134</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8"/>
        </w:trPr>
        <w:tc>
          <w:tcPr>
            <w:tcW w:w="616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1,181</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91"/>
        </w:trPr>
        <w:tc>
          <w:tcPr>
            <w:tcW w:w="6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color w:val="auto"/>
              </w:rPr>
              <w:t>Net earnings attributable to</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992</w:t>
            </w: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88"/>
        </w:trPr>
        <w:tc>
          <w:tcPr>
            <w:tcW w:w="616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6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160" w:type="dxa"/>
            <w:vAlign w:val="bottom"/>
          </w:tcPr>
          <w:p>
            <w:pPr>
              <w:spacing w:after="0"/>
              <w:rPr>
                <w:sz w:val="22"/>
                <w:szCs w:val="22"/>
                <w:color w:val="auto"/>
              </w:rPr>
            </w:pP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0.65</w:t>
            </w:r>
          </w:p>
        </w:tc>
        <w:tc>
          <w:tcPr>
            <w:tcW w:w="5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0.30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$134 million (2.1%) to $6,530 million in the third quarter of 2017, and Organic Net Revenue</w:t>
      </w:r>
    </w:p>
    <w:p>
      <w:pPr>
        <w:spacing w:after="0" w:line="15" w:lineRule="exact"/>
        <w:rPr>
          <w:sz w:val="20"/>
          <w:szCs w:val="20"/>
          <w:color w:val="auto"/>
        </w:rPr>
      </w:pPr>
    </w:p>
    <w:p>
      <w:pPr>
        <w:ind w:right="180" w:firstLine="8"/>
        <w:spacing w:after="0" w:line="241" w:lineRule="auto"/>
        <w:tabs>
          <w:tab w:leader="none" w:pos="237"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increased $176 million (2.8%) to $6,416 million. Power Brands net revenues increased 5.6%, including a favorable currency impact, and Power Brands Organic Net Revenue increased 3.8%. Emerging markets net revenues increased 4.5%, including an unfavorable currency impact, and emerging markets Organic Net Revenue increased 4.8%. The underlying changes in net revenues and Organic Net Revenue are detailed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0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280" w:type="dxa"/>
            <w:vAlign w:val="bottom"/>
            <w:gridSpan w:val="2"/>
          </w:tcPr>
          <w:p>
            <w:pPr>
              <w:ind w:left="720"/>
              <w:spacing w:after="0" w:line="202" w:lineRule="exact"/>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Add back the following items affecting comparability:</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tcPr>
          <w:p>
            <w:pPr>
              <w:ind w:left="720"/>
              <w:spacing w:after="0" w:line="202" w:lineRule="exact"/>
              <w:rPr>
                <w:sz w:val="20"/>
                <w:szCs w:val="20"/>
                <w:color w:val="auto"/>
              </w:rPr>
            </w:pPr>
            <w:r>
              <w:rPr>
                <w:rFonts w:ascii="Arial" w:cs="Arial" w:eastAsia="Arial" w:hAnsi="Arial"/>
                <w:sz w:val="18"/>
                <w:szCs w:val="18"/>
                <w:color w:val="auto"/>
              </w:rPr>
              <w:t>Favorable currency</w:t>
            </w:r>
          </w:p>
        </w:tc>
        <w:tc>
          <w:tcPr>
            <w:tcW w:w="128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(1.3)pp</w:t>
            </w: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acquisition</w:t>
            </w:r>
          </w:p>
        </w:tc>
        <w:tc>
          <w:tcPr>
            <w:tcW w:w="128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03"/>
        </w:trPr>
        <w:tc>
          <w:tcPr>
            <w:tcW w:w="9000" w:type="dxa"/>
            <w:vAlign w:val="bottom"/>
          </w:tcPr>
          <w:p>
            <w:pPr>
              <w:ind w:left="720"/>
              <w:spacing w:after="0" w:line="202" w:lineRule="exact"/>
              <w:rPr>
                <w:sz w:val="20"/>
                <w:szCs w:val="20"/>
                <w:color w:val="auto"/>
              </w:rPr>
            </w:pPr>
            <w:r>
              <w:rPr>
                <w:rFonts w:ascii="Arial" w:cs="Arial" w:eastAsia="Arial" w:hAnsi="Arial"/>
                <w:sz w:val="18"/>
                <w:szCs w:val="18"/>
                <w:color w:val="auto"/>
              </w:rPr>
              <w:t>Impact of divestitures</w:t>
            </w:r>
          </w:p>
        </w:tc>
        <w:tc>
          <w:tcPr>
            <w:tcW w:w="12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2.3pp</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2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0" w:type="dxa"/>
            <w:vAlign w:val="bottom"/>
            <w:vMerge w:val="continue"/>
          </w:tcPr>
          <w:p>
            <w:pPr>
              <w:spacing w:after="0"/>
              <w:rPr>
                <w:sz w:val="17"/>
                <w:szCs w:val="17"/>
                <w:color w:val="auto"/>
              </w:rPr>
            </w:pPr>
          </w:p>
        </w:tc>
        <w:tc>
          <w:tcPr>
            <w:tcW w:w="1280" w:type="dxa"/>
            <w:vAlign w:val="bottom"/>
            <w:gridSpan w:val="2"/>
          </w:tcPr>
          <w:p>
            <w:pPr>
              <w:ind w:left="720"/>
              <w:spacing w:after="0" w:line="196" w:lineRule="exact"/>
              <w:rPr>
                <w:sz w:val="20"/>
                <w:szCs w:val="20"/>
                <w:color w:val="auto"/>
              </w:rPr>
            </w:pPr>
            <w:r>
              <w:rPr>
                <w:rFonts w:ascii="Arial" w:cs="Arial" w:eastAsia="Arial" w:hAnsi="Arial"/>
                <w:sz w:val="18"/>
                <w:szCs w:val="18"/>
                <w:color w:val="auto"/>
              </w:rPr>
              <w:t>1.5pp</w:t>
            </w:r>
          </w:p>
        </w:tc>
        <w:tc>
          <w:tcPr>
            <w:tcW w:w="0" w:type="dxa"/>
            <w:vAlign w:val="bottom"/>
          </w:tcPr>
          <w:p>
            <w:pPr>
              <w:spacing w:after="0"/>
              <w:rPr>
                <w:sz w:val="1"/>
                <w:szCs w:val="1"/>
                <w:color w:val="auto"/>
              </w:rPr>
            </w:pPr>
          </w:p>
        </w:tc>
      </w:tr>
      <w:tr>
        <w:trPr>
          <w:trHeight w:val="203"/>
        </w:trPr>
        <w:tc>
          <w:tcPr>
            <w:tcW w:w="90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Favorable volume/mix</w:t>
            </w:r>
          </w:p>
        </w:tc>
        <w:tc>
          <w:tcPr>
            <w:tcW w:w="128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1.3pp</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revenue increase of 2.1% was driven by our underlying Organic Net Revenue increase of 2.8%, favorable currency and the impact of an acquisition, partially offset by the impact of divestitures. Our underlying Organic Net Revenue increase was driven by higher net pricing and favorable volume/mix, including the recovery of shipments delayed as a result of the second quarter malware incident that we estimate had a positive impact of 0.6% on our net revenue and Organic Net Revenue growth. Net pricing was up, which included the benefit of carryover pricing from 2016 and the first half of 2017 as well as the effects of input cost-driven pricing actions taken during the third quarter of 2017. Higher net pricing was reflected in all segments except Europe. Favorable volume/mix was reflected in Europe and North America, partially offset by declines in Latin America and AMEA. Favorable year-over-year currency impacts increased net revenues by $80 million, due primarily to the strength of several currencies relative to the U.S. dollar, including the euro, Russian ruble, Brazilian real, Australian dollar and Indian rupee, partially offset by the strength of the U.S. dollar relative to several currencies, including the Egyptian pound and Argentinian peso. The November 2, 2016 acquisition of a business and license to manufacture, market and sell Cadbury-branded biscuits in additional key markets added $20 million (constant currency basis) of incremental net revenues for the third quarter of 2017. The impact of divestitures resulted in a year-over-year decline in net revenues of $142 million for the third quarter of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$479 million (68.2%) to $1,181 million in the third quarter of 2017, Adjusted Operating Income</w:t>
      </w:r>
    </w:p>
    <w:p>
      <w:pPr>
        <w:spacing w:after="0" w:line="13"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 xml:space="preserve">increased $126 million (12.9%) to $1,100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$106 million</w:t>
      </w:r>
    </w:p>
    <w:p>
      <w:pPr>
        <w:spacing w:after="0"/>
        <w:rPr>
          <w:rFonts w:ascii="Arial" w:cs="Arial" w:eastAsia="Arial" w:hAnsi="Arial"/>
          <w:sz w:val="15"/>
          <w:szCs w:val="15"/>
          <w:color w:val="auto"/>
        </w:rPr>
      </w:pPr>
      <w:r>
        <w:rPr>
          <w:rFonts w:ascii="Arial" w:cs="Arial" w:eastAsia="Arial" w:hAnsi="Arial"/>
          <w:sz w:val="18"/>
          <w:szCs w:val="18"/>
          <w:color w:val="auto"/>
        </w:rPr>
        <w:t>(10.9%) to $1,080 million due to the following: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Operating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7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7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75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75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September 30, 2016</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702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(5)</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(6)</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5"/>
        </w:trPr>
        <w:tc>
          <w:tcPr>
            <w:tcW w:w="7560" w:type="dxa"/>
            <w:vAlign w:val="bottom"/>
          </w:tcPr>
          <w:p>
            <w:pPr>
              <w:ind w:left="540"/>
              <w:spacing w:after="0" w:line="185"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7560" w:type="dxa"/>
            <w:vAlign w:val="bottom"/>
          </w:tcPr>
          <w:p>
            <w:pPr>
              <w:ind w:left="720"/>
              <w:spacing w:after="0"/>
              <w:rPr>
                <w:sz w:val="20"/>
                <w:szCs w:val="20"/>
                <w:color w:val="auto"/>
              </w:rPr>
            </w:pPr>
            <w:r>
              <w:rPr>
                <w:rFonts w:ascii="Arial" w:cs="Arial" w:eastAsia="Arial" w:hAnsi="Arial"/>
                <w:sz w:val="18"/>
                <w:szCs w:val="18"/>
                <w:b w:val="1"/>
                <w:bCs w:val="1"/>
                <w:color w:val="auto"/>
              </w:rPr>
              <w:t>Three Months Ended September 30, 2016</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974</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93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Favorable volume/mix</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VAT-related settlement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(7)</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(7)</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56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w:t>
            </w: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Favorable currency – translation</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20</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756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12.9%</w:t>
            </w:r>
          </w:p>
        </w:tc>
      </w:tr>
      <w:tr>
        <w:trPr>
          <w:trHeight w:val="178"/>
        </w:trPr>
        <w:tc>
          <w:tcPr>
            <w:tcW w:w="7560" w:type="dxa"/>
            <w:vAlign w:val="bottom"/>
            <w:shd w:val="clear" w:color="auto" w:fill="CCEEFF"/>
          </w:tcPr>
          <w:p>
            <w:pPr>
              <w:ind w:left="540"/>
              <w:spacing w:after="0" w:line="178"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7"/>
        </w:trPr>
        <w:tc>
          <w:tcPr>
            <w:tcW w:w="7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September 30, 2017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1,100</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(175)</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(4)</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Malware incident incremental expenses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(5)</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(5)</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187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(9)</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155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60" w:type="dxa"/>
            <w:vAlign w:val="bottom"/>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7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5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September 30, 2017</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1,181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68.2%</w:t>
            </w:r>
          </w:p>
        </w:tc>
      </w:tr>
      <w:tr>
        <w:trPr>
          <w:trHeight w:val="20"/>
        </w:trPr>
        <w:tc>
          <w:tcPr>
            <w:tcW w:w="7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1" w:lineRule="exact"/>
        <w:rPr>
          <w:sz w:val="20"/>
          <w:szCs w:val="20"/>
          <w:color w:val="auto"/>
        </w:rPr>
      </w:pP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9" w:lineRule="exact"/>
        <w:rPr>
          <w:rFonts w:ascii="Arial" w:cs="Arial" w:eastAsia="Arial" w:hAnsi="Arial"/>
          <w:sz w:val="14"/>
          <w:szCs w:val="14"/>
          <w:color w:val="auto"/>
        </w:rPr>
      </w:pP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trademark impairments.</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 unrealized gains/losses on commodity and forecasted currency transaction derivatives.</w:t>
      </w:r>
    </w:p>
    <w:p>
      <w:pPr>
        <w:ind w:left="1140" w:right="60" w:hanging="335"/>
        <w:spacing w:after="0" w:line="241" w:lineRule="auto"/>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and a grocery business in Australia and New Zealand and 2016 sales of property. Refer to our Annual Report on Form 10-K for the year ended December 31, 2016 for more information on the 2016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and other property sale in 2016.</w:t>
      </w:r>
    </w:p>
    <w:p>
      <w:pPr>
        <w:ind w:left="1140" w:hanging="335"/>
        <w:spacing w:after="0"/>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2016, for information on the acquisition of a biscuit business in Vietnam.</w:t>
      </w:r>
    </w:p>
    <w:p>
      <w:pPr>
        <w:spacing w:after="0" w:line="1" w:lineRule="exact"/>
        <w:rPr>
          <w:rFonts w:ascii="Arial" w:cs="Arial" w:eastAsia="Arial" w:hAnsi="Arial"/>
          <w:sz w:val="14"/>
          <w:szCs w:val="14"/>
          <w:color w:val="auto"/>
        </w:rPr>
      </w:pPr>
    </w:p>
    <w:p>
      <w:pPr>
        <w:ind w:left="1140" w:right="420" w:hanging="335"/>
        <w:spacing w:after="0" w:line="264" w:lineRule="auto"/>
        <w:tabs>
          <w:tab w:leader="none" w:pos="11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on the reversal of tax liabilities in connection with the resolution of a Brazilian indirect tax matter and settlement of a pre-acquisition Cadbury tax matter.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the third quarter, we realized higher net pricing as input costs increased modestly. Higher net pricing, which included the carryover impact of pricing actions taken in 2016 and the first half of 2017 as well as the effects of input cost-driven pricing actions taken during the third quarter of 2017, was reflected in all segments except Europe. The increase in input costs was driven by higher raw material costs which were partially offset by lower manufacturing costs due to productivity gains. Favorable volume/mix, in part due to the recovery of shipments delayed as a result of the second quarter malware incident, was driven by Europe, partially offset by unfavorable volume/mix in AMEA, Latin America and North America.</w:t>
      </w:r>
    </w:p>
    <w:p>
      <w:pPr>
        <w:spacing w:after="0" w:line="17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Total selling, general and administrative expenses decreased $222 million from the third quarter of 2016, due to a number of factors noted in the table above, including in part, the benefit from the resolution of a Brazilian indirect tax matter and lower implementation costs incurred for the 2014-2018 Restructuring Program. The decreases were partially offset by the VAT-related settlement in 2016, an unfavorable currency impact, incremental expenses related to the malware incident and the gains on sales of property in 2016.</w:t>
      </w:r>
    </w:p>
    <w:p>
      <w:pPr>
        <w:spacing w:after="0" w:line="171"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Excluding the factors noted above, selling, general and administrative expenses decreased $107 million from the third quarter of 2016. The decrease was driven primarily by lower overhead costs due to continued cost reduction efforts.</w:t>
      </w:r>
    </w:p>
    <w:p>
      <w:pPr>
        <w:spacing w:after="0" w:line="14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Favorable currency impacts increased operating income by $20 million due primarily to the strength of several currencies relative to the U.S. dollar, including the euro, Russian ruble, Brazilian real, Indian rupee and Australian dollar, partially offset by the strength of the U.S. dollar relative to several currencies, including the Egyptian pound and Argentinian peso.</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Operating income margin increased from 11.0% in the third quarter of 2016 to 18.1% in the third quarter of 2017. The increase in operating income margin was driven primarily by the net gain on divestitures, the benefit from the resolution of a Brazilian indirect tax matter, lower 2014-2018 Restructuring Program costs, an increase in our Adjusted Operating Income margin and the year-over-year favorable impact of unrealized gains/(losses) on currency and commodity hedging activities, partially offset by higher intangible asset impairment charges, incremental costs related to the malware incident and the impact from divestitures. Adjusted Operating Income margin increased from 15.6% in the third quarter of 2016 to 16.9% in the third quarter of 2017. The increase in Adjusted Operating Income margin was driven primarily by lower overheads from continued cost reduction efforts.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$ 992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$444 million (81.0%) in the third quarter of 2017. Diluted EPS attributable to Mondelēz International was $0.65 in the third quarter of 2017, up $0.30 (85.7%) from the third quarter of 2016. Adjusted EPS </w:t>
      </w:r>
      <w:r>
        <w:rPr>
          <w:rFonts w:ascii="Arial" w:cs="Arial" w:eastAsia="Arial" w:hAnsi="Arial"/>
          <w:sz w:val="15"/>
          <w:szCs w:val="15"/>
          <w:color w:val="auto"/>
        </w:rPr>
        <w:t>(1)</w:t>
      </w:r>
      <w:r>
        <w:rPr>
          <w:rFonts w:ascii="Arial" w:cs="Arial" w:eastAsia="Arial" w:hAnsi="Arial"/>
          <w:sz w:val="18"/>
          <w:szCs w:val="18"/>
          <w:color w:val="auto"/>
        </w:rPr>
        <w:t xml:space="preserve"> was $0.57 in the third quarter of 2017, up $0.07 (14.0%) from the third quarter of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$0.56 in the third quarter of 2017, up $0.06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(12.0%) from the third quarter of 2016.</w:t>
      </w:r>
    </w:p>
    <w:p>
      <w:pPr>
        <w:sectPr>
          <w:pgSz w:w="11900" w:h="16838" w:orient="portrait"/>
          <w:cols w:equalWidth="0" w:num="1">
            <w:col w:w="11400"/>
          </w:cols>
          <w:pgMar w:left="240" w:top="455" w:right="25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September 30, 2016</w:t>
      </w:r>
    </w:p>
    <w:p>
      <w:pPr>
        <w:ind w:left="7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(2)</w:t>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3420" w:hanging="179"/>
        <w:spacing w:after="0" w:line="239" w:lineRule="auto"/>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September 30, 2016 </w:t>
      </w: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6" w:lineRule="auto"/>
        <w:rPr>
          <w:sz w:val="20"/>
          <w:szCs w:val="20"/>
          <w:color w:val="auto"/>
        </w:rPr>
      </w:pPr>
      <w:r>
        <w:rPr>
          <w:rFonts w:ascii="Arial" w:cs="Arial" w:eastAsia="Arial" w:hAnsi="Arial"/>
          <w:sz w:val="18"/>
          <w:szCs w:val="18"/>
          <w:color w:val="auto"/>
        </w:rPr>
        <w:t>Increase in equity method investment net earnings</w:t>
      </w:r>
    </w:p>
    <w:p>
      <w:pPr>
        <w:ind w:left="720"/>
        <w:spacing w:after="0" w:line="232" w:lineRule="auto"/>
        <w:rPr>
          <w:sz w:val="20"/>
          <w:szCs w:val="20"/>
          <w:color w:val="auto"/>
        </w:rPr>
      </w:pPr>
      <w:r>
        <w:rPr>
          <w:rFonts w:ascii="Arial" w:cs="Arial" w:eastAsia="Arial" w:hAnsi="Arial"/>
          <w:sz w:val="18"/>
          <w:szCs w:val="18"/>
          <w:color w:val="auto"/>
        </w:rPr>
        <w:t>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(4)</w:t>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(6)</w:t>
      </w:r>
    </w:p>
    <w:p>
      <w:pPr>
        <w:spacing w:after="0" w:line="14" w:lineRule="exact"/>
        <w:rPr>
          <w:sz w:val="20"/>
          <w:szCs w:val="20"/>
          <w:color w:val="auto"/>
        </w:rPr>
      </w:pPr>
    </w:p>
    <w:p>
      <w:pPr>
        <w:ind w:left="720" w:right="17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September 30, 2017 </w:t>
      </w:r>
      <w:r>
        <w:rPr>
          <w:rFonts w:ascii="Arial" w:cs="Arial" w:eastAsia="Arial" w:hAnsi="Arial"/>
          <w:sz w:val="18"/>
          <w:szCs w:val="18"/>
          <w:color w:val="auto"/>
        </w:rPr>
        <w:t>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Malware incident incremental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(7)</w:t>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(3)</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September 30, 2017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43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0.35</w:t>
      </w:r>
    </w:p>
    <w:p>
      <w:pPr>
        <w:spacing w:after="0" w:line="19"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0.14</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ind w:right="40"/>
        <w:spacing w:after="0" w:line="235" w:lineRule="auto"/>
        <w:rPr>
          <w:sz w:val="20"/>
          <w:szCs w:val="20"/>
          <w:color w:val="auto"/>
        </w:rPr>
      </w:pPr>
      <w:r>
        <w:rPr>
          <w:rFonts w:ascii="Arial" w:cs="Arial" w:eastAsia="Arial" w:hAnsi="Arial"/>
          <w:sz w:val="18"/>
          <w:szCs w:val="18"/>
          <w:color w:val="auto"/>
        </w:rPr>
        <w:t>(0.02)</w:t>
      </w:r>
    </w:p>
    <w:p>
      <w:pPr>
        <w:jc w:val="right"/>
        <w:ind w:right="100"/>
        <w:spacing w:after="0" w:line="235"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0.50</w:t>
      </w:r>
    </w:p>
    <w:p>
      <w:pPr>
        <w:spacing w:after="0" w:line="4"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0.08</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jc w:val="right"/>
        <w:ind w:right="40"/>
        <w:spacing w:after="0" w:line="235" w:lineRule="auto"/>
        <w:rPr>
          <w:sz w:val="20"/>
          <w:szCs w:val="20"/>
          <w:color w:val="auto"/>
        </w:rPr>
      </w:pPr>
      <w:r>
        <w:rPr>
          <w:rFonts w:ascii="Arial" w:cs="Arial" w:eastAsia="Arial" w:hAnsi="Arial"/>
          <w:sz w:val="18"/>
          <w:szCs w:val="18"/>
          <w:color w:val="auto"/>
        </w:rPr>
        <w:t>(0.02)</w:t>
      </w:r>
    </w:p>
    <w:p>
      <w:pPr>
        <w:jc w:val="right"/>
        <w:ind w:right="100"/>
        <w:spacing w:after="0" w:line="235" w:lineRule="auto"/>
        <w:rPr>
          <w:sz w:val="20"/>
          <w:szCs w:val="20"/>
          <w:color w:val="auto"/>
        </w:rPr>
      </w:pPr>
      <w:r>
        <w:rPr>
          <w:rFonts w:ascii="Arial" w:cs="Arial" w:eastAsia="Arial" w:hAnsi="Arial"/>
          <w:sz w:val="18"/>
          <w:szCs w:val="18"/>
          <w:color w:val="auto"/>
        </w:rPr>
        <w:t>–</w:t>
      </w:r>
    </w:p>
    <w:p>
      <w:pPr>
        <w:jc w:val="right"/>
        <w:ind w:right="100"/>
        <w:spacing w:after="0" w:line="235" w:lineRule="auto"/>
        <w:rPr>
          <w:sz w:val="20"/>
          <w:szCs w:val="20"/>
          <w:color w:val="auto"/>
        </w:rPr>
      </w:pPr>
      <w:r>
        <w:rPr>
          <w:rFonts w:ascii="Arial" w:cs="Arial" w:eastAsia="Arial" w:hAnsi="Arial"/>
          <w:sz w:val="18"/>
          <w:szCs w:val="18"/>
          <w:color w:val="auto"/>
        </w:rPr>
        <w:t>–</w:t>
      </w:r>
    </w:p>
    <w:p>
      <w:pPr>
        <w:jc w:val="right"/>
        <w:ind w:right="100"/>
        <w:spacing w:after="0" w:line="235" w:lineRule="auto"/>
        <w:rPr>
          <w:sz w:val="20"/>
          <w:szCs w:val="20"/>
          <w:color w:val="auto"/>
        </w:rPr>
      </w:pPr>
      <w:r>
        <w:rPr>
          <w:rFonts w:ascii="Arial" w:cs="Arial" w:eastAsia="Arial" w:hAnsi="Arial"/>
          <w:sz w:val="18"/>
          <w:szCs w:val="18"/>
          <w:color w:val="auto"/>
        </w:rPr>
        <w:t>0.03</w:t>
      </w:r>
    </w:p>
    <w:p>
      <w:pPr>
        <w:jc w:val="right"/>
        <w:ind w:right="100"/>
        <w:spacing w:after="0" w:line="235" w:lineRule="auto"/>
        <w:rPr>
          <w:sz w:val="20"/>
          <w:szCs w:val="20"/>
          <w:color w:val="auto"/>
        </w:rPr>
      </w:pPr>
      <w:r>
        <w:rPr>
          <w:rFonts w:ascii="Arial" w:cs="Arial" w:eastAsia="Arial" w:hAnsi="Arial"/>
          <w:sz w:val="18"/>
          <w:szCs w:val="18"/>
          <w:color w:val="auto"/>
        </w:rPr>
        <w:t>0.02</w:t>
      </w:r>
    </w:p>
    <w:p>
      <w:pPr>
        <w:jc w:val="right"/>
        <w:ind w:right="40"/>
        <w:spacing w:after="0"/>
        <w:rPr>
          <w:sz w:val="20"/>
          <w:szCs w:val="20"/>
          <w:color w:val="auto"/>
        </w:rPr>
      </w:pPr>
      <w:r>
        <w:rPr>
          <w:rFonts w:ascii="Arial" w:cs="Arial" w:eastAsia="Arial" w:hAnsi="Arial"/>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0.56</w:t>
      </w:r>
    </w:p>
    <w:p>
      <w:pPr>
        <w:spacing w:after="0" w:line="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0.57</w:t>
      </w:r>
    </w:p>
    <w:p>
      <w:pPr>
        <w:spacing w:after="0" w:line="4"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(0.08)</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0.12</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0.09</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1" w:lineRule="exact"/>
        <w:rPr>
          <w:sz w:val="20"/>
          <w:szCs w:val="20"/>
          <w:color w:val="auto"/>
        </w:rPr>
      </w:pPr>
    </w:p>
    <w:p>
      <w:pPr>
        <w:ind w:left="660" w:hanging="654"/>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643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643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560" w:space="720"/>
            <w:col w:w="1120"/>
          </w:cols>
          <w:pgMar w:left="240" w:top="455" w:right="259" w:bottom="1440" w:gutter="0" w:footer="0" w:header="0"/>
          <w:type w:val="continuous"/>
        </w:sectPr>
      </w:pPr>
    </w:p>
    <w:p>
      <w:pPr>
        <w:spacing w:after="0" w:line="80" w:lineRule="exact"/>
        <w:rPr>
          <w:sz w:val="20"/>
          <w:szCs w:val="20"/>
          <w:color w:val="auto"/>
        </w:rPr>
      </w:pP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9" w:lineRule="exact"/>
        <w:rPr>
          <w:rFonts w:ascii="Arial" w:cs="Arial" w:eastAsia="Arial" w:hAnsi="Arial"/>
          <w:sz w:val="14"/>
          <w:szCs w:val="14"/>
          <w:color w:val="auto"/>
        </w:rPr>
      </w:pP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20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line="241"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a $7 million earnings impact (in the provision for income taxes) in the third quarter of 2017 related to adopting a new stock-based compensation accounting standard in 2017 and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60" w:hanging="335"/>
        <w:spacing w:after="0" w:line="264" w:lineRule="auto"/>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w:t>
      </w:r>
      <w:r>
        <w:rPr>
          <w:rFonts w:ascii="Arial" w:cs="Arial" w:eastAsia="Arial" w:hAnsi="Arial"/>
          <w:sz w:val="14"/>
          <w:szCs w:val="14"/>
          <w:color w:val="auto"/>
        </w:rPr>
        <w:t>, for more information on the sale of a grocery business in Australia and New Zealand and related taxes as well as a related gain on a foreign currency hedge.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5" w:right="25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For the Nine Months Ended</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c>
          <w:tcPr>
            <w:tcW w:w="7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gridSpan w:val="6"/>
          </w:tcPr>
          <w:p>
            <w:pPr>
              <w:jc w:val="right"/>
              <w:ind w:right="614"/>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18,930</w:t>
            </w:r>
          </w:p>
        </w:tc>
        <w:tc>
          <w:tcPr>
            <w:tcW w:w="5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19,153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(223)</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8"/>
        </w:trPr>
        <w:tc>
          <w:tcPr>
            <w:tcW w:w="624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2,662</w:t>
            </w:r>
          </w:p>
        </w:tc>
        <w:tc>
          <w:tcPr>
            <w:tcW w:w="5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2,062</w:t>
            </w:r>
          </w:p>
        </w:tc>
        <w:tc>
          <w:tcPr>
            <w:tcW w:w="34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91"/>
        </w:trPr>
        <w:tc>
          <w:tcPr>
            <w:tcW w:w="6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2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color w:val="auto"/>
              </w:rPr>
              <w:t>Net earnings attributable to</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2,120</w:t>
            </w:r>
          </w:p>
        </w:tc>
        <w:tc>
          <w:tcPr>
            <w:tcW w:w="5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88"/>
        </w:trPr>
        <w:tc>
          <w:tcPr>
            <w:tcW w:w="624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24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1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$223 million (1.2%) to $18,930 million in the first nine months of 2017, and Organic Net Revenue</w:t>
      </w:r>
    </w:p>
    <w:p>
      <w:pPr>
        <w:spacing w:after="0" w:line="15" w:lineRule="exact"/>
        <w:rPr>
          <w:sz w:val="20"/>
          <w:szCs w:val="20"/>
          <w:color w:val="auto"/>
        </w:rPr>
      </w:pPr>
    </w:p>
    <w:p>
      <w:pPr>
        <w:ind w:right="60" w:firstLine="8"/>
        <w:spacing w:after="0" w:line="241" w:lineRule="auto"/>
        <w:tabs>
          <w:tab w:leader="none" w:pos="237" w:val="left"/>
        </w:tabs>
        <w:numPr>
          <w:ilvl w:val="0"/>
          <w:numId w:val="30"/>
        </w:numPr>
        <w:rPr>
          <w:rFonts w:ascii="Arial" w:cs="Arial" w:eastAsia="Arial" w:hAnsi="Arial"/>
          <w:sz w:val="15"/>
          <w:szCs w:val="15"/>
          <w:color w:val="auto"/>
        </w:rPr>
      </w:pPr>
      <w:r>
        <w:rPr>
          <w:rFonts w:ascii="Arial" w:cs="Arial" w:eastAsia="Arial" w:hAnsi="Arial"/>
          <w:sz w:val="18"/>
          <w:szCs w:val="18"/>
          <w:color w:val="auto"/>
        </w:rPr>
        <w:t>increased $55 million (0.3%) to $18,766 million. Power Brands net revenues increased 1.4%, including an unfavorable currency impact, and Power Brands Organic Net Revenue increased 1.5%. Emerging markets net revenues increased 2.4%, including an unfavorable currency impact, and emerging markets Organic Net Revenue increased 2.7%. The underlying changes in net revenues and Organic Net Revenue are detailed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Add back the following items affecting comparability:</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20" w:type="dxa"/>
            <w:vAlign w:val="bottom"/>
          </w:tcPr>
          <w:p>
            <w:pPr>
              <w:ind w:left="720"/>
              <w:spacing w:after="0" w:line="202" w:lineRule="exact"/>
              <w:rPr>
                <w:sz w:val="20"/>
                <w:szCs w:val="20"/>
                <w:color w:val="auto"/>
              </w:rPr>
            </w:pPr>
            <w:r>
              <w:rPr>
                <w:rFonts w:ascii="Arial" w:cs="Arial" w:eastAsia="Arial" w:hAnsi="Arial"/>
                <w:sz w:val="18"/>
                <w:szCs w:val="18"/>
                <w:color w:val="auto"/>
              </w:rPr>
              <w:t>Impact of divestitures</w:t>
            </w:r>
          </w:p>
        </w:tc>
        <w:tc>
          <w:tcPr>
            <w:tcW w:w="1260" w:type="dxa"/>
            <w:vAlign w:val="bottom"/>
            <w:gridSpan w:val="2"/>
          </w:tcPr>
          <w:p>
            <w:pPr>
              <w:jc w:val="center"/>
              <w:ind w:left="512"/>
              <w:spacing w:after="0" w:line="202" w:lineRule="exact"/>
              <w:rPr>
                <w:sz w:val="20"/>
                <w:szCs w:val="20"/>
                <w:color w:val="auto"/>
              </w:rPr>
            </w:pPr>
            <w:r>
              <w:rPr>
                <w:rFonts w:ascii="Arial" w:cs="Arial" w:eastAsia="Arial" w:hAnsi="Arial"/>
                <w:sz w:val="18"/>
                <w:szCs w:val="18"/>
                <w:color w:val="auto"/>
              </w:rPr>
              <w:t>1.0pp</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260" w:type="dxa"/>
            <w:vAlign w:val="bottom"/>
            <w:gridSpan w:val="2"/>
            <w:shd w:val="clear" w:color="auto" w:fill="CCEEFF"/>
          </w:tcPr>
          <w:p>
            <w:pPr>
              <w:jc w:val="center"/>
              <w:ind w:left="512"/>
              <w:spacing w:after="0" w:line="202" w:lineRule="exact"/>
              <w:rPr>
                <w:sz w:val="20"/>
                <w:szCs w:val="20"/>
                <w:color w:val="auto"/>
              </w:rPr>
            </w:pPr>
            <w:r>
              <w:rPr>
                <w:rFonts w:ascii="Arial" w:cs="Arial" w:eastAsia="Arial" w:hAnsi="Arial"/>
                <w:sz w:val="18"/>
                <w:szCs w:val="18"/>
                <w:color w:val="auto"/>
              </w:rPr>
              <w:t>0.8pp</w:t>
            </w:r>
          </w:p>
        </w:tc>
        <w:tc>
          <w:tcPr>
            <w:tcW w:w="0" w:type="dxa"/>
            <w:vAlign w:val="bottom"/>
          </w:tcPr>
          <w:p>
            <w:pPr>
              <w:spacing w:after="0"/>
              <w:rPr>
                <w:sz w:val="1"/>
                <w:szCs w:val="1"/>
                <w:color w:val="auto"/>
              </w:rPr>
            </w:pPr>
          </w:p>
        </w:tc>
      </w:tr>
      <w:tr>
        <w:trPr>
          <w:trHeight w:val="203"/>
        </w:trPr>
        <w:tc>
          <w:tcPr>
            <w:tcW w:w="8720" w:type="dxa"/>
            <w:vAlign w:val="bottom"/>
          </w:tcPr>
          <w:p>
            <w:pPr>
              <w:ind w:left="720"/>
              <w:spacing w:after="0" w:line="202" w:lineRule="exact"/>
              <w:rPr>
                <w:sz w:val="20"/>
                <w:szCs w:val="20"/>
                <w:color w:val="auto"/>
              </w:rPr>
            </w:pPr>
            <w:r>
              <w:rPr>
                <w:rFonts w:ascii="Arial" w:cs="Arial" w:eastAsia="Arial" w:hAnsi="Arial"/>
                <w:sz w:val="18"/>
                <w:szCs w:val="18"/>
                <w:color w:val="auto"/>
              </w:rPr>
              <w:t>Impact of acquisitions</w:t>
            </w:r>
          </w:p>
        </w:tc>
        <w:tc>
          <w:tcPr>
            <w:tcW w:w="1260" w:type="dxa"/>
            <w:vAlign w:val="bottom"/>
            <w:gridSpan w:val="2"/>
          </w:tcPr>
          <w:p>
            <w:pPr>
              <w:jc w:val="center"/>
              <w:ind w:left="512"/>
              <w:spacing w:after="0" w:line="202" w:lineRule="exact"/>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20" w:type="dxa"/>
            <w:vAlign w:val="bottom"/>
            <w:vMerge w:val="continue"/>
          </w:tcPr>
          <w:p>
            <w:pPr>
              <w:spacing w:after="0"/>
              <w:rPr>
                <w:sz w:val="17"/>
                <w:szCs w:val="17"/>
                <w:color w:val="auto"/>
              </w:rPr>
            </w:pPr>
          </w:p>
        </w:tc>
        <w:tc>
          <w:tcPr>
            <w:tcW w:w="1260" w:type="dxa"/>
            <w:vAlign w:val="bottom"/>
            <w:gridSpan w:val="2"/>
          </w:tcPr>
          <w:p>
            <w:pPr>
              <w:jc w:val="center"/>
              <w:ind w:left="512"/>
              <w:spacing w:after="0" w:line="196" w:lineRule="exact"/>
              <w:rPr>
                <w:sz w:val="20"/>
                <w:szCs w:val="20"/>
                <w:color w:val="auto"/>
              </w:rPr>
            </w:pPr>
            <w:r>
              <w:rPr>
                <w:rFonts w:ascii="Arial" w:cs="Arial" w:eastAsia="Arial" w:hAnsi="Arial"/>
                <w:sz w:val="18"/>
                <w:szCs w:val="18"/>
                <w:color w:val="auto"/>
              </w:rPr>
              <w:t>1.2pp</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260" w:type="dxa"/>
            <w:vAlign w:val="bottom"/>
            <w:gridSpan w:val="2"/>
            <w:shd w:val="clear" w:color="auto" w:fill="CCEEFF"/>
          </w:tcPr>
          <w:p>
            <w:pPr>
              <w:jc w:val="center"/>
              <w:ind w:left="512"/>
              <w:spacing w:after="0" w:line="202" w:lineRule="exact"/>
              <w:rPr>
                <w:sz w:val="20"/>
                <w:szCs w:val="20"/>
                <w:color w:val="auto"/>
              </w:rPr>
            </w:pPr>
            <w:r>
              <w:rPr>
                <w:rFonts w:ascii="Arial" w:cs="Arial" w:eastAsia="Arial" w:hAnsi="Arial"/>
                <w:sz w:val="18"/>
                <w:szCs w:val="18"/>
                <w:color w:val="auto"/>
              </w:rPr>
              <w:t>(0.9)pp</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Net revenue decline of 1.2% was driven by the impact of divestitures and unfavorable currency, partially offset by our underlying Organic Net Revenue growth of 0.3% and the impact of an acquisition. The impact of divestitures resulted in a year-over-year decline in net revenues of $193 million for the first nine months of 2017. Unfavorable year-over-year currency impacts decreased net revenues by $135 million, due primarily to the strength of the U.S. dollar relative to several currencies, including the British pound sterling, Egyptian pound, Argentinian peso, Nigerian naira, Turkish lira and Chinese yuan, partially offset by the strength of several currencies relative to the U.S. dollar, including the Brazilian real, Russian ruble, South African rand and Australian dollar. Our underlying Organic Net Revenue increase was driven by higher net pricing, partially offset by unfavorable volume/mix. Net pricing was up, which includes the benefit of carryover pricing from 2016 as well as the effects of input cost-driven pricing actions taken during 2017. Higher net pricing was reflected in Latin America and AMEA, partially offset by lower net pricing in Europe and North America. Unfavorable volume/mix was reflected in all segments except Europe, in part due to expected shipments that we did not realize following the second quarter malware incident. The November 2, 2016 acquisition of a business and license to manufacture, market and sell Cadbury-branded biscuits in additional key markets added $50 million (constant currency basis) of incremental net revenues for the first nine months of 2017.</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$600 million (29.1%) to $2,662 million in the first nine months of 2017,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5"/>
          <w:szCs w:val="15"/>
          <w:color w:val="auto"/>
        </w:rPr>
        <w:t>(1)</w:t>
      </w:r>
      <w:r>
        <w:rPr>
          <w:rFonts w:ascii="Arial" w:cs="Arial" w:eastAsia="Arial" w:hAnsi="Arial"/>
          <w:sz w:val="18"/>
          <w:szCs w:val="18"/>
          <w:color w:val="auto"/>
        </w:rPr>
        <w:t xml:space="preserve"> increased $192 million (6.7%) to $3,075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$245 million (8.5%) to $3,128 million due to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Operating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8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8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1"/>
              <w:spacing w:after="0"/>
              <w:rPr>
                <w:sz w:val="20"/>
                <w:szCs w:val="20"/>
                <w:color w:val="auto"/>
              </w:rPr>
            </w:pPr>
            <w:r>
              <w:rPr>
                <w:rFonts w:ascii="Arial" w:cs="Arial" w:eastAsia="Arial" w:hAnsi="Arial"/>
                <w:sz w:val="14"/>
                <w:szCs w:val="14"/>
                <w:b w:val="1"/>
                <w:bCs w:val="1"/>
                <w:color w:val="auto"/>
              </w:rPr>
              <w:t>(in millions)</w:t>
            </w:r>
          </w:p>
        </w:tc>
        <w:tc>
          <w:tcPr>
            <w:tcW w:w="620" w:type="dxa"/>
            <w:vAlign w:val="bottom"/>
            <w:gridSpan w:val="2"/>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68"/>
        </w:trPr>
        <w:tc>
          <w:tcPr>
            <w:tcW w:w="8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87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Nine Months Ended September 30, 2016</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2,062</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766</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Other/rounding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5"/>
        </w:trPr>
        <w:tc>
          <w:tcPr>
            <w:tcW w:w="8760" w:type="dxa"/>
            <w:vAlign w:val="bottom"/>
          </w:tcPr>
          <w:p>
            <w:pPr>
              <w:ind w:left="540"/>
              <w:spacing w:after="0" w:line="185"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7"/>
        </w:trPr>
        <w:tc>
          <w:tcPr>
            <w:tcW w:w="8760" w:type="dxa"/>
            <w:vAlign w:val="bottom"/>
          </w:tcPr>
          <w:p>
            <w:pPr>
              <w:ind w:left="720"/>
              <w:spacing w:after="0"/>
              <w:rPr>
                <w:sz w:val="20"/>
                <w:szCs w:val="20"/>
                <w:color w:val="auto"/>
              </w:rPr>
            </w:pPr>
            <w:r>
              <w:rPr>
                <w:rFonts w:ascii="Arial" w:cs="Arial" w:eastAsia="Arial" w:hAnsi="Arial"/>
                <w:sz w:val="18"/>
                <w:szCs w:val="18"/>
                <w:b w:val="1"/>
                <w:bCs w:val="1"/>
                <w:color w:val="auto"/>
              </w:rPr>
              <w:t>Nine Months Ended September 30, 2016</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2,883</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(116)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(140)</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VAT-related settlements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(34)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Property insurance recovery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76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8.5%</w:t>
            </w: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 – translation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76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w:t>
            </w:r>
          </w:p>
        </w:tc>
      </w:tr>
      <w:tr>
        <w:trPr>
          <w:trHeight w:val="178"/>
        </w:trPr>
        <w:tc>
          <w:tcPr>
            <w:tcW w:w="8760" w:type="dxa"/>
            <w:vAlign w:val="bottom"/>
            <w:shd w:val="clear" w:color="auto" w:fill="CCEEFF"/>
          </w:tcPr>
          <w:p>
            <w:pPr>
              <w:ind w:left="540"/>
              <w:spacing w:after="0" w:line="178"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7"/>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Nine Months Ended September 30, 2017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3,075</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(597)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(69)</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Malware incident incremental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184</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7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201</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7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Other/rounding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760" w:type="dxa"/>
            <w:vAlign w:val="bottom"/>
          </w:tcPr>
          <w:p>
            <w:pPr>
              <w:ind w:left="540"/>
              <w:spacing w:after="0"/>
              <w:rPr>
                <w:sz w:val="20"/>
                <w:szCs w:val="20"/>
                <w:color w:val="auto"/>
              </w:rPr>
            </w:pPr>
            <w:r>
              <w:rPr>
                <w:rFonts w:ascii="Arial" w:cs="Arial" w:eastAsia="Arial" w:hAnsi="Arial"/>
                <w:sz w:val="18"/>
                <w:szCs w:val="18"/>
                <w:b w:val="1"/>
                <w:bCs w:val="1"/>
                <w:color w:val="auto"/>
              </w:rPr>
              <w:t>Operating Income for the Nine Months Ended September 30, 2017</w:t>
            </w: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29.1%</w:t>
            </w:r>
          </w:p>
        </w:tc>
      </w:tr>
      <w:tr>
        <w:trPr>
          <w:trHeight w:val="20"/>
        </w:trPr>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1"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9" w:lineRule="exact"/>
        <w:rPr>
          <w:rFonts w:ascii="Arial" w:cs="Arial" w:eastAsia="Arial" w:hAnsi="Arial"/>
          <w:sz w:val="14"/>
          <w:szCs w:val="14"/>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trademark impairments.</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 unrealized losses on commodity and forecasted currency transaction derivatives.</w:t>
      </w: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2016, for information on the acquisition of a biscuit business in Vietnam.</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and a grocery business in Australia and New Zealand. Refer to our Annual Report on Form 10-K for the year ended December 31, 2016 for more information on the 2016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and other property sales in 2016.</w:t>
      </w:r>
    </w:p>
    <w:p>
      <w:pPr>
        <w:ind w:left="1140" w:right="20" w:hanging="335"/>
        <w:spacing w:after="0" w:line="264" w:lineRule="auto"/>
        <w:tabs>
          <w:tab w:leader="none" w:pos="11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on the settlement of a pre-acquisition Cadbury tax matter and the reversal of tax liabilities in connection with the resolution of a Brazilian indirect tax matter.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During the first nine months of 2017, we realized higher net pricing while input costs increased modestly. Higher net pricing, which included the carryover impact of pricing actions taken in 2016 and the first half of 2017 as well as the effects of input cost-driven pricing actions taken during the third quarter of 2017, was driven by Latin America and AMEA, partially offset by lower net pricing in Europe and North America. The increase in input costs was driven by higher raw material costs which were partially offset by lower manufacturing costs due to productivity. Unfavorable volume/mix, in part due to expected shipments that we did not realize following the second quarter malware incident, was driven by North America, AMEA, and Latin America, which was partially offset by favorable volume/mix in Europe.</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Total selling, general and administrative expenses decreased $581 million from the first nine months of 2016, due to a number of factors noted in the table above, including in part, the benefits from the resolution of tax matters, lower implementation costs incurred for the 2014-2018 Restructuring Program, lower divestiture-related costs and a property insurance recovery in AMEA. The decreases were partially offset by higher intangible asset impairment charges, gains on sales of property in 2016 and incremental expenses incurred due to the malware incident.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Excluding the factors noted above, selling, general and administrative expenses decreased $315 million from the first nine months of 2016. The decrease was driven primarily by lower overhead costs and lower advertising and consumer promotion costs due to continued cost reduction efforts in both areas.</w:t>
      </w:r>
    </w:p>
    <w:p>
      <w:pPr>
        <w:spacing w:after="0" w:line="164"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Unfavorable currency impacts decreased operating income by $53 million, due primarily to the strength of the U.S. dollar relative to several currencies, including the Egyptian pound and British pound sterling, partially offset by the strength of several currencies relative to the U.S. dollar, including the Brazilian real, Russian ruble, Australian dollar and South African rand.</w:t>
      </w:r>
    </w:p>
    <w:p>
      <w:pPr>
        <w:spacing w:after="0" w:line="16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Operating income margin increased from 10.8% in the first nine months of 2016 to 14.1% in the first nine months of 2017. The increase in operating income margin was driven primarily by an increase in our Adjusted Operating Income margin, the benefits from the resolution of tax matters, the net gain on divestitures, lower 2014-2018 Restructuring Program costs and lower divestiture-related costs, partially offset by higher intangible asset impairment charges, incremental costs related to the malware incident and the year-over-year unfavorable impact of unrealized gains/(losses) on currency and commodity hedging activities. Adjusted Operating Income margin increased from 15.4% in the first nine months of 2016 to 16.5% in the first nine months of 2017. The increase in Adjusted Operating Income margin was driven primarily by lower overheads and lower advertising and consumer promotion costs due to continued cost reduction efforts in both areas.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$2,120</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$554 million (35.4%) in the first nine months of 2017. Diluted EPS attributable to Mondelēz International was $ 1.38 in the first nine months of 2017, up $0.39 (39.4%) from the first nine months of 2016. Adjusted EPS </w:t>
      </w:r>
      <w:r>
        <w:rPr>
          <w:rFonts w:ascii="Arial" w:cs="Arial" w:eastAsia="Arial" w:hAnsi="Arial"/>
          <w:sz w:val="15"/>
          <w:szCs w:val="15"/>
          <w:color w:val="auto"/>
        </w:rPr>
        <w:t>(1)</w:t>
      </w:r>
      <w:r>
        <w:rPr>
          <w:rFonts w:ascii="Arial" w:cs="Arial" w:eastAsia="Arial" w:hAnsi="Arial"/>
          <w:sz w:val="18"/>
          <w:szCs w:val="18"/>
          <w:color w:val="auto"/>
        </w:rPr>
        <w:t xml:space="preserve"> was $1.57 in the first nine months of 2017, up $0.15 (10.6%) from the first nine months of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$1.59 in the first nine months of 2017, up $0.17 (12.0%) from the first nine months of 2016.</w:t>
      </w:r>
    </w:p>
    <w:p>
      <w:pPr>
        <w:sectPr>
          <w:pgSz w:w="11900" w:h="16838" w:orient="portrait"/>
          <w:cols w:equalWidth="0" w:num="1">
            <w:col w:w="11360"/>
          </w:cols>
          <w:pgMar w:left="240" w:top="455"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Nine Months Ended September 30, 2016</w:t>
      </w:r>
    </w:p>
    <w:p>
      <w:pPr>
        <w:ind w:left="7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p>
      <w:pPr>
        <w:ind w:left="720"/>
        <w:spacing w:after="0" w:line="235" w:lineRule="auto"/>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(5)</w:t>
      </w:r>
    </w:p>
    <w:p>
      <w:pPr>
        <w:spacing w:after="0" w:line="17" w:lineRule="exact"/>
        <w:rPr>
          <w:sz w:val="20"/>
          <w:szCs w:val="20"/>
          <w:color w:val="auto"/>
        </w:rPr>
      </w:pPr>
    </w:p>
    <w:p>
      <w:pPr>
        <w:ind w:left="720" w:right="3520" w:hanging="179"/>
        <w:spacing w:after="0" w:line="239" w:lineRule="auto"/>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Nine Months Ended September 30, 2016 </w:t>
      </w: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6" w:lineRule="auto"/>
        <w:rPr>
          <w:sz w:val="20"/>
          <w:szCs w:val="20"/>
          <w:color w:val="auto"/>
        </w:rPr>
      </w:pPr>
      <w:r>
        <w:rPr>
          <w:rFonts w:ascii="Arial" w:cs="Arial" w:eastAsia="Arial" w:hAnsi="Arial"/>
          <w:sz w:val="18"/>
          <w:szCs w:val="18"/>
          <w:color w:val="auto"/>
        </w:rPr>
        <w:t>Increase in equity method investment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Property insurance recovery</w:t>
      </w:r>
    </w:p>
    <w:p>
      <w:pPr>
        <w:ind w:left="720"/>
        <w:spacing w:after="0" w:line="232" w:lineRule="auto"/>
        <w:rPr>
          <w:sz w:val="20"/>
          <w:szCs w:val="20"/>
          <w:color w:val="auto"/>
        </w:rPr>
      </w:pPr>
      <w:r>
        <w:rPr>
          <w:rFonts w:ascii="Arial" w:cs="Arial" w:eastAsia="Arial" w:hAnsi="Arial"/>
          <w:sz w:val="18"/>
          <w:szCs w:val="18"/>
          <w:color w:val="auto"/>
        </w:rPr>
        <w:t xml:space="preserve">Impact of acquisition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(6)</w:t>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(8)</w:t>
      </w:r>
    </w:p>
    <w:p>
      <w:pPr>
        <w:spacing w:after="0" w:line="14" w:lineRule="exact"/>
        <w:rPr>
          <w:sz w:val="20"/>
          <w:szCs w:val="20"/>
          <w:color w:val="auto"/>
        </w:rPr>
      </w:pPr>
    </w:p>
    <w:p>
      <w:pPr>
        <w:ind w:left="720" w:right="18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Nine Months Ended September 30, 2017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Malware incident incremental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(5)</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Nine Months Ended September 30, 2017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43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0.99</w:t>
      </w:r>
    </w:p>
    <w:p>
      <w:pPr>
        <w:spacing w:after="0" w:line="19"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0.36</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jc w:val="right"/>
        <w:spacing w:after="0" w:line="235" w:lineRule="auto"/>
        <w:rPr>
          <w:sz w:val="20"/>
          <w:szCs w:val="20"/>
          <w:color w:val="auto"/>
        </w:rPr>
      </w:pPr>
      <w:r>
        <w:rPr>
          <w:rFonts w:ascii="Arial" w:cs="Arial" w:eastAsia="Arial" w:hAnsi="Arial"/>
          <w:sz w:val="18"/>
          <w:szCs w:val="18"/>
          <w:color w:val="auto"/>
        </w:rPr>
        <w:t>(0.05)</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0.04</w:t>
      </w:r>
    </w:p>
    <w:p>
      <w:pPr>
        <w:jc w:val="right"/>
        <w:spacing w:after="0" w:line="235" w:lineRule="auto"/>
        <w:rPr>
          <w:sz w:val="20"/>
          <w:szCs w:val="20"/>
          <w:color w:val="auto"/>
        </w:rPr>
      </w:pPr>
      <w:r>
        <w:rPr>
          <w:rFonts w:ascii="Arial" w:cs="Arial" w:eastAsia="Arial" w:hAnsi="Arial"/>
          <w:sz w:val="18"/>
          <w:szCs w:val="18"/>
          <w:color w:val="auto"/>
        </w:rPr>
        <w:t>(0.03)</w:t>
      </w:r>
    </w:p>
    <w:p>
      <w:pPr>
        <w:jc w:val="right"/>
        <w:ind w:right="60"/>
        <w:spacing w:after="0"/>
        <w:rPr>
          <w:sz w:val="20"/>
          <w:szCs w:val="20"/>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1.42</w:t>
      </w:r>
    </w:p>
    <w:p>
      <w:pPr>
        <w:spacing w:after="0" w:line="4"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0.16</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(0.02)</w:t>
      </w:r>
    </w:p>
    <w:p>
      <w:pPr>
        <w:jc w:val="right"/>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0.06</w:t>
      </w:r>
    </w:p>
    <w:p>
      <w:pPr>
        <w:jc w:val="right"/>
        <w:ind w:right="60"/>
        <w:spacing w:after="0" w:line="235" w:lineRule="auto"/>
        <w:rPr>
          <w:sz w:val="20"/>
          <w:szCs w:val="20"/>
          <w:color w:val="auto"/>
        </w:rPr>
      </w:pPr>
      <w:r>
        <w:rPr>
          <w:rFonts w:ascii="Arial" w:cs="Arial" w:eastAsia="Arial" w:hAnsi="Arial"/>
          <w:sz w:val="18"/>
          <w:szCs w:val="18"/>
          <w:color w:val="auto"/>
        </w:rPr>
        <w:t>0.04</w:t>
      </w:r>
    </w:p>
    <w:p>
      <w:pPr>
        <w:jc w:val="right"/>
        <w:spacing w:after="0"/>
        <w:rPr>
          <w:sz w:val="20"/>
          <w:szCs w:val="20"/>
          <w:color w:val="auto"/>
        </w:rPr>
      </w:pPr>
      <w:r>
        <w:rPr>
          <w:rFonts w:ascii="Arial" w:cs="Arial" w:eastAsia="Arial" w:hAnsi="Arial"/>
          <w:sz w:val="18"/>
          <w:szCs w:val="18"/>
          <w:color w:val="auto"/>
        </w:rPr>
        <w:t>(0.07)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1.59</w:t>
      </w:r>
    </w:p>
    <w:p>
      <w:pPr>
        <w:spacing w:after="0" w:line="4"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1.57</w:t>
      </w:r>
    </w:p>
    <w:p>
      <w:pPr>
        <w:spacing w:after="0" w:line="4"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(0.29)</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(0.05)</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0.13</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1" w:lineRule="exact"/>
        <w:rPr>
          <w:sz w:val="20"/>
          <w:szCs w:val="20"/>
          <w:color w:val="auto"/>
        </w:rPr>
      </w:pPr>
    </w:p>
    <w:p>
      <w:pPr>
        <w:ind w:left="660" w:hanging="654"/>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643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29845</wp:posOffset>
            </wp:positionV>
            <wp:extent cx="643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560" w:space="720"/>
            <w:col w:w="1080"/>
          </w:cols>
          <w:pgMar w:left="240" w:top="455" w:right="299" w:bottom="1440" w:gutter="0" w:footer="0" w:header="0"/>
          <w:type w:val="continuous"/>
        </w:sectPr>
      </w:pPr>
    </w:p>
    <w:p>
      <w:pPr>
        <w:spacing w:after="0" w:line="80" w:lineRule="exact"/>
        <w:rPr>
          <w:sz w:val="20"/>
          <w:szCs w:val="20"/>
          <w:color w:val="auto"/>
        </w:rPr>
      </w:pP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9" w:lineRule="exact"/>
        <w:rPr>
          <w:rFonts w:ascii="Arial" w:cs="Arial" w:eastAsia="Arial" w:hAnsi="Arial"/>
          <w:sz w:val="14"/>
          <w:szCs w:val="14"/>
          <w:color w:val="auto"/>
        </w:rPr>
      </w:pP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380" w:hanging="335"/>
        <w:spacing w:after="0" w:line="241"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designated as cash flow hedges during the first quarter of 2016 due to changes in financing and hedging plans.</w:t>
      </w:r>
    </w:p>
    <w:p>
      <w:pPr>
        <w:ind w:left="1140" w:hanging="335"/>
        <w:spacing w:after="0"/>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 w:lineRule="exact"/>
        <w:rPr>
          <w:rFonts w:ascii="Arial" w:cs="Arial" w:eastAsia="Arial" w:hAnsi="Arial"/>
          <w:sz w:val="14"/>
          <w:szCs w:val="14"/>
          <w:color w:val="auto"/>
        </w:rPr>
      </w:pPr>
    </w:p>
    <w:p>
      <w:pPr>
        <w:ind w:left="1140" w:right="160" w:hanging="335"/>
        <w:spacing w:after="0" w:line="264" w:lineRule="auto"/>
        <w:tabs>
          <w:tab w:leader="none" w:pos="1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5" w:right="29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9"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jc w:val="both"/>
        <w:ind w:left="1140" w:right="20" w:hanging="335"/>
        <w:spacing w:after="0" w:line="241" w:lineRule="auto"/>
        <w:tabs>
          <w:tab w:leader="none" w:pos="1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a $31 million earnings impact (in the provision for income taxes) in the first nine months of 2017 related to adopting a new stock-based compensation accounting standard in 2017 and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200" w:hanging="335"/>
        <w:spacing w:after="0" w:line="264" w:lineRule="auto"/>
        <w:tabs>
          <w:tab w:leader="none" w:pos="1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discharge.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spacing w:after="0" w:line="13"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8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a new AMEA operating segment. We have reflected the segment change as if it had occurred in all periods presented.</w:t>
      </w:r>
    </w:p>
    <w:p>
      <w:pPr>
        <w:spacing w:after="0" w:line="144"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125"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 xml:space="preserve">We use segment operating income to evaluate segment performance and allocate resources. We believe it is appropriate to disclose this measure to help investors analyze segment performance and trends. See Note 15,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for additional information on our segments and </w:t>
      </w:r>
      <w:r>
        <w:rPr>
          <w:rFonts w:ascii="Arial" w:cs="Arial" w:eastAsia="Arial" w:hAnsi="Arial"/>
          <w:sz w:val="17"/>
          <w:szCs w:val="17"/>
          <w:i w:val="1"/>
          <w:iCs w:val="1"/>
          <w:color w:val="auto"/>
        </w:rPr>
        <w:t>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Affecting Comparability of Financial Results </w:t>
      </w:r>
      <w:r>
        <w:rPr>
          <w:rFonts w:ascii="Arial" w:cs="Arial" w:eastAsia="Arial" w:hAnsi="Arial"/>
          <w:sz w:val="17"/>
          <w:szCs w:val="17"/>
          <w:color w:val="auto"/>
        </w:rPr>
        <w:t>earlier in this section for items affecting our segment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in all periods, were: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3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Latin America</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908</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868</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2,666</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AMEA</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1,443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4,290</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Europe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2,442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2,332</w:t>
            </w:r>
          </w:p>
        </w:tc>
        <w:tc>
          <w:tcPr>
            <w:tcW w:w="240" w:type="dxa"/>
            <w:vAlign w:val="bottom"/>
          </w:tcPr>
          <w:p>
            <w:pPr>
              <w:spacing w:after="0"/>
              <w:rPr>
                <w:sz w:val="17"/>
                <w:szCs w:val="17"/>
                <w:color w:val="auto"/>
              </w:rPr>
            </w:pPr>
          </w:p>
        </w:tc>
        <w:tc>
          <w:tcPr>
            <w:tcW w:w="11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6,978</w:t>
            </w: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7,073</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North America</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1,775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1,753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4,996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10"/>
        </w:trPr>
        <w:tc>
          <w:tcPr>
            <w:tcW w:w="550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4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18,930</w:t>
            </w:r>
          </w:p>
        </w:tc>
        <w:tc>
          <w:tcPr>
            <w:tcW w:w="3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before income taxes: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255</w:t>
            </w:r>
          </w:p>
        </w:tc>
        <w:tc>
          <w:tcPr>
            <w:tcW w:w="4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900"/>
              <w:spacing w:after="0" w:line="202" w:lineRule="exact"/>
              <w:rPr>
                <w:sz w:val="20"/>
                <w:szCs w:val="20"/>
                <w:color w:val="auto"/>
              </w:rPr>
            </w:pPr>
            <w:r>
              <w:rPr>
                <w:rFonts w:ascii="Arial" w:cs="Arial" w:eastAsia="Arial" w:hAnsi="Arial"/>
                <w:sz w:val="18"/>
                <w:szCs w:val="18"/>
                <w:color w:val="auto"/>
              </w:rPr>
              <w:t>AMEA</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165</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425</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Europe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1,158</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900"/>
              <w:spacing w:after="0" w:line="202" w:lineRule="exact"/>
              <w:rPr>
                <w:sz w:val="20"/>
                <w:szCs w:val="20"/>
                <w:color w:val="auto"/>
              </w:rPr>
            </w:pPr>
            <w:r>
              <w:rPr>
                <w:rFonts w:ascii="Arial" w:cs="Arial" w:eastAsia="Arial" w:hAnsi="Arial"/>
                <w:sz w:val="18"/>
                <w:szCs w:val="18"/>
                <w:color w:val="auto"/>
              </w:rPr>
              <w:t>North America</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274</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00" w:type="dxa"/>
            <w:vAlign w:val="bottom"/>
            <w:shd w:val="clear" w:color="auto" w:fill="CCEEFF"/>
          </w:tcPr>
          <w:p>
            <w:pPr>
              <w:ind w:left="900"/>
              <w:spacing w:after="0" w:line="180" w:lineRule="exact"/>
              <w:rPr>
                <w:sz w:val="20"/>
                <w:szCs w:val="20"/>
                <w:color w:val="auto"/>
              </w:rPr>
            </w:pPr>
            <w:r>
              <w:rPr>
                <w:rFonts w:ascii="Arial" w:cs="Arial" w:eastAsia="Arial" w:hAnsi="Arial"/>
                <w:sz w:val="18"/>
                <w:szCs w:val="18"/>
                <w:color w:val="auto"/>
              </w:rPr>
              <w:t>Unrealized gains/(losses) on hedging activities (mark-to-</w:t>
            </w: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market impacts)</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5500" w:type="dxa"/>
            <w:vAlign w:val="bottom"/>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(89)</w:t>
            </w:r>
          </w:p>
        </w:tc>
        <w:tc>
          <w:tcPr>
            <w:tcW w:w="24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(196)</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3"/>
        </w:trPr>
        <w:tc>
          <w:tcPr>
            <w:tcW w:w="5500" w:type="dxa"/>
            <w:vAlign w:val="bottom"/>
          </w:tcPr>
          <w:p>
            <w:pPr>
              <w:ind w:left="900"/>
              <w:spacing w:after="0" w:line="202" w:lineRule="exact"/>
              <w:rPr>
                <w:sz w:val="20"/>
                <w:szCs w:val="20"/>
                <w:color w:val="auto"/>
              </w:rPr>
            </w:pPr>
            <w:r>
              <w:rPr>
                <w:rFonts w:ascii="Arial" w:cs="Arial" w:eastAsia="Arial" w:hAnsi="Arial"/>
                <w:sz w:val="18"/>
                <w:szCs w:val="18"/>
                <w:color w:val="auto"/>
              </w:rPr>
              <w:t>Net gain on divestitures</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1,181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702</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03"/>
        </w:trPr>
        <w:tc>
          <w:tcPr>
            <w:tcW w:w="550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w:t>
            </w:r>
          </w:p>
        </w:tc>
        <w:tc>
          <w:tcPr>
            <w:tcW w:w="24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(262)</w:t>
            </w:r>
          </w:p>
        </w:tc>
        <w:tc>
          <w:tcPr>
            <w:tcW w:w="3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1,162</w:t>
            </w:r>
          </w:p>
        </w:tc>
        <w:tc>
          <w:tcPr>
            <w:tcW w:w="4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2,400</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vMerge w:val="restart"/>
          </w:tcPr>
          <w:p>
            <w:pPr>
              <w:jc w:val="right"/>
              <w:ind w:right="170"/>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5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6" w:lineRule="exact"/>
        <w:rPr>
          <w:sz w:val="20"/>
          <w:szCs w:val="20"/>
          <w:color w:val="auto"/>
        </w:rPr>
      </w:pPr>
    </w:p>
    <w:tbl>
      <w:tblPr>
        <w:tblLayout w:type="fixed"/>
        <w:tblInd w:w="5540" w:type="dxa"/>
        <w:tblCellMar>
          <w:top w:w="0" w:type="dxa"/>
          <w:left w:w="0" w:type="dxa"/>
          <w:bottom w:w="0" w:type="dxa"/>
          <w:right w:w="0" w:type="dxa"/>
        </w:tblCellMar>
      </w:tblPr>
      <w:tr>
        <w:trPr>
          <w:trHeight w:val="162"/>
        </w:trPr>
        <w:tc>
          <w:tcPr>
            <w:tcW w:w="31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23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40" w:type="dxa"/>
            <w:vAlign w:val="bottom"/>
            <w:tcBorders>
              <w:top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868</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54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1"/>
                <w:szCs w:val="21"/>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163</w:t>
            </w:r>
          </w:p>
        </w:tc>
        <w:tc>
          <w:tcPr>
            <w:tcW w:w="960" w:type="dxa"/>
            <w:vAlign w:val="bottom"/>
          </w:tcPr>
          <w:p>
            <w:pPr>
              <w:jc w:val="right"/>
              <w:spacing w:after="0"/>
              <w:rPr>
                <w:sz w:val="20"/>
                <w:szCs w:val="20"/>
                <w:color w:val="auto"/>
              </w:rPr>
            </w:pPr>
            <w:r>
              <w:rPr>
                <w:rFonts w:ascii="Arial" w:cs="Arial" w:eastAsia="Arial" w:hAnsi="Arial"/>
                <w:sz w:val="18"/>
                <w:szCs w:val="18"/>
                <w:color w:val="auto"/>
              </w:rPr>
              <w:t>177.2%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6"/>
          </w:tcPr>
          <w:p>
            <w:pPr>
              <w:ind w:left="14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00" w:type="dxa"/>
            <w:vAlign w:val="bottom"/>
            <w:gridSpan w:val="6"/>
          </w:tcPr>
          <w:p>
            <w:pPr>
              <w:ind w:left="5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(in millions)</w:t>
            </w:r>
          </w:p>
        </w:tc>
        <w:tc>
          <w:tcPr>
            <w:tcW w:w="5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2,666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2,528</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138</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54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21"/>
                <w:szCs w:val="21"/>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278</w:t>
            </w:r>
          </w:p>
        </w:tc>
        <w:tc>
          <w:tcPr>
            <w:tcW w:w="960" w:type="dxa"/>
            <w:vAlign w:val="bottom"/>
          </w:tcPr>
          <w:p>
            <w:pPr>
              <w:jc w:val="right"/>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12"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Net revenues increased $ 40 million (4.6%), due to higher net pricing (8.3 pp), partially offset by unfavorable volume/mix (2.9 pp), unfavorable currency (0.6 pp) and the impact of a divestiture (0.2 pp). Higher net pricing was reflected across all categories driven primarily by Brazil, Argentina and Mexico. Despite the benefit from the recovery of shipments delayed due to the second quarter malware incident, unfavorable volume/mix occurred across most of the region and was largely due to the impact of pricing-related elasticity. Unfavorable volume/mix was driven by declines in refreshment beverages, gum and cheese &amp; grocery, partially offset by gains in chocolate, biscuits and candy. Unfavorable currency impacts were due primarily to the strength of the U.S. dollar relative to the Argentinian peso, partially offset by the strength of the Brazilian real and Mexico peso relative to the U.S. dollar. On December 1, 2016, we sold a small confectionery business in Costa Rica.</w:t>
      </w:r>
    </w:p>
    <w:p>
      <w:pPr>
        <w:spacing w:after="0" w:line="16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Segment operating income increased $163 million (177.2%), primarily due to the benefit from the resolution of a Brazilian indirect tax matter of $153 million, higher net pricing and lower manufacturing costs. These favorable items were partially offset by higher raw material costs, higher advertising and consumer promotion costs, unfavorable volume/mix, higher costs incurred for the 2014-2018 Restructuring Program, higher other selling, general and administrative expenses and an intangible asset impairment charge.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Net revenues increased $138 million (5.5%), due to higher net pricing (7.4 pp) and favorable currency (2.8 pp), partially offset by unfavorable volume/mix (4.5 pp) and the impact of a divestiture (0.2 pp). Higher net pricing was reflected across all categories driven primarily by Argentina, Brazil and Mexico. Favorable currency impacts were due primarily to the strength of several currencies in the region relative to the U.S. dollar, primarily the Brazilian real, partially offset by the strength of the U.S. dollar relative to the Argentinian peso and Mexican peso. Unfavorable volume/mix, which occurred across most of the region, was largely due to the impact of pricing-related elasticity. In addition, only a portion of the shipments delayed at the end of the second quarter due to the malware incident was recovered. Unfavorable volume/mix was driven by declines in all categories except chocolate and candy. On December 1, 2016, we sold a small confectionery business in Costa Rica.</w:t>
      </w:r>
    </w:p>
    <w:p>
      <w:pPr>
        <w:spacing w:after="0" w:line="17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Segment operating income increased $278 million (145.5%), primarily due to higher net pricing, the benefit from the resolution of a Brazilian indirect tax matter of $153 million, lower manufacturing costs, favorable currency, lower other selling, general and administrative expenses and lower advertising and consumer promotion costs. These favorable items were partially offset by higher raw material costs, unfavorable volume/mix and an intangible asset impairment charge.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246" w:lineRule="exact"/>
        <w:rPr>
          <w:sz w:val="20"/>
          <w:szCs w:val="20"/>
          <w:color w:val="auto"/>
        </w:rPr>
      </w:pPr>
    </w:p>
    <w:tbl>
      <w:tblPr>
        <w:tblLayout w:type="fixed"/>
        <w:tblInd w:w="5500" w:type="dxa"/>
        <w:tblCellMar>
          <w:top w:w="0" w:type="dxa"/>
          <w:left w:w="0" w:type="dxa"/>
          <w:bottom w:w="0" w:type="dxa"/>
          <w:right w:w="0" w:type="dxa"/>
        </w:tblCellMar>
      </w:tblPr>
      <w:tr>
        <w:trPr>
          <w:trHeight w:val="162"/>
        </w:trPr>
        <w:tc>
          <w:tcPr>
            <w:tcW w:w="30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23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2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1,443</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1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(83)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323"/>
        </w:trPr>
        <w:tc>
          <w:tcPr>
            <w:tcW w:w="4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4,290</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4,404</w:t>
            </w: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(114)</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1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Net revenues decreased $38 million (2.6%), due to the impact of divestitures (4.2 pp), unfavorable currency (1.3 pp) and unfavorable volume/mix (0.5 pp), partially offset by higher net pricing (3.4 pp). The impact of divestitures, primarily related to the grocery &amp; cheese business in Australia and New Zealand that was divested on July 4, 2017, resulted in a year-over-year decline in net revenues of $60 million for the third quarter of 2017. Unfavorable currency impacts were due primarily to the strength of the U.S. dollar relative to several currencies in the region, including the Egyptian pound, Philippine peso and Japanese yen, partially offset by the strength of several other currencies in the region relative to the U.S. dollar, including the Australian dollar, Indian rupee and South African rand. Despite the benefit from the recovery of shipments delayed due to the second quarter malware incident, unfavorable volume/mix was driven by declines in all categories except biscuits. Higher net pricing was reflected across all categories.</w:t>
      </w:r>
    </w:p>
    <w:p>
      <w:pPr>
        <w:spacing w:after="0" w:line="181"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Segment operating income decreased $83 million (50.3%), primarily due to intangible asset impairment charges, higher raw material costs, higher costs incurred for the 2014-2018 Restructuring Program, unfavorable volume/mix and the impact of divestitures. These unfavorable items were partially offset by higher net pricing, lower manufacturing costs and lower advertising and consumer promotion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Net revenues decreased $114 million (2.6%), due to unfavorable currency (2.6 pp), the impact of divestitures (1.3 pp) and unfavorable volume/mix (1.3 pp), partially offset by higher net pricing (2.6 pp). Unfavorable currency impacts were due primarily to the strength of the U.S. dollar relative to several currencies in the region, including the Egyptian pound, Nigerian naira, Chinese yuan, and Philippine peso, partially offset by the strength of several other currencies in the region relative to the U.S. dollar, including the South African rand, Australian dollar and Indian rupee. The impact of divestitures, primarily related to the grocery &amp; cheese business in Australia and New Zealand that was divested on July 4, 2017, resulted in a year-over-year decline in net revenues of $60 million for the first nine months of 2017. Unfavorable volume/mix was driven by declines in cheese &amp; grocery, refreshment beverages, gum and candy, partially offset by gains in biscuits and chocolate. In addition, only a portion of the shipments delayed at the end of the second quarter due to the malware incident was recovered. Higher net pricing was reflected across all categories.</w:t>
      </w:r>
    </w:p>
    <w:p>
      <w:pPr>
        <w:spacing w:after="0" w:line="17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Segment operating income decreased $79 million (15.7%), primarily due to higher raw material costs, unfavorable volume/mix, intangible asset impairment charges, unfavorable currency, higher costs incurred for the 2014-2018 Restructuring Program and the impact of divestitures. These unfavorable items were partially offset by higher net pricing, lower other selling, general and administrative expenses (including a property insurance recovery), lower manufacturing costs and lower advertising and consumer promotion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6" w:lineRule="exact"/>
        <w:rPr>
          <w:sz w:val="20"/>
          <w:szCs w:val="20"/>
          <w:color w:val="auto"/>
        </w:rPr>
      </w:pPr>
    </w:p>
    <w:tbl>
      <w:tblPr>
        <w:tblLayout w:type="fixed"/>
        <w:tblInd w:w="5500" w:type="dxa"/>
        <w:tblCellMar>
          <w:top w:w="0" w:type="dxa"/>
          <w:left w:w="0" w:type="dxa"/>
          <w:bottom w:w="0" w:type="dxa"/>
          <w:right w:w="0" w:type="dxa"/>
        </w:tblCellMar>
      </w:tblPr>
      <w:tr>
        <w:trPr>
          <w:trHeight w:val="162"/>
        </w:trPr>
        <w:tc>
          <w:tcPr>
            <w:tcW w:w="30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0" w:type="dxa"/>
            <w:vAlign w:val="bottom"/>
          </w:tcPr>
          <w:p>
            <w:pPr>
              <w:spacing w:after="0"/>
              <w:rPr>
                <w:sz w:val="15"/>
                <w:szCs w:val="15"/>
                <w:color w:val="auto"/>
              </w:rPr>
            </w:pPr>
          </w:p>
        </w:tc>
        <w:tc>
          <w:tcPr>
            <w:tcW w:w="234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2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2,332</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323"/>
        </w:trPr>
        <w:tc>
          <w:tcPr>
            <w:tcW w:w="4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6,978</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7,073</w:t>
            </w: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(95)</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1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1,158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234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Net revenues increased $110 million (4.7%), due to favorable volume/mix (4.6 pp), favorable currency (4.1 pp) and the impact of an acquisition (0.9 pp), partially offset by the impact of divestitures (3.5 pp) and lower net pricing (1.4 pp). Favorable volume/mix, including the recovery of the majority of the shipments delayed at the end of the second quarter due to the malware incident, was driven by gains in chocolate, biscuits, candy, and refreshment beverages, partially offset by declines in gum and cheese &amp; grocery. Favorable currency impacts reflected the strength of several currencies in the region relative to the U.S. dollar, including the euro and Russian ruble, partially offset by the strength of the U.S. dollar against several other currencies in the region, primarily the Turkish lira and the British pound sterling. The November 2016 acquisition of a business and license to manufacture, market and sell Cadbury-branded biscuits added net revenues of $20 million (constant currency basis). The impact of divestitures, primarily due to the sale of a confectionery business in France, resulted in a year-over-year decline in net revenues of $75 million for the quarter. Lower net pricing was reflected across all categories except cheese &amp; grocery.</w:t>
      </w:r>
    </w:p>
    <w:p>
      <w:pPr>
        <w:spacing w:after="0" w:line="176"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auto"/>
        </w:rPr>
        <w:t>Segment operating income increased $94 million (29.7%), primarily due to lower costs incurred for the 2014-2018 Restructuring Program, favorable volume/mix, lower manufacturing costs, lower other selling, general and administrative expenses, favorable currency and lower advertising and consumer promotion costs. These favorable items were partially offset by higher raw material costs, lower net pricing, the impact of divestitures, incremental costs incurred due to the malware incident and higher intangible asset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decreased $95 million (1.3%), due to the impact of divestitures (1.7 pp) unfavorable currency (1.6 pp), and lower net pricing (0.6 pp), partially offset by favorable volume/mix (1.8 pp) and the impact of an acquisition (0.8 pp). The impact of divestitures, primarily due to the sale of a confectionery business in France, resulted in a year-over-year decline in net revenues of $122 million for the first nine months of 2017. Unfavorable currency impacts reflected the strength of the U.S. dollar against several currencies in the region, including the British pound sterling, Turkish lira and euro, partially offset by the strength of several other currencies relative the U.S. dollar, primarily the Russian ruble. Lower net pricing was reflected across all categories except refreshment beverages and candy. Favorable volume/mix was driven by chocolate and biscuits, partially offset by declines in gum, cheese &amp; grocery, refreshment beverages and candy. In addition, a portion of the shipments delayed at the end of the second quarter due to the malware incident was not recovered. The November 2016 acquisition of a business and license to manufacture, market and sell Cadbury-branded biscuits added net revenues of $50 million (constant currency basis).</w:t>
      </w:r>
    </w:p>
    <w:p>
      <w:pPr>
        <w:spacing w:after="0" w:line="17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Segment operating income increased $234 million (25.3%), primarily due to lower manufacturing costs, lower costs incurred for the 2014-2018 Restructuring Program, lower divestiture-related costs, lower other selling, general and administrative expenses, favorable volume/mix, the benefit from the settlement of a Cadbury tax matter, lower advertising and consumer promotion costs and lower intangible asset impairment charges. These favorable items were partially offset by higher raw material costs, lower net pricing, unfavorable currency, the impact of divestitures, incremental costs incurred due to the malware incident and a prior-year gain on the sale of an intangible asset.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6" w:lineRule="exact"/>
        <w:rPr>
          <w:sz w:val="20"/>
          <w:szCs w:val="20"/>
          <w:color w:val="auto"/>
        </w:rPr>
      </w:pPr>
    </w:p>
    <w:tbl>
      <w:tblPr>
        <w:tblLayout w:type="fixed"/>
        <w:tblInd w:w="5480" w:type="dxa"/>
        <w:tblCellMar>
          <w:top w:w="0" w:type="dxa"/>
          <w:left w:w="0" w:type="dxa"/>
          <w:bottom w:w="0" w:type="dxa"/>
          <w:right w:w="0" w:type="dxa"/>
        </w:tblCellMar>
      </w:tblPr>
      <w:tr>
        <w:trPr>
          <w:trHeight w:val="162"/>
        </w:trPr>
        <w:tc>
          <w:tcPr>
            <w:tcW w:w="31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0" w:type="dxa"/>
            <w:vAlign w:val="bottom"/>
          </w:tcPr>
          <w:p>
            <w:pPr>
              <w:spacing w:after="0"/>
              <w:rPr>
                <w:sz w:val="15"/>
                <w:szCs w:val="15"/>
                <w:color w:val="auto"/>
              </w:rPr>
            </w:pPr>
          </w:p>
        </w:tc>
        <w:tc>
          <w:tcPr>
            <w:tcW w:w="23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40" w:type="dxa"/>
            <w:vAlign w:val="bottom"/>
            <w:tcBorders>
              <w:top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1,753</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1"/>
                <w:szCs w:val="21"/>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323"/>
        </w:trPr>
        <w:tc>
          <w:tcPr>
            <w:tcW w:w="4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(in millions)</w:t>
            </w:r>
          </w:p>
        </w:tc>
        <w:tc>
          <w:tcPr>
            <w:tcW w:w="5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6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4,996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5,148</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(152)</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824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21"/>
                <w:szCs w:val="21"/>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Net revenues increased $22 million (1.3%), due to favorable volume/mix (0.7 pp), favorable currency (0.5 pp) and higher net pricing (0.3 pp), partially offset by the impact of divestitures (0.2 pp). Favorable volume/mix, despite a negative impact from the second quarter malware incident, was driven by gains in biscuits, chocolate and candy, partially offset by a decline in gum. Favorable currency impact was due to the strength of the Canadian dollar relative to the U.S. dollar. Higher net pricing was reflected in candy and gum, partially offset by lower net pricing in biscuits and chocolate.</w:t>
      </w:r>
    </w:p>
    <w:p>
      <w:pPr>
        <w:spacing w:after="0" w:line="17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Segment operating income increased $44 million (16.1%), primarily due to lower costs incurred for the 2014-2018 Restructuring Program, lower other selling, general and administrative expenses (net of the prior year’s gain on sale of property), lower raw material costs and higher net pricing. These favorable items were partially offset by incremental costs incurred due to the malware incident, higher advertising and consumer promotion costs, higher manufacturing costs, prior-year gain on the sale of an intangible asset and unfavorable volume/mix.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1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Net revenues decreased $ 152 million (3.0%), due to unfavorable volume/mix (2.5 pp), lower net pricing (0.5 pp) and the impact of divestitures (0.1 pp), partially offset by favorable currency (0.1 pp). Unfavorable volume/mix, primarily caused by shipments delayed at the end of the second quarter due to the malware incident that were not recovered, was driven by declines in gum, biscuits and candy, partially offset by a gain in chocolate. Lower net pricing was reflected in biscuits and chocolate, partially offset by higher net pricing in candy and gum. Favorable currency impact was due to the strength of the Canadian dollar relative to the U.S. dollar.</w:t>
      </w:r>
    </w:p>
    <w:p>
      <w:pPr>
        <w:spacing w:after="0" w:line="17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Segment operating income decreased $16 million (1.9%), primarily due to unfavorable volume/mix, incremental costs incurred due to the malware incident, higher intangible asset impairment charges, lower net pricing, higher raw material costs and prior-year gain on the sale of an intangible asset. These unfavorable items were partially offset by lower costs incurred for the 2014-2018 Restructuring Program, lower manufacturing costs, lower advertising and consumer promotion costs and lower other selling, general and administrative expenses (net of the prior year’s gains on sales of property).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We believe that cash from operations, our revolving credit facilities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Earnings outside of the U.S. are considered indefinitely reinvested and no material tax liability has been accrued as of September 30, 2017. Overall, we do not expect any negative effects to our funding sources that would have a material effect on our liquidity, including the indefinite reinvestment of our earnings outside of the 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Net cash provided by operating activities was $797 million in the first nine months of 2017 and $1,138 million in the first nine months of 2016. The decrease in net cash provided by operating activities was due primarily to increases in working capital including higher tax and VAT-related payments in 2017, partially offset by higher net earnings.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Net cash used in investing activities was $128 million in the first nine months of 2017 and $521 million in the first nine months of 2016. The decrease in net cash used in investing activities primarily relates to net proceeds received from divestitures of $516 million and lower capital expenditures of $721 million in the first nine months of 2017 compared to $909 million for the prior-year same period. We continue to make capital expenditures primarily to modernize manufacturing facilities and support new product and productivity initiatives. We expect 2017 capital expenditures to be up to $1.1 billion, including capital expenditures in connection with our 2014-2018 Restructuring Program. We expect to continue to fund these expenditures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1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Net cash used in financing activities was $1,648 million in the first nine months of 2017 and $830 million in the first nine months of 2016. The increase in net cash used in financing activities was primarily due to lower net debt issuances and increased share repurchases and dividends.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w:t>
      </w:r>
    </w:p>
    <w:p>
      <w:pPr>
        <w:spacing w:after="0" w:line="14"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 xml:space="preserve">From time to time we refinance long-term and short-term debt. Refer to Note 7, </w:t>
      </w:r>
      <w:r>
        <w:rPr>
          <w:rFonts w:ascii="Arial" w:cs="Arial" w:eastAsia="Arial" w:hAnsi="Arial"/>
          <w:sz w:val="17"/>
          <w:szCs w:val="17"/>
          <w:i w:val="1"/>
          <w:iCs w:val="1"/>
          <w:color w:val="auto"/>
        </w:rPr>
        <w:t>Debt and Borrowing Arrangements</w:t>
      </w:r>
      <w:r>
        <w:rPr>
          <w:rFonts w:ascii="Arial" w:cs="Arial" w:eastAsia="Arial" w:hAnsi="Arial"/>
          <w:sz w:val="17"/>
          <w:szCs w:val="17"/>
          <w:color w:val="auto"/>
        </w:rPr>
        <w:t>, for details of our debt activity during the first nine months of 2017.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5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During 2016, one of our subsidiaries, Mondelez International Holdings Netherlands B.V. (“MIHN”), issued debt totaling $4.5 billion. The operations held by MIHN generated approximately 74.2% (or $14.0 billion) of the $18.9 billion of consolidated net revenue in the nine months ended September 30, 2017. The operations held by MIHN represented approximately 72.8% (or $19.0 billion) of the $26.1 billion of net assets as of September 30, 2017 and 81.7% (or $20.6 billion) of the $25.2 billion of net assets as of December 31, 2016.</w:t>
      </w:r>
    </w:p>
    <w:p>
      <w:pPr>
        <w:spacing w:after="0" w:line="13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February 3, 2017, our Board of Directors approved a new $5 billion long-term financing authority to replace the prior authority. As of September 30, 2017, we had $4.7 billion of long-term financing authority remaining.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next 12 months, we expect $1.2 billion of long-term debt will mature as follows: </w:t>
      </w:r>
      <w:r>
        <w:rPr>
          <w:rFonts w:ascii="Arial" w:cs="Arial" w:eastAsia="Arial" w:hAnsi="Arial"/>
          <w:sz w:val="17"/>
          <w:szCs w:val="17"/>
          <w:i w:val="1"/>
          <w:iCs w:val="1"/>
          <w:color w:val="auto"/>
        </w:rPr>
        <w:t>fr.</w:t>
      </w:r>
      <w:r>
        <w:rPr>
          <w:rFonts w:ascii="Arial" w:cs="Arial" w:eastAsia="Arial" w:hAnsi="Arial"/>
          <w:sz w:val="17"/>
          <w:szCs w:val="17"/>
          <w:color w:val="auto"/>
        </w:rPr>
        <w:t>250 million Swiss franc notes ($258 million as of</w:t>
      </w:r>
    </w:p>
    <w:p>
      <w:pPr>
        <w:spacing w:after="0" w:line="16"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September 30, 2017) in January 2018, $478 million in February 2018, £76 million sterling notes ($102 million as of September 30, 2017) in July 2018, and $322 million in August 2018. We expect to fund these repayments with a combination of cash from operations and the issuance of commercial paper or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Our total debt was $18.6 billion at September 30, 2017 and $17.2 billion at December 31, 2016. Our debt-to-capitalization ratio was 0.42 at September 30, 2017 and 0.41 at December 31, 2016. At September 30, 2017, the weighted-average term of our outstanding long-term debt was 6.5 years. Our average daily commercial paper borrowings outstanding were $4.4 billion in the first nine months of 2017 and $2.1 billion in the first nine months of 2016. We had commercial paper outstanding totaling $4.4 billion as of September 30, 2017 and $2.4 billion as of December 31, 2016. We expect to continue to use commercial paper to finance various short-term financing needs. We continue to comply with our debt covenants. Refer to Note 7, </w:t>
      </w:r>
      <w:r>
        <w:rPr>
          <w:rFonts w:ascii="Arial" w:cs="Arial" w:eastAsia="Arial" w:hAnsi="Arial"/>
          <w:sz w:val="17"/>
          <w:szCs w:val="17"/>
          <w:i w:val="1"/>
          <w:iCs w:val="1"/>
          <w:color w:val="auto"/>
        </w:rPr>
        <w:t>Debt</w:t>
      </w:r>
      <w:r>
        <w:rPr>
          <w:rFonts w:ascii="Arial" w:cs="Arial" w:eastAsia="Arial" w:hAnsi="Arial"/>
          <w:sz w:val="17"/>
          <w:szCs w:val="17"/>
          <w:color w:val="auto"/>
        </w:rPr>
        <w:t xml:space="preserve"> </w:t>
      </w:r>
      <w:r>
        <w:rPr>
          <w:rFonts w:ascii="Arial" w:cs="Arial" w:eastAsia="Arial" w:hAnsi="Arial"/>
          <w:sz w:val="17"/>
          <w:szCs w:val="17"/>
          <w:i w:val="1"/>
          <w:iCs w:val="1"/>
          <w:color w:val="auto"/>
        </w:rPr>
        <w:t>and Borrowing Arrangements</w:t>
      </w:r>
      <w:r>
        <w:rPr>
          <w:rFonts w:ascii="Arial" w:cs="Arial" w:eastAsia="Arial" w:hAnsi="Arial"/>
          <w:sz w:val="17"/>
          <w:szCs w:val="17"/>
          <w:color w:val="auto"/>
        </w:rPr>
        <w:t>, for more information on our debt and debt covenants.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Trends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regularly monitor worldwide supply, commodity cost and currency trends so we can cost-effectively secure ingredients, packaging and fuel required for production. During the first nine months of 2017, the primary drivers of the increase in our aggregate commodity costs were higher currency-related costs on our commodity purchases and increased costs for dairy, cocoa, sugar, packaging and grains &amp; oils, energy and other raw materials, partially offset by lower costs for nuts.</w:t>
      </w:r>
    </w:p>
    <w:p>
      <w:pPr>
        <w:spacing w:after="0" w:line="144"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13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expect price volatility and a slightly higher aggregate cost environment to continue in 2017. While the costs of our principal raw materials fluctuate, we believe there will continue to be an adequate supply of the raw materials we use and that they will generally remain available from numerous sources.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Aggregate Contractual Obligations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 xml:space="preserve">See Note 7, </w:t>
      </w:r>
      <w:r>
        <w:rPr>
          <w:rFonts w:ascii="Arial" w:cs="Arial" w:eastAsia="Arial" w:hAnsi="Arial"/>
          <w:sz w:val="17"/>
          <w:szCs w:val="17"/>
          <w:i w:val="1"/>
          <w:iCs w:val="1"/>
          <w:color w:val="auto"/>
        </w:rPr>
        <w:t>Debt and Borrowing Arrangements</w:t>
      </w:r>
      <w:r>
        <w:rPr>
          <w:rFonts w:ascii="Arial" w:cs="Arial" w:eastAsia="Arial" w:hAnsi="Arial"/>
          <w:sz w:val="17"/>
          <w:szCs w:val="17"/>
          <w:color w:val="auto"/>
        </w:rPr>
        <w:t xml:space="preserve">, for information on debt transactions during the first nine months of 2017. There were no other material changes to our off-balance sheet arrangements and aggregate contractual obligations disclosed in our Annual Report on Form 10-K for the year ended December 31, 2016. We also do not expect a material change in the effect of these arrangements and obligations on our liquidity. See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a discussion of guarantees.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and Dividends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Plans and Share Repurchases:</w:t>
      </w:r>
    </w:p>
    <w:p>
      <w:pPr>
        <w:spacing w:after="0" w:line="14" w:lineRule="exact"/>
        <w:rPr>
          <w:sz w:val="20"/>
          <w:szCs w:val="20"/>
          <w:color w:val="auto"/>
        </w:rPr>
      </w:pPr>
    </w:p>
    <w:p>
      <w:pPr>
        <w:ind w:right="900"/>
        <w:spacing w:after="0" w:line="248" w:lineRule="auto"/>
        <w:rPr>
          <w:sz w:val="20"/>
          <w:szCs w:val="20"/>
          <w:color w:val="auto"/>
        </w:rPr>
      </w:pPr>
      <w:r>
        <w:rPr>
          <w:rFonts w:ascii="Arial" w:cs="Arial" w:eastAsia="Arial" w:hAnsi="Arial"/>
          <w:sz w:val="17"/>
          <w:szCs w:val="17"/>
          <w:color w:val="auto"/>
        </w:rPr>
        <w:t xml:space="preserve">See Note 10, </w:t>
      </w:r>
      <w:r>
        <w:rPr>
          <w:rFonts w:ascii="Arial" w:cs="Arial" w:eastAsia="Arial" w:hAnsi="Arial"/>
          <w:sz w:val="17"/>
          <w:szCs w:val="17"/>
          <w:i w:val="1"/>
          <w:iCs w:val="1"/>
          <w:color w:val="auto"/>
        </w:rPr>
        <w:t>Stock Plans</w:t>
      </w:r>
      <w:r>
        <w:rPr>
          <w:rFonts w:ascii="Arial" w:cs="Arial" w:eastAsia="Arial" w:hAnsi="Arial"/>
          <w:sz w:val="17"/>
          <w:szCs w:val="17"/>
          <w:color w:val="auto"/>
        </w:rPr>
        <w:t>, for more information on our stock plans, grant activity and share repurchase program for the nine months ended September 30, 2017.</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intend to continue to use a portion of our cash for share repurchases. On July 29, 2015, our Finance Committee, with authorization delegated from our Board of Directors, approved an increase of $6.0 billion in the share repurchase program, raising the authorization to $13.7 billion of Common Stock repurchases, and extended the program through December 31, 2018.</w:t>
      </w:r>
    </w:p>
    <w:p>
      <w:pPr>
        <w:spacing w:after="0" w:line="138"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We repurchased shares at an aggregate cost of $12,673 million, or weighted-average cost of $38.74 per share, through September 30, 2017 ($1,817 million in the first nine months of 2017, $2,601 million in 2016, $3,623 million in 2015, $1,892 million in 2014 and $2,740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paid dividends of $869 million in the first nine months of 2017 and $801 million in the first nine months of 2016. On August 2, 2017, the Finance Committee, with authorization delegated from our Board of Directors, approved a 16% increase in the quarterly dividend to $0.22 per common share or $0.88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13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will make a determination as to whether 2017 distributions are characterized as dividends, a return of basis, or both under U.S. federal income tax rules after the 2017 calendar year-end. This determination will be reflected on an IRS Form 1099-DIV issued in early 2018.</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Estimates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2016. Our significant accounting estimates are described in </w:t>
      </w:r>
      <w:r>
        <w:rPr>
          <w:rFonts w:ascii="Arial" w:cs="Arial" w:eastAsia="Arial" w:hAnsi="Arial"/>
          <w:sz w:val="17"/>
          <w:szCs w:val="17"/>
          <w:i w:val="1"/>
          <w:iCs w:val="1"/>
          <w:color w:val="auto"/>
        </w:rPr>
        <w:t>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w:t>
      </w:r>
      <w:r>
        <w:rPr>
          <w:rFonts w:ascii="Arial" w:cs="Arial" w:eastAsia="Arial" w:hAnsi="Arial"/>
          <w:sz w:val="17"/>
          <w:szCs w:val="17"/>
          <w:color w:val="auto"/>
        </w:rPr>
        <w:t>in our Annual Report on Form 10-K for the year ended December 31, 2016. See Note 1,</w:t>
      </w:r>
      <w:r>
        <w:rPr>
          <w:rFonts w:ascii="Arial" w:cs="Arial" w:eastAsia="Arial" w:hAnsi="Arial"/>
          <w:sz w:val="17"/>
          <w:szCs w:val="17"/>
          <w:i w:val="1"/>
          <w:iCs w:val="1"/>
          <w:color w:val="auto"/>
        </w:rPr>
        <w:t xml:space="preserve"> Basis of Presentation</w:t>
      </w:r>
      <w:r>
        <w:rPr>
          <w:rFonts w:ascii="Arial" w:cs="Arial" w:eastAsia="Arial" w:hAnsi="Arial"/>
          <w:sz w:val="17"/>
          <w:szCs w:val="17"/>
          <w:color w:val="auto"/>
        </w:rPr>
        <w:t>, for a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impact of new accounting standards. Furthermore, see Note 5, </w:t>
      </w:r>
      <w:r>
        <w:rPr>
          <w:rFonts w:ascii="Arial" w:cs="Arial" w:eastAsia="Arial" w:hAnsi="Arial"/>
          <w:sz w:val="17"/>
          <w:szCs w:val="17"/>
          <w:i w:val="1"/>
          <w:iCs w:val="1"/>
          <w:color w:val="auto"/>
        </w:rPr>
        <w:t>Goodwill and Intangible Assets</w:t>
      </w:r>
      <w:r>
        <w:rPr>
          <w:rFonts w:ascii="Arial" w:cs="Arial" w:eastAsia="Arial" w:hAnsi="Arial"/>
          <w:sz w:val="17"/>
          <w:szCs w:val="17"/>
          <w:color w:val="auto"/>
        </w:rPr>
        <w:t>, for a discussion on the significant accounting estimates considered as part of the annual goodwill and intangibles asset impairment testing. There were no changes in our accounting policies in the current period that had a material impact on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Accounting Guidance: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for a discussion of new accounting standards.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and Part II, Item 1.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for a discussion of contingencies.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This report contains a number of forward-looking statements. Words, and variations of words, such as “will,” “may,” “expect,” “would,” “could,” “might,” “intend,” “plan,” “believe,” “estimate,” “anticipate,” “deliver,” “seek,” “aim,” “predict,” “potential,” “objective,” “project,” “outlook” and similar expressions are intended to identify our forward-looking statements, including but not limited to statements about: our future performance, including our future revenue growth, margins and earnings per share; price volatility and pricing actions; the cost environment and measures to address increased costs; the United Kingdom’s planned exit from the European Union and its impact on our results; the costs of, timing of expenditures under and completion of our restructuring program; category growth; consumer snacking behaviors; commodity prices and supply; investments; innovation; political and economic conditions and volatility; currency exchange rates, controls and restrictions; potential impacts from changing to highly inflationary accounting in selected countries; our operations in Ukraine; overhead costs; our JDE ownership interest; legal matters;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tax rate and tax positions; the Brazilian indirect tax matter; remediation efforts related to and the financial and other impacts of the malware incident; our liquidity, funding sources and uses of funding, including our use of commercial paper; reinvestment of earnings; our risk management program, including the use of financial instruments and the effectiveness of our hedging activities; working capital; capital expenditures and funding; share repurchases; dividends; long-term value and return on investment for our shareholders; and our contractual obligations.</w:t>
      </w:r>
    </w:p>
    <w:p>
      <w:pPr>
        <w:spacing w:after="0" w:line="15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such as the malware incident, cyberattacks or other security breaches;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154"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5"/>
          <w:szCs w:val="15"/>
          <w:color w:val="auto"/>
        </w:rPr>
        <w:t>(1)</w:t>
      </w:r>
      <w:r>
        <w:rPr>
          <w:rFonts w:ascii="Arial" w:cs="Arial" w:eastAsia="Arial" w:hAnsi="Arial"/>
          <w:sz w:val="18"/>
          <w:szCs w:val="18"/>
          <w:color w:val="auto"/>
        </w:rPr>
        <w:t>.</w:t>
      </w:r>
    </w:p>
    <w:p>
      <w:pPr>
        <w:spacing w:after="0" w:line="191" w:lineRule="exact"/>
        <w:rPr>
          <w:sz w:val="20"/>
          <w:szCs w:val="20"/>
          <w:color w:val="auto"/>
        </w:rPr>
      </w:pPr>
    </w:p>
    <w:p>
      <w:pPr>
        <w:ind w:left="900" w:hanging="325"/>
        <w:spacing w:after="0" w:line="243"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(3)</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(4)</w:t>
      </w:r>
      <w:r>
        <w:rPr>
          <w:rFonts w:ascii="Arial" w:cs="Arial" w:eastAsia="Arial" w:hAnsi="Arial"/>
          <w:sz w:val="18"/>
          <w:szCs w:val="18"/>
          <w:color w:val="auto"/>
        </w:rPr>
        <w:t>. We also evaluate Organic Net Revenue growth from emerging markets and our Power Brands.</w:t>
      </w:r>
    </w:p>
    <w:p>
      <w:pPr>
        <w:spacing w:after="0" w:line="1" w:lineRule="exact"/>
        <w:rPr>
          <w:rFonts w:ascii="Arial" w:cs="Arial" w:eastAsia="Arial" w:hAnsi="Arial"/>
          <w:sz w:val="18"/>
          <w:szCs w:val="18"/>
          <w:color w:val="auto"/>
        </w:rPr>
      </w:pPr>
    </w:p>
    <w:p>
      <w:pPr>
        <w:ind w:left="1480" w:right="220" w:hanging="446"/>
        <w:spacing w:after="0" w:line="234"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3" w:lineRule="exact"/>
        <w:rPr>
          <w:rFonts w:ascii="Arial" w:cs="Arial" w:eastAsia="Arial" w:hAnsi="Arial"/>
          <w:sz w:val="18"/>
          <w:szCs w:val="18"/>
          <w:color w:val="auto"/>
        </w:rPr>
      </w:pPr>
    </w:p>
    <w:p>
      <w:pPr>
        <w:ind w:left="1480" w:right="40" w:hanging="446"/>
        <w:spacing w:after="0" w:line="242"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02" w:lineRule="exact"/>
        <w:rPr>
          <w:rFonts w:ascii="Arial" w:cs="Arial" w:eastAsia="Arial" w:hAnsi="Arial"/>
          <w:sz w:val="18"/>
          <w:szCs w:val="18"/>
          <w:color w:val="auto"/>
        </w:rPr>
      </w:pPr>
    </w:p>
    <w:p>
      <w:pPr>
        <w:ind w:left="900" w:right="8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(3)</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equity method investment earnings historically reported within operating income </w:t>
      </w:r>
      <w:r>
        <w:rPr>
          <w:rFonts w:ascii="Arial" w:cs="Arial" w:eastAsia="Arial" w:hAnsi="Arial"/>
          <w:sz w:val="15"/>
          <w:szCs w:val="15"/>
          <w:color w:val="auto"/>
        </w:rPr>
        <w:t>(7)</w:t>
      </w:r>
      <w:r>
        <w:rPr>
          <w:rFonts w:ascii="Arial" w:cs="Arial" w:eastAsia="Arial" w:hAnsi="Arial"/>
          <w:sz w:val="18"/>
          <w:szCs w:val="18"/>
          <w:color w:val="auto"/>
        </w:rPr>
        <w:t xml:space="preserve">; benefits from resolution of tax matters </w:t>
      </w:r>
      <w:r>
        <w:rPr>
          <w:rFonts w:ascii="Arial" w:cs="Arial" w:eastAsia="Arial" w:hAnsi="Arial"/>
          <w:sz w:val="15"/>
          <w:szCs w:val="15"/>
          <w:color w:val="auto"/>
        </w:rPr>
        <w:t>(8)</w:t>
      </w:r>
      <w:r>
        <w:rPr>
          <w:rFonts w:ascii="Arial" w:cs="Arial" w:eastAsia="Arial" w:hAnsi="Arial"/>
          <w:sz w:val="18"/>
          <w:szCs w:val="18"/>
          <w:color w:val="auto"/>
        </w:rPr>
        <w:t xml:space="preserve"> and incremental expenses related to the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losses on debt extinguishment and related expenses;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transaction hedging gains or losses and net incremental costs; gain on the equity method investment exchange; net earnings from divestitures </w:t>
      </w:r>
      <w:r>
        <w:rPr>
          <w:rFonts w:ascii="Arial" w:cs="Arial" w:eastAsia="Arial" w:hAnsi="Arial"/>
          <w:sz w:val="15"/>
          <w:szCs w:val="15"/>
          <w:color w:val="auto"/>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gains or losses on interest rate swaps no longer designated as accounting cash flow hedges due to changed financing and hedging plans; benefits from resolution of tax matters </w:t>
      </w:r>
      <w:r>
        <w:rPr>
          <w:rFonts w:ascii="Arial" w:cs="Arial" w:eastAsia="Arial" w:hAnsi="Arial"/>
          <w:sz w:val="15"/>
          <w:szCs w:val="15"/>
          <w:color w:val="auto"/>
        </w:rPr>
        <w:t>(8)</w:t>
      </w:r>
      <w:r>
        <w:rPr>
          <w:rFonts w:ascii="Arial" w:cs="Arial" w:eastAsia="Arial" w:hAnsi="Arial"/>
          <w:sz w:val="18"/>
          <w:szCs w:val="18"/>
          <w:color w:val="auto"/>
        </w:rPr>
        <w:t xml:space="preserve"> and incremental expenses related to the malware incident. Similarly, within Adjusted EPS, our equity method investment net earnings exclude our proportionate share of our investees’ unusual or infrequent items </w:t>
      </w:r>
      <w:r>
        <w:rPr>
          <w:rFonts w:ascii="Arial" w:cs="Arial" w:eastAsia="Arial" w:hAnsi="Arial"/>
          <w:sz w:val="15"/>
          <w:szCs w:val="15"/>
          <w:color w:val="auto"/>
        </w:rPr>
        <w:t>(9)</w:t>
      </w:r>
      <w:r>
        <w:rPr>
          <w:rFonts w:ascii="Arial" w:cs="Arial" w:eastAsia="Arial" w:hAnsi="Arial"/>
          <w:sz w:val="18"/>
          <w:szCs w:val="18"/>
          <w:color w:val="auto"/>
        </w:rPr>
        <w:t xml:space="preserve">, such as acquisition and divestiture-related costs and restructuring program costs. We also evaluate growth in our Adjusted EPS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140" w:right="40" w:hanging="335"/>
        <w:spacing w:after="0" w:line="250"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During 2017, we added to the non-GAAP definitions the exclusion of benefits from the resolution of tax matters (see footnote (8) below) and the exclusion of incremental expenses related to the malware incident.</w:t>
      </w:r>
    </w:p>
    <w:p>
      <w:pPr>
        <w:spacing w:after="0" w:line="1" w:lineRule="exact"/>
        <w:rPr>
          <w:rFonts w:ascii="Arial" w:cs="Arial" w:eastAsia="Arial" w:hAnsi="Arial"/>
          <w:sz w:val="14"/>
          <w:szCs w:val="14"/>
          <w:color w:val="auto"/>
        </w:rPr>
      </w:pPr>
    </w:p>
    <w:p>
      <w:pPr>
        <w:ind w:left="114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On August 17, 2017, we entered into two agreements with The Kraft Heinz Company (“KHC”) to terminate the licenses of certain KHC-owned brands used in our grocery business within our Europe region and to transfer to KHC inventory and certain other assets. During the third and fourth quarter, the first and second transactions closed. Also, on October 2, 2017, we completed the sale of one of our equity method investments. See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additional information. As the transactions were substantially completed as of September 30, 2017, we removed the historical results related to these transactions from our Organic Net Revenue and adjusted results for all periods presented.</w:t>
      </w:r>
    </w:p>
    <w:p>
      <w:pPr>
        <w:spacing w:after="0" w:line="2"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continue to have an ongoing interest in the legacy coffee business we deconsolidated in 2015 as part of the JDE coffee business transactions. For historical periods prior to the July 15, 2015 coffee business deconsolidation, we have reclassified any net revenue or operating income from the historical coffee business and include them where the coffee equity method investment earnings are presented within Adjusted EPS. As such, Organic Net Revenue and Adjusted Operating Income in all periods do not include the results of our legacy coffee businesses, which are shown within Adjusted EPS only.</w:t>
      </w:r>
    </w:p>
    <w:p>
      <w:pPr>
        <w:spacing w:after="0" w:line="1" w:lineRule="exact"/>
        <w:rPr>
          <w:rFonts w:ascii="Arial" w:cs="Arial" w:eastAsia="Arial" w:hAnsi="Arial"/>
          <w:sz w:val="14"/>
          <w:szCs w:val="14"/>
          <w:color w:val="auto"/>
        </w:rPr>
      </w:pPr>
    </w:p>
    <w:p>
      <w:pPr>
        <w:jc w:val="both"/>
        <w:ind w:left="1140" w:right="18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 Refer to our Annual Report on Form 10-K for the year ended December 31, 2016 for more information on the 2012-2014 Restructuring Program.</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1140" w:right="24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our Annual Report on Form 10-K for the year ended December 31, 2016 for more information.</w:t>
      </w:r>
    </w:p>
    <w:p>
      <w:pPr>
        <w:spacing w:after="0" w:line="1" w:lineRule="exact"/>
        <w:rPr>
          <w:rFonts w:ascii="Arial" w:cs="Arial" w:eastAsia="Arial" w:hAnsi="Arial"/>
          <w:sz w:val="14"/>
          <w:szCs w:val="14"/>
          <w:color w:val="auto"/>
        </w:rPr>
      </w:pPr>
    </w:p>
    <w:p>
      <w:pPr>
        <w:ind w:left="1140" w:right="26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During the first nine months of 2017, we recorded benefits from the settlement of a pre-acquisition Cadbury tax matter and from the reversal of tax liabilities in connection with the resolution of a Brazilian indirect tax matter. See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w:t>
      </w:r>
    </w:p>
    <w:p>
      <w:pPr>
        <w:ind w:left="1140" w:right="20" w:hanging="335"/>
        <w:spacing w:after="0" w:line="246"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33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Organic Net Revenue: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Applying the definition of “Organic Net Revenue”, the adjustments made to “net revenues” (the most comparable U.S. GAAP financial measure) were to exclude the impact of currency, an acquisition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6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rPr>
              <w:t>For the Three Months Ended September 30, 2017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9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 xml:space="preserve">For the Three Months Ended September 30, 2016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rPr>
              <w:t>Emerging</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Developed</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rPr>
              <w:t>Emerging</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rPr>
              <w:t>Developed</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2,445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6,530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2,340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4,056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(152)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Organic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2,449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3,967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6,416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2,336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3,904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rPr>
              <w:t>For the Three Months Ended September 30, 2017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 xml:space="preserve">For the Three Months Ended September 30, 2016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9"/>
              </w:rPr>
              <w:t>Power</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Non-Power</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rPr>
              <w:t>Power</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Non-Power</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Brands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Brands</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Brands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4,771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1,759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6,530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4,517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1,879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6,396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(156)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Organic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4,689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1,727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6,416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4,517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1,723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rPr>
              <w:t>For the Nine Months Ended September 30, 2017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 xml:space="preserve">For the Nine Months Ended September 30, 2016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rPr>
              <w:t>Emerging</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Developed</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540"/>
              <w:spacing w:after="0" w:line="141" w:lineRule="exact"/>
              <w:rPr>
                <w:sz w:val="20"/>
                <w:szCs w:val="20"/>
                <w:color w:val="auto"/>
              </w:rPr>
            </w:pPr>
            <w:r>
              <w:rPr>
                <w:rFonts w:ascii="Arial" w:cs="Arial" w:eastAsia="Arial" w:hAnsi="Arial"/>
                <w:sz w:val="14"/>
                <w:szCs w:val="14"/>
                <w:b w:val="1"/>
                <w:bCs w:val="1"/>
                <w:color w:val="auto"/>
              </w:rPr>
              <w:t>Emerging</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40"/>
              <w:spacing w:after="0" w:line="141" w:lineRule="exact"/>
              <w:rPr>
                <w:sz w:val="20"/>
                <w:szCs w:val="20"/>
                <w:color w:val="auto"/>
              </w:rPr>
            </w:pPr>
            <w:r>
              <w:rPr>
                <w:rFonts w:ascii="Arial" w:cs="Arial" w:eastAsia="Arial" w:hAnsi="Arial"/>
                <w:sz w:val="14"/>
                <w:szCs w:val="14"/>
                <w:b w:val="1"/>
                <w:bCs w:val="1"/>
                <w:color w:val="auto"/>
              </w:rPr>
              <w:t>Developed</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7,151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11,779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18,930</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6,982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12,171</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(434)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Organic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7,163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11,603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18,766</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6,974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11,737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rPr>
              <w:t>For the Nine Months Ended September 30, 2017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 xml:space="preserve">For the Nine Months Ended September 30, 2016 </w:t>
            </w:r>
            <w:r>
              <w:rPr>
                <w:rFonts w:ascii="Arial" w:cs="Arial" w:eastAsia="Arial" w:hAnsi="Arial"/>
                <w:sz w:val="24"/>
                <w:szCs w:val="24"/>
                <w:b w:val="1"/>
                <w:bCs w:val="1"/>
                <w:color w:val="auto"/>
                <w:vertAlign w:val="superscript"/>
              </w:rPr>
              <w:t>(2)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500"/>
              <w:spacing w:after="0" w:line="141" w:lineRule="exact"/>
              <w:rPr>
                <w:sz w:val="20"/>
                <w:szCs w:val="20"/>
                <w:color w:val="auto"/>
              </w:rPr>
            </w:pPr>
            <w:r>
              <w:rPr>
                <w:rFonts w:ascii="Arial" w:cs="Arial" w:eastAsia="Arial" w:hAnsi="Arial"/>
                <w:sz w:val="14"/>
                <w:szCs w:val="14"/>
                <w:b w:val="1"/>
                <w:bCs w:val="1"/>
                <w:color w:val="auto"/>
                <w:w w:val="99"/>
              </w:rPr>
              <w:t>Power</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Non-Power</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rPr>
              <w:t>Power</w:t>
            </w: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Non-Power</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Brands</w:t>
            </w:r>
          </w:p>
        </w:tc>
        <w:tc>
          <w:tcPr>
            <w:tcW w:w="1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Brands</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Brands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13,784</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5,146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18,930</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13,587</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5,566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currency</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Impact of acquisition</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Impact of divestitures</w:t>
            </w:r>
          </w:p>
        </w:tc>
        <w:tc>
          <w:tcPr>
            <w:tcW w:w="140" w:type="dxa"/>
            <w:vAlign w:val="bottom"/>
          </w:tcPr>
          <w:p>
            <w:pPr>
              <w:spacing w:after="0"/>
              <w:rPr>
                <w:sz w:val="16"/>
                <w:szCs w:val="16"/>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(249)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(442)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Organic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13,797</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4,969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18,766</w:t>
            </w:r>
          </w:p>
        </w:tc>
        <w:tc>
          <w:tcPr>
            <w:tcW w:w="2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13,587</w:t>
            </w: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5,124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18,711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140" w:right="420" w:hanging="335"/>
        <w:spacing w:after="0" w:line="255"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As a result of the October 1, 2016 segment change described in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prior-year amounts were updated to reflect the new segment structure.</w:t>
      </w:r>
    </w:p>
    <w:p>
      <w:pPr>
        <w:jc w:val="both"/>
        <w:ind w:left="1140" w:right="380" w:hanging="335"/>
        <w:spacing w:after="0" w:line="252"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2017, we made limited changes to our list of regional Power Brands and as such, we reclassified 2016 Power Brand net revenues on a basis consistent with the current list of Power Brands.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2014-2018 Restructuring Program costs; impairment charges related to intangible assets; mark-to-market impacts from commodity and forecasted currency transaction derivative contracts; incremental expenses related to the malware incident; acquisition integration costs; divestiture-related costs; the operating results of divestitures; net gain on divestitures; gain on sale of intangible assets and the benefits from the resolution of tax matters. We also present “Adjusted Operating Income margin,” which is subject to the same adjustments as Adjusted Operating Income, and evaluate Adjusted Operating Income on a constant currency basis. We believe these measures provide improved comparability of underlying operating results.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11"/>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8"/>
              </w:rPr>
              <w:t>$ 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1,181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702</w:t>
            </w:r>
          </w:p>
        </w:tc>
        <w:tc>
          <w:tcPr>
            <w:tcW w:w="3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15"/>
                <w:szCs w:val="15"/>
                <w:color w:val="auto"/>
              </w:rPr>
              <w:t>(3)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(187)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(187)</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(155)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Other/rounding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favorable currency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(constant currency)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For the Nine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10"/>
          </w:tcPr>
          <w:p>
            <w:pPr>
              <w:jc w:val="right"/>
              <w:ind w:right="11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2,662</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2,062</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600</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597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(169)</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20</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44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(184)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Other/rounding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3,075</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2,883</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192</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jc w:val="right"/>
              <w:ind w:right="180"/>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3,128</w:t>
            </w: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2,883</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245</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9" w:lineRule="exact"/>
        <w:rPr>
          <w:rFonts w:ascii="Arial" w:cs="Arial" w:eastAsia="Arial" w:hAnsi="Arial"/>
          <w:sz w:val="14"/>
          <w:szCs w:val="14"/>
          <w:color w:val="auto"/>
        </w:rPr>
      </w:pP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trademark impairments.</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earlier in this section for more information on these unrealized losses/gains on commodity and forecasted currency transaction derivatives.</w:t>
      </w: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2016, for information on the acquisition of a biscuit business in Vietnam.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1140" w:right="100" w:hanging="335"/>
        <w:spacing w:after="0" w:line="250"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2017 sales of a confectionery business in France, a grocery business in Australia and New Zealand, and certain licenses of KHC-owned brands used in our grocery business within our Europe region. Refer to our Annual Report on Form 10-K for the year ended December 31, 2016 for more information on the 2016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1140" w:right="20" w:hanging="335"/>
        <w:spacing w:after="0" w:line="264" w:lineRule="auto"/>
        <w:tabs>
          <w:tab w:leader="none" w:pos="11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for more information on the settlement of a pre-acquisition Cadbury tax matter and the reversal of tax liabilities in connection with the resolution of a Brazilian indirect tax matter.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Applying the definition of “Adjusted EPS”</w:t>
      </w:r>
      <w:r>
        <w:rPr>
          <w:rFonts w:ascii="Arial" w:cs="Arial" w:eastAsia="Arial" w:hAnsi="Arial"/>
          <w:sz w:val="15"/>
          <w:szCs w:val="15"/>
          <w:color w:val="auto"/>
        </w:rPr>
        <w:t>(1)</w:t>
      </w:r>
      <w:r>
        <w:rPr>
          <w:rFonts w:ascii="Arial" w:cs="Arial" w:eastAsia="Arial" w:hAnsi="Arial"/>
          <w:sz w:val="18"/>
          <w:szCs w:val="18"/>
          <w:color w:val="auto"/>
        </w:rPr>
        <w:t>, the adjustments made to “diluted EPS attributable to Mondelēz International” (the most comparable U.S. GAAP financial measure) were to exclude 2014-2018 Restructuring Program costs; impairment charges related to intangible assets; mark-to-market impacts from commodity and forecasted currency transaction derivative contracts; incremental expenses related to the malware incident; acquisition integration costs; divestiture-related costs; net earnings from divestitures; net gain on divestitures; the benefits from the resolution of tax matters; loss on interest rate swaps; loss on debt extinguishment; gain on the equity method investment exchange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0.65</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0.35</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0.30</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0.08</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0.04</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(0.12)</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0.57</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0.50</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0.07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160"/>
              <w:spacing w:after="0" w:line="202" w:lineRule="exact"/>
              <w:rPr>
                <w:sz w:val="20"/>
                <w:szCs w:val="20"/>
                <w:color w:val="auto"/>
              </w:rPr>
            </w:pPr>
            <w:r>
              <w:rPr>
                <w:rFonts w:ascii="Arial" w:cs="Arial" w:eastAsia="Arial" w:hAnsi="Arial"/>
                <w:sz w:val="18"/>
                <w:szCs w:val="18"/>
                <w:color w:val="auto"/>
              </w:rPr>
              <w:t>Impact of favorable currency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0.56</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0.50</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1.38</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0.99</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0.39</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0.29</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0.05</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0.04</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(0.11)</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Benefits from resolution of tax matters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(0.13)</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5"/>
                <w:szCs w:val="15"/>
                <w:color w:val="auto"/>
              </w:rPr>
              <w:t>(5)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1.57</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0.15</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30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3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1.59</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0.17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140" w:right="200" w:hanging="335"/>
        <w:spacing w:after="0" w:line="255" w:lineRule="auto"/>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1460" w:right="80" w:hanging="318"/>
        <w:spacing w:after="0" w:line="241"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For the three months ended September 30, 2017, taxes on the: 2014-2018 Restructuring Program costs were $(49) million, intangible asset impairment charges were $(16) million, mark-to-market gains from derivatives were $3 million, malware incident incremental expenses were $(15) million, net earnings from divestitures were $(1) million, divestiture-related costs were $18 million, net gain on divestitures were $8 million, benefits from resolution of tax matters were $72 million and equity method investee adjustments were $(2) million.</w:t>
      </w:r>
    </w:p>
    <w:p>
      <w:pPr>
        <w:spacing w:after="0" w:line="1" w:lineRule="exact"/>
        <w:rPr>
          <w:rFonts w:ascii="Arial" w:cs="Arial" w:eastAsia="Arial" w:hAnsi="Arial"/>
          <w:sz w:val="14"/>
          <w:szCs w:val="14"/>
          <w:color w:val="auto"/>
        </w:rPr>
      </w:pPr>
    </w:p>
    <w:p>
      <w:pPr>
        <w:ind w:left="1460" w:right="340" w:hanging="318"/>
        <w:spacing w:after="0" w:line="241"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For the three months ended September 30, 2016, taxes on the: 2014-2018 Restructuring Program costs were $(82) million, mark-to-market losses from derivatives were $(4) million, net earnings from divestitures were $11 million, and equity method investee adjustments were $(4) million.</w:t>
      </w:r>
    </w:p>
    <w:p>
      <w:pPr>
        <w:ind w:left="1460" w:right="120" w:hanging="318"/>
        <w:spacing w:after="0" w:line="241"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For the nine months ended September 30, 2017, taxes on the: 2014-2018 Restructuring Program costs were $(155) million, intangible asset impairment charges were $(30) million, malware incident incremental expenses were $(17) million, net earnings from divestitures were $13 million, divestiture-related costs were $13 million, net gain on divestitures were $12 million, benefits from resolution of tax matters were $72 million, loss on debt extinguishment were $(4) million, and equity method investee adjustments were $(8) million.</w:t>
      </w:r>
    </w:p>
    <w:p>
      <w:pPr>
        <w:spacing w:after="0" w:line="1" w:lineRule="exact"/>
        <w:rPr>
          <w:rFonts w:ascii="Arial" w:cs="Arial" w:eastAsia="Arial" w:hAnsi="Arial"/>
          <w:sz w:val="14"/>
          <w:szCs w:val="14"/>
          <w:color w:val="auto"/>
        </w:rPr>
      </w:pPr>
    </w:p>
    <w:p>
      <w:pPr>
        <w:ind w:left="1460" w:right="140" w:hanging="318"/>
        <w:spacing w:after="0" w:line="241" w:lineRule="auto"/>
        <w:tabs>
          <w:tab w:leader="none" w:pos="14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For the nine months ended September 30, 2016, taxes for the: 2014-2018 Restructuring Program costs were $(199) million, intangible asset impairment charges were $(8) million, mark-to-market losses from derivatives were $(6) million, divestiture-related costs were $(20) million, net earnings from divestitures were $26 million, loss related to interest rate swaps were $(35) million, gain on equity method investment exchange were $2 million and equity method investee adjustments were $(5) million.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right="20" w:hanging="335"/>
        <w:spacing w:after="0" w:line="241" w:lineRule="auto"/>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first quarter of 2016 due to changes in financing and hedging plans.</w:t>
      </w:r>
    </w:p>
    <w:p>
      <w:pPr>
        <w:ind w:left="1140" w:right="200" w:hanging="335"/>
        <w:spacing w:after="0" w:line="241" w:lineRule="auto"/>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discharge.</w:t>
      </w:r>
    </w:p>
    <w:p>
      <w:pPr>
        <w:ind w:left="1140" w:hanging="335"/>
        <w:spacing w:after="0"/>
        <w:tabs>
          <w:tab w:leader="none" w:pos="1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7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nine months ended September 30, 2017.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84"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Our weighted-average interest rate on total debt was 2.0% as of September 30, 2017 and 2.2% as of December 31, 2016. For more information on our 2017 debt activity, 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There were no significant changes in the types of derivative instruments we use to hedge our exposures between December 31, 2016 and September 30, 2017.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2017 derivative activity. For additional information on our hedging strategies, policies and practices on an ongoing basis, also refer to our Annual Report on Form 10-K for the year ended December 31, 2016.</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2017. Based on this evaluation, the CEO and CFO concluded that our disclosure controls and procedures were effective as of September 30,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2017. During the quarter, due to the malware incident, we supplemented or temporarily replaced some of our normal control procedures in order to maintain our existing IT and financial controls over financial reporting. Additionally, we continued to work with outsourced partners to further simplify and standardize processes and focus on scalable, transactional processes across all regions. We continued to transition some of our transactional data processing as well as financial and local tax reporting for a number of countries across all regions to three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September 30, 2017, that have materially affected, or are reasonably likely to materially affect, our internal control over financial reporting.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4"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2017 was: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Issuer Purchases of Equity Securities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400"/>
              <w:spacing w:after="0" w:line="141" w:lineRule="exact"/>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4"/>
                <w:szCs w:val="14"/>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4"/>
                <w:szCs w:val="14"/>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 Paid</w:t>
            </w:r>
          </w:p>
        </w:tc>
        <w:tc>
          <w:tcPr>
            <w:tcW w:w="24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Announced Plans</w:t>
            </w:r>
          </w:p>
        </w:tc>
        <w:tc>
          <w:tcPr>
            <w:tcW w:w="120" w:type="dxa"/>
            <w:vAlign w:val="bottom"/>
          </w:tcPr>
          <w:p>
            <w:pPr>
              <w:spacing w:after="0"/>
              <w:rPr>
                <w:sz w:val="14"/>
                <w:szCs w:val="14"/>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4"/>
        </w:trPr>
        <w:tc>
          <w:tcPr>
            <w:tcW w:w="4860" w:type="dxa"/>
            <w:vAlign w:val="bottom"/>
            <w:gridSpan w:val="3"/>
            <w:vMerge w:val="continue"/>
          </w:tcPr>
          <w:p>
            <w:pPr>
              <w:spacing w:after="0"/>
              <w:rPr>
                <w:sz w:val="15"/>
                <w:szCs w:val="15"/>
                <w:color w:val="auto"/>
              </w:rPr>
            </w:pPr>
          </w:p>
        </w:tc>
        <w:tc>
          <w:tcPr>
            <w:tcW w:w="1220" w:type="dxa"/>
            <w:vAlign w:val="bottom"/>
            <w:gridSpan w:val="3"/>
          </w:tcPr>
          <w:p>
            <w:pPr>
              <w:jc w:val="center"/>
              <w:ind w:right="240"/>
              <w:spacing w:after="0" w:line="167"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240" w:type="dxa"/>
            <w:vAlign w:val="bottom"/>
          </w:tcPr>
          <w:p>
            <w:pPr>
              <w:spacing w:after="0"/>
              <w:rPr>
                <w:sz w:val="15"/>
                <w:szCs w:val="15"/>
                <w:color w:val="auto"/>
              </w:rPr>
            </w:pPr>
          </w:p>
        </w:tc>
        <w:tc>
          <w:tcPr>
            <w:tcW w:w="1280" w:type="dxa"/>
            <w:vAlign w:val="bottom"/>
            <w:gridSpan w:val="3"/>
          </w:tcPr>
          <w:p>
            <w:pPr>
              <w:jc w:val="center"/>
              <w:ind w:right="260"/>
              <w:spacing w:after="0" w:line="167" w:lineRule="exact"/>
              <w:rPr>
                <w:sz w:val="20"/>
                <w:szCs w:val="20"/>
                <w:color w:val="auto"/>
              </w:rPr>
            </w:pPr>
            <w:r>
              <w:rPr>
                <w:rFonts w:ascii="Arial" w:cs="Arial" w:eastAsia="Arial" w:hAnsi="Arial"/>
                <w:sz w:val="12"/>
                <w:szCs w:val="12"/>
                <w:b w:val="1"/>
                <w:bCs w:val="1"/>
                <w:color w:val="auto"/>
              </w:rPr>
              <w:t xml:space="preserve">per Share </w:t>
            </w:r>
            <w:r>
              <w:rPr>
                <w:rFonts w:ascii="Arial" w:cs="Arial" w:eastAsia="Arial" w:hAnsi="Arial"/>
                <w:sz w:val="19"/>
                <w:szCs w:val="19"/>
                <w:b w:val="1"/>
                <w:bCs w:val="1"/>
                <w:color w:val="auto"/>
                <w:vertAlign w:val="superscript"/>
              </w:rPr>
              <w:t>(1)</w:t>
            </w:r>
          </w:p>
        </w:tc>
        <w:tc>
          <w:tcPr>
            <w:tcW w:w="240" w:type="dxa"/>
            <w:vAlign w:val="bottom"/>
          </w:tcPr>
          <w:p>
            <w:pPr>
              <w:spacing w:after="0"/>
              <w:rPr>
                <w:sz w:val="15"/>
                <w:szCs w:val="15"/>
                <w:color w:val="auto"/>
              </w:rPr>
            </w:pPr>
          </w:p>
        </w:tc>
        <w:tc>
          <w:tcPr>
            <w:tcW w:w="1660" w:type="dxa"/>
            <w:vAlign w:val="bottom"/>
            <w:gridSpan w:val="2"/>
          </w:tcPr>
          <w:p>
            <w:pPr>
              <w:jc w:val="center"/>
              <w:ind w:right="400"/>
              <w:spacing w:after="0" w:line="167" w:lineRule="exact"/>
              <w:rPr>
                <w:sz w:val="20"/>
                <w:szCs w:val="20"/>
                <w:color w:val="auto"/>
              </w:rPr>
            </w:pPr>
            <w:r>
              <w:rPr>
                <w:rFonts w:ascii="Arial" w:cs="Arial" w:eastAsia="Arial" w:hAnsi="Arial"/>
                <w:sz w:val="12"/>
                <w:szCs w:val="12"/>
                <w:b w:val="1"/>
                <w:bCs w:val="1"/>
                <w:color w:val="auto"/>
              </w:rPr>
              <w:t xml:space="preserve">or Programs </w:t>
            </w:r>
            <w:r>
              <w:rPr>
                <w:rFonts w:ascii="Arial" w:cs="Arial" w:eastAsia="Arial" w:hAnsi="Arial"/>
                <w:sz w:val="19"/>
                <w:szCs w:val="19"/>
                <w:b w:val="1"/>
                <w:bCs w:val="1"/>
                <w:color w:val="auto"/>
                <w:vertAlign w:val="superscript"/>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180"/>
              <w:spacing w:after="0" w:line="167"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1-31, 2017</w:t>
            </w:r>
          </w:p>
        </w:tc>
        <w:tc>
          <w:tcPr>
            <w:tcW w:w="12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3,475,099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43.22</w:t>
            </w:r>
          </w:p>
        </w:tc>
        <w:tc>
          <w:tcPr>
            <w:tcW w:w="19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3,471,070</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1,585,235,871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August 1-31, 2017</w:t>
            </w:r>
          </w:p>
        </w:tc>
        <w:tc>
          <w:tcPr>
            <w:tcW w:w="122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8,577,563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42.78</w:t>
            </w:r>
          </w:p>
        </w:tc>
        <w:tc>
          <w:tcPr>
            <w:tcW w:w="19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8,569,093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1,218,677,932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1-30, 2017</w:t>
            </w:r>
          </w:p>
        </w:tc>
        <w:tc>
          <w:tcPr>
            <w:tcW w:w="122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4,685,783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40.62</w:t>
            </w:r>
          </w:p>
        </w:tc>
        <w:tc>
          <w:tcPr>
            <w:tcW w:w="19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4,677,115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1,028,685,599</w:t>
            </w:r>
          </w:p>
        </w:tc>
        <w:tc>
          <w:tcPr>
            <w:tcW w:w="0" w:type="dxa"/>
            <w:vAlign w:val="bottom"/>
          </w:tcPr>
          <w:p>
            <w:pPr>
              <w:spacing w:after="0"/>
              <w:rPr>
                <w:sz w:val="1"/>
                <w:szCs w:val="1"/>
                <w:color w:val="auto"/>
              </w:rPr>
            </w:pPr>
          </w:p>
        </w:tc>
      </w:tr>
      <w:tr>
        <w:trPr>
          <w:trHeight w:val="210"/>
        </w:trPr>
        <w:tc>
          <w:tcPr>
            <w:tcW w:w="4860" w:type="dxa"/>
            <w:vAlign w:val="bottom"/>
            <w:gridSpan w:val="3"/>
          </w:tcPr>
          <w:p>
            <w:pPr>
              <w:spacing w:after="0"/>
              <w:rPr>
                <w:sz w:val="20"/>
                <w:szCs w:val="20"/>
                <w:color w:val="auto"/>
              </w:rPr>
            </w:pPr>
            <w:r>
              <w:rPr>
                <w:rFonts w:ascii="Arial" w:cs="Arial" w:eastAsia="Arial" w:hAnsi="Arial"/>
                <w:sz w:val="18"/>
                <w:szCs w:val="18"/>
                <w:color w:val="auto"/>
              </w:rPr>
              <w:t>For the Quarter Ended September 30, 2017</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7"/>
              </w:rPr>
              <w:t>16,738,445</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42.27</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16,717,278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140" w:hanging="335"/>
        <w:spacing w:after="0"/>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w:t>
      </w:r>
    </w:p>
    <w:p>
      <w:pPr>
        <w:spacing w:after="0" w:line="19" w:lineRule="exact"/>
        <w:rPr>
          <w:rFonts w:ascii="Arial" w:cs="Arial" w:eastAsia="Arial" w:hAnsi="Arial"/>
          <w:sz w:val="14"/>
          <w:szCs w:val="14"/>
          <w:color w:val="auto"/>
        </w:rPr>
      </w:pPr>
    </w:p>
    <w:p>
      <w:pPr>
        <w:ind w:left="1140" w:right="320"/>
        <w:spacing w:after="0" w:line="241" w:lineRule="auto"/>
        <w:rPr>
          <w:rFonts w:ascii="Arial" w:cs="Arial" w:eastAsia="Arial" w:hAnsi="Arial"/>
          <w:sz w:val="14"/>
          <w:szCs w:val="14"/>
          <w:color w:val="auto"/>
        </w:rPr>
      </w:pPr>
      <w:r>
        <w:rPr>
          <w:rFonts w:ascii="Arial" w:cs="Arial" w:eastAsia="Arial" w:hAnsi="Arial"/>
          <w:sz w:val="14"/>
          <w:szCs w:val="14"/>
          <w:color w:val="auto"/>
        </w:rPr>
        <w:t>(2) below; and (ii) shares tendered to us by employees who used shares to exercise options and to pay the related taxes for grants of restricted and deferred stock that vested, totaling 4,029 shares, 8,470 shares and 8,668 shares for the fiscal months of July, August and September 2017, respectively.</w:t>
      </w:r>
    </w:p>
    <w:p>
      <w:pPr>
        <w:ind w:left="1140" w:right="120" w:hanging="335"/>
        <w:spacing w:after="0" w:line="245" w:lineRule="auto"/>
        <w:tabs>
          <w:tab w:leader="none" w:pos="1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related information in Note 10,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360" w:type="dxa"/>
            <w:vAlign w:val="bottom"/>
            <w:gridSpan w:val="6"/>
          </w:tcPr>
          <w:p>
            <w:pPr>
              <w:ind w:left="720"/>
              <w:spacing w:after="0"/>
              <w:rPr>
                <w:sz w:val="20"/>
                <w:szCs w:val="20"/>
                <w:color w:val="auto"/>
              </w:rPr>
            </w:pPr>
            <w:r>
              <w:rPr>
                <w:rFonts w:ascii="Arial" w:cs="Arial" w:eastAsia="Arial" w:hAnsi="Arial"/>
                <w:sz w:val="14"/>
                <w:szCs w:val="14"/>
                <w:color w:val="auto"/>
              </w:rPr>
              <w:t>Description</w:t>
            </w: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51"/>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1"/>
                <w:szCs w:val="21"/>
                <w:color w:val="auto"/>
              </w:rPr>
            </w:pPr>
          </w:p>
        </w:tc>
        <w:tc>
          <w:tcPr>
            <w:tcW w:w="10580" w:type="dxa"/>
            <w:vAlign w:val="bottom"/>
            <w:gridSpan w:val="8"/>
          </w:tcPr>
          <w:p>
            <w:pPr>
              <w:spacing w:after="0"/>
              <w:rPr>
                <w:rFonts w:ascii="Arial" w:cs="Arial" w:eastAsia="Arial" w:hAnsi="Arial"/>
                <w:sz w:val="18"/>
                <w:szCs w:val="18"/>
                <w:color w:val="0000EE"/>
              </w:rPr>
            </w:pPr>
            <w:hyperlink r:id="rId118">
              <w:r>
                <w:rPr>
                  <w:rFonts w:ascii="Arial" w:cs="Arial" w:eastAsia="Arial" w:hAnsi="Arial"/>
                  <w:sz w:val="18"/>
                  <w:szCs w:val="18"/>
                  <w:color w:val="0000EE"/>
                </w:rPr>
                <w:t>Offer of Employment Letter, between the Registrant and Dirk Van de Put, dated July 27, 2017 (incorporated by reference to Exhibit</w:t>
              </w:r>
            </w:hyperlink>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3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with the SEC on August 2, 2017). </w:t>
              </w:r>
              <w:r>
                <w:rPr>
                  <w:rFonts w:ascii="Arial" w:cs="Arial" w:eastAsia="Arial" w:hAnsi="Arial"/>
                  <w:sz w:val="18"/>
                  <w:szCs w:val="18"/>
                  <w:color w:val="000000"/>
                </w:rPr>
                <w:t>+</w:t>
              </w:r>
            </w:hyperlink>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9"/>
              </w:rPr>
            </w:pPr>
            <w:hyperlink w:anchor="page61">
              <w:r>
                <w:rPr>
                  <w:rFonts w:ascii="Arial" w:cs="Arial" w:eastAsia="Arial" w:hAnsi="Arial"/>
                  <w:sz w:val="18"/>
                  <w:szCs w:val="18"/>
                  <w:color w:val="0000EE"/>
                  <w:w w:val="99"/>
                </w:rPr>
                <w:t>Computation of Ratios of Earnings to Fixed Charges.</w:t>
              </w:r>
            </w:hyperlink>
          </w:p>
        </w:tc>
        <w:tc>
          <w:tcPr>
            <w:tcW w:w="3020" w:type="dxa"/>
            <w:vAlign w:val="bottom"/>
            <w:tcBorders>
              <w:top w:val="single" w:sz="8" w:color="0000EE"/>
            </w:tcBorders>
          </w:tcPr>
          <w:p>
            <w:pPr>
              <w:spacing w:after="0"/>
              <w:rPr>
                <w:sz w:val="24"/>
                <w:szCs w:val="24"/>
                <w:color w:val="auto"/>
              </w:rPr>
            </w:pPr>
          </w:p>
        </w:tc>
        <w:tc>
          <w:tcPr>
            <w:tcW w:w="3340" w:type="dxa"/>
            <w:vAlign w:val="bottom"/>
            <w:gridSpan w:val="5"/>
          </w:tcPr>
          <w:p>
            <w:pPr>
              <w:spacing w:after="0"/>
              <w:rPr>
                <w:sz w:val="24"/>
                <w:szCs w:val="24"/>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36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Certification of Chief Executive Officer pursuant to Rule 13a-14(a)/15d-14(a) of the Securities Exchange Act of 1934, as amended.</w:t>
              </w:r>
            </w:hyperlink>
          </w:p>
        </w:tc>
        <w:tc>
          <w:tcPr>
            <w:tcW w:w="220" w:type="dxa"/>
            <w:vAlign w:val="bottom"/>
            <w:gridSpan w:val="3"/>
          </w:tcPr>
          <w:p>
            <w:pPr>
              <w:spacing w:after="0"/>
              <w:rPr>
                <w:sz w:val="24"/>
                <w:szCs w:val="24"/>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3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Certification of Chief Financial Officer pursuant to Rule 13a-14(a)/15d-14(a) of the Securities Exchange Act of 1934, as amended.</w:t>
              </w:r>
            </w:hyperlink>
          </w:p>
        </w:tc>
        <w:tc>
          <w:tcPr>
            <w:tcW w:w="280" w:type="dxa"/>
            <w:vAlign w:val="bottom"/>
            <w:gridSpan w:val="4"/>
          </w:tcPr>
          <w:p>
            <w:pPr>
              <w:spacing w:after="0"/>
              <w:rPr>
                <w:sz w:val="24"/>
                <w:szCs w:val="24"/>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Certifications of Chief Executive Officer and Chief Financial Officer pursuant to 18 U.S.C. 1350, as adopted pursuant to Section 906</w:t>
              </w:r>
            </w:hyperlink>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of the Sarbanes-Oxley Act of 2002.</w:t>
              </w:r>
            </w:hyperlink>
          </w:p>
        </w:tc>
        <w:tc>
          <w:tcPr>
            <w:tcW w:w="1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r>
      <w:tr>
        <w:trPr>
          <w:trHeight w:val="295"/>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80" w:type="dxa"/>
            <w:vAlign w:val="bottom"/>
            <w:gridSpan w:val="8"/>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September 30, 2017 are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gridSpan w:val="8"/>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gridSpan w:val="8"/>
          </w:tcPr>
          <w:p>
            <w:pPr>
              <w:spacing w:after="0" w:line="202" w:lineRule="exact"/>
              <w:rPr>
                <w:sz w:val="20"/>
                <w:szCs w:val="20"/>
                <w:color w:val="auto"/>
              </w:rPr>
            </w:pPr>
            <w:r>
              <w:rPr>
                <w:rFonts w:ascii="Arial" w:cs="Arial" w:eastAsia="Arial" w:hAnsi="Arial"/>
                <w:sz w:val="18"/>
                <w:szCs w:val="18"/>
                <w:color w:val="auto"/>
              </w:rPr>
              <w:t>Condensed Consolidated Statements of Comprehensive Earnings, (iii) the Condensed Consolidated Balance Sheets, (iv)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gridSpan w:val="8"/>
          </w:tcPr>
          <w:p>
            <w:pPr>
              <w:spacing w:after="0" w:line="202" w:lineRule="exact"/>
              <w:rPr>
                <w:sz w:val="20"/>
                <w:szCs w:val="20"/>
                <w:color w:val="auto"/>
              </w:rPr>
            </w:pPr>
            <w:r>
              <w:rPr>
                <w:rFonts w:ascii="Arial" w:cs="Arial" w:eastAsia="Arial" w:hAnsi="Arial"/>
                <w:sz w:val="18"/>
                <w:szCs w:val="18"/>
                <w:color w:val="auto"/>
              </w:rPr>
              <w:t>Condensed Consolidated Statements of Equity, (v) the Condensed Consolidated Statements of Cash Flows and (vi) Notes to</w:t>
            </w:r>
          </w:p>
        </w:tc>
      </w:tr>
      <w:tr>
        <w:trPr>
          <w:trHeight w:val="243"/>
        </w:trPr>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580" w:type="dxa"/>
            <w:vAlign w:val="bottom"/>
            <w:gridSpan w:val="8"/>
          </w:tcPr>
          <w:p>
            <w:pPr>
              <w:spacing w:after="0"/>
              <w:rPr>
                <w:sz w:val="20"/>
                <w:szCs w:val="20"/>
                <w:color w:val="auto"/>
              </w:rPr>
            </w:pPr>
            <w:r>
              <w:rPr>
                <w:rFonts w:ascii="Arial" w:cs="Arial" w:eastAsia="Arial" w:hAnsi="Arial"/>
                <w:sz w:val="18"/>
                <w:szCs w:val="18"/>
                <w:color w:val="auto"/>
              </w:rPr>
              <w:t>Condensed Consolidated Financial Statements.</w:t>
            </w:r>
          </w:p>
        </w:tc>
      </w:tr>
    </w:tbl>
    <w:p>
      <w:pPr>
        <w:spacing w:after="0" w:line="185" w:lineRule="exact"/>
        <w:rPr>
          <w:sz w:val="20"/>
          <w:szCs w:val="20"/>
          <w:color w:val="auto"/>
        </w:rPr>
      </w:pPr>
    </w:p>
    <w:p>
      <w:pPr>
        <w:ind w:left="800"/>
        <w:spacing w:after="0"/>
        <w:tabs>
          <w:tab w:leader="none" w:pos="1040" w:val="left"/>
        </w:tabs>
        <w:rPr>
          <w:sz w:val="20"/>
          <w:szCs w:val="20"/>
          <w:color w:val="auto"/>
        </w:rPr>
      </w:pPr>
      <w:r>
        <w:rPr>
          <w:rFonts w:ascii="Arial" w:cs="Arial" w:eastAsia="Arial" w:hAnsi="Arial"/>
          <w:sz w:val="14"/>
          <w:szCs w:val="14"/>
          <w:color w:val="auto"/>
        </w:rPr>
        <w:t>+</w:t>
        <w:tab/>
        <w:t>Indicates a management contract or compensatory plan or arrangement.</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11430</wp:posOffset>
            </wp:positionV>
            <wp:extent cx="24955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Brian T. Gladden</w:t>
      </w:r>
    </w:p>
    <w:p>
      <w:pPr>
        <w:ind w:left="7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October 31, 2017</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5" w:right="5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5"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Computation of Ratios of Earnings to Fixed Charges</w:t>
      </w:r>
    </w:p>
    <w:p>
      <w:pPr>
        <w:jc w:val="center"/>
        <w:ind w:right="434"/>
        <w:spacing w:after="0"/>
        <w:rPr>
          <w:sz w:val="20"/>
          <w:szCs w:val="20"/>
          <w:color w:val="auto"/>
        </w:rPr>
      </w:pPr>
      <w:r>
        <w:rPr>
          <w:rFonts w:ascii="Arial" w:cs="Arial" w:eastAsia="Arial" w:hAnsi="Arial"/>
          <w:sz w:val="18"/>
          <w:szCs w:val="18"/>
          <w:b w:val="1"/>
          <w:bCs w:val="1"/>
          <w:color w:val="auto"/>
        </w:rPr>
        <w:t>(in millions of dollars, except ratio)</w:t>
      </w:r>
    </w:p>
    <w:p>
      <w:pPr>
        <w:spacing w:after="0" w:line="164"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For the Three</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7"/>
              </w:rPr>
              <w:t>Months 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4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1,162</w:t>
            </w: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820" w:type="dxa"/>
            <w:vAlign w:val="bottom"/>
            <w:gridSpan w:val="2"/>
          </w:tcPr>
          <w:p>
            <w:pPr>
              <w:spacing w:after="0"/>
              <w:rPr>
                <w:sz w:val="20"/>
                <w:szCs w:val="20"/>
                <w:color w:val="auto"/>
              </w:rPr>
            </w:pPr>
            <w:r>
              <w:rPr>
                <w:rFonts w:ascii="Arial" w:cs="Arial" w:eastAsia="Arial" w:hAnsi="Arial"/>
                <w:sz w:val="18"/>
                <w:szCs w:val="18"/>
                <w:color w:val="auto"/>
              </w:rPr>
              <w:t>Add/(Deduct):</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Distributed income from less than 50% owned affiliates</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capitalized, net of amortization</w:t>
            </w:r>
          </w:p>
        </w:tc>
        <w:tc>
          <w:tcPr>
            <w:tcW w:w="1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Earnings available for fixed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line="202" w:lineRule="exact"/>
              <w:rPr>
                <w:sz w:val="20"/>
                <w:szCs w:val="20"/>
                <w:color w:val="auto"/>
              </w:rPr>
            </w:pPr>
            <w:r>
              <w:rPr>
                <w:rFonts w:ascii="Arial" w:cs="Arial" w:eastAsia="Arial" w:hAnsi="Arial"/>
                <w:sz w:val="18"/>
                <w:szCs w:val="18"/>
                <w:color w:val="auto"/>
              </w:rPr>
              <w:t>Interest incurred: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420"/>
              <w:spacing w:after="0" w:line="202" w:lineRule="exact"/>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18"/>
                <w:szCs w:val="18"/>
                <w:color w:val="auto"/>
              </w:rPr>
            </w:pPr>
          </w:p>
        </w:tc>
        <w:tc>
          <w:tcPr>
            <w:tcW w:w="16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gridSpan w:val="2"/>
            <w:vMerge w:val="continue"/>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
        <w:spacing w:after="0"/>
        <w:rPr>
          <w:sz w:val="20"/>
          <w:szCs w:val="20"/>
          <w:color w:val="auto"/>
        </w:rPr>
      </w:pPr>
      <w:r>
        <w:rPr>
          <w:rFonts w:ascii="Arial" w:cs="Arial" w:eastAsia="Arial" w:hAnsi="Arial"/>
          <w:sz w:val="18"/>
          <w:szCs w:val="18"/>
          <w:color w:val="auto"/>
        </w:rPr>
        <w:t>Notes:</w:t>
      </w:r>
    </w:p>
    <w:p>
      <w:pPr>
        <w:spacing w:after="0" w:line="18" w:lineRule="exact"/>
        <w:rPr>
          <w:sz w:val="20"/>
          <w:szCs w:val="20"/>
          <w:color w:val="auto"/>
        </w:rPr>
      </w:pPr>
    </w:p>
    <w:p>
      <w:pPr>
        <w:ind w:left="446" w:hanging="446"/>
        <w:spacing w:after="0"/>
        <w:tabs>
          <w:tab w:leader="none" w:pos="4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interest related to uncertain tax positions, which is recorded in our tax provision.</w:t>
      </w:r>
    </w:p>
    <w:p>
      <w:pPr>
        <w:sectPr>
          <w:pgSz w:w="11900" w:h="16838" w:orient="portrait"/>
          <w:cols w:equalWidth="0" w:num="1">
            <w:col w:w="10966"/>
          </w:cols>
          <w:pgMar w:left="694" w:top="11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Irene B. Rosenfeld, certify that:</w:t>
      </w:r>
    </w:p>
    <w:p>
      <w:pPr>
        <w:spacing w:after="0" w:line="198" w:lineRule="exact"/>
        <w:rPr>
          <w:sz w:val="20"/>
          <w:szCs w:val="20"/>
          <w:color w:val="auto"/>
        </w:rPr>
      </w:pPr>
    </w:p>
    <w:p>
      <w:pPr>
        <w:ind w:left="580" w:hanging="575"/>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580" w:right="160" w:hanging="575"/>
        <w:spacing w:after="0" w:line="252"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8"/>
          <w:szCs w:val="18"/>
          <w:color w:val="auto"/>
        </w:rPr>
      </w:pPr>
    </w:p>
    <w:p>
      <w:pPr>
        <w:ind w:left="580" w:right="520" w:hanging="575"/>
        <w:spacing w:after="0" w:line="252"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8"/>
          <w:szCs w:val="18"/>
          <w:color w:val="auto"/>
        </w:rPr>
      </w:pPr>
    </w:p>
    <w:p>
      <w:pPr>
        <w:ind w:left="580" w:right="140" w:hanging="575"/>
        <w:spacing w:after="0" w:line="252"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8"/>
          <w:szCs w:val="18"/>
          <w:color w:val="auto"/>
        </w:rPr>
      </w:pPr>
    </w:p>
    <w:p>
      <w:pPr>
        <w:ind w:left="1020" w:right="20" w:hanging="448"/>
        <w:spacing w:after="0" w:line="298"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020" w:right="420" w:hanging="448"/>
        <w:spacing w:after="0" w:line="298"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ind w:left="1020" w:right="200" w:hanging="448"/>
        <w:spacing w:after="0" w:line="252"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8"/>
          <w:szCs w:val="18"/>
          <w:color w:val="auto"/>
        </w:rPr>
      </w:pPr>
    </w:p>
    <w:p>
      <w:pPr>
        <w:ind w:left="1020" w:right="280" w:hanging="448"/>
        <w:spacing w:after="0" w:line="298"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580" w:right="540" w:hanging="575"/>
        <w:spacing w:after="0" w:line="252"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8"/>
          <w:szCs w:val="18"/>
          <w:color w:val="auto"/>
        </w:rPr>
      </w:pPr>
    </w:p>
    <w:p>
      <w:pPr>
        <w:jc w:val="both"/>
        <w:ind w:left="1020" w:right="340" w:hanging="448"/>
        <w:spacing w:after="0" w:line="252"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8"/>
          <w:szCs w:val="18"/>
          <w:color w:val="auto"/>
        </w:rPr>
      </w:pPr>
    </w:p>
    <w:p>
      <w:pPr>
        <w:ind w:left="1020" w:right="660" w:hanging="448"/>
        <w:spacing w:after="0" w:line="269"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31, 2017</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8890</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Irene B. Rosenfeld</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0620"/>
          </w:cols>
          <w:pgMar w:left="1040" w:top="11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198" w:lineRule="exact"/>
        <w:rPr>
          <w:sz w:val="20"/>
          <w:szCs w:val="20"/>
          <w:color w:val="auto"/>
        </w:rPr>
      </w:pPr>
    </w:p>
    <w:p>
      <w:pPr>
        <w:ind w:left="580" w:hanging="575"/>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580" w:right="160" w:hanging="575"/>
        <w:spacing w:after="0" w:line="252"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18"/>
          <w:szCs w:val="18"/>
          <w:color w:val="auto"/>
        </w:rPr>
      </w:pPr>
    </w:p>
    <w:p>
      <w:pPr>
        <w:ind w:left="580" w:right="520" w:hanging="575"/>
        <w:spacing w:after="0" w:line="252"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8"/>
          <w:szCs w:val="18"/>
          <w:color w:val="auto"/>
        </w:rPr>
      </w:pPr>
    </w:p>
    <w:p>
      <w:pPr>
        <w:ind w:left="580" w:right="140" w:hanging="575"/>
        <w:spacing w:after="0" w:line="252"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8" w:lineRule="exact"/>
        <w:rPr>
          <w:rFonts w:ascii="Arial" w:cs="Arial" w:eastAsia="Arial" w:hAnsi="Arial"/>
          <w:sz w:val="18"/>
          <w:szCs w:val="18"/>
          <w:color w:val="auto"/>
        </w:rPr>
      </w:pPr>
    </w:p>
    <w:p>
      <w:pPr>
        <w:ind w:left="1020" w:right="20" w:hanging="448"/>
        <w:spacing w:after="0" w:line="298"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ind w:left="1020" w:right="420" w:hanging="448"/>
        <w:spacing w:after="0" w:line="298"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6"/>
          <w:szCs w:val="16"/>
          <w:color w:val="auto"/>
        </w:rPr>
      </w:pPr>
    </w:p>
    <w:p>
      <w:pPr>
        <w:ind w:left="1020" w:right="200" w:hanging="448"/>
        <w:spacing w:after="0" w:line="252"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8"/>
          <w:szCs w:val="18"/>
          <w:color w:val="auto"/>
        </w:rPr>
      </w:pPr>
    </w:p>
    <w:p>
      <w:pPr>
        <w:ind w:left="1020" w:right="280" w:hanging="448"/>
        <w:spacing w:after="0" w:line="298"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6"/>
          <w:szCs w:val="16"/>
          <w:color w:val="auto"/>
        </w:rPr>
      </w:pPr>
    </w:p>
    <w:p>
      <w:pPr>
        <w:ind w:left="580" w:right="540" w:hanging="575"/>
        <w:spacing w:after="0" w:line="252"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8"/>
          <w:szCs w:val="18"/>
          <w:color w:val="auto"/>
        </w:rPr>
      </w:pPr>
    </w:p>
    <w:p>
      <w:pPr>
        <w:jc w:val="both"/>
        <w:ind w:left="1020" w:right="340" w:hanging="448"/>
        <w:spacing w:after="0" w:line="252"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8"/>
          <w:szCs w:val="18"/>
          <w:color w:val="auto"/>
        </w:rPr>
      </w:pPr>
    </w:p>
    <w:p>
      <w:pPr>
        <w:ind w:left="1020" w:right="660" w:hanging="448"/>
        <w:spacing w:after="0" w:line="269"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31, 2017</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8890</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T. Gladden</w:t>
      </w:r>
    </w:p>
    <w:p>
      <w:pPr>
        <w:spacing w:after="0" w:line="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620"/>
          </w:cols>
          <w:pgMar w:left="1040" w:top="11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6"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2017,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Irene B. Rosenfeld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rPr>
          <w:sz w:val="20"/>
          <w:szCs w:val="20"/>
          <w:color w:val="auto"/>
        </w:rPr>
      </w:pPr>
      <w:r>
        <w:rPr>
          <w:rFonts w:ascii="Arial" w:cs="Arial" w:eastAsia="Arial" w:hAnsi="Arial"/>
          <w:sz w:val="18"/>
          <w:szCs w:val="18"/>
          <w:color w:val="auto"/>
        </w:rPr>
        <w:t>October 31, 2017</w:t>
      </w:r>
    </w:p>
    <w:p>
      <w:pPr>
        <w:spacing w:after="0" w:line="13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2017,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Brian T. Gladden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October 31, 2017</w:t>
      </w:r>
    </w:p>
    <w:p>
      <w:pPr>
        <w:spacing w:after="0" w:line="300"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2"/>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6"/>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lvl w:ilvl="1">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5"/>
    </w:lvl>
  </w:abstractNum>
  <w:abstractNum w:abstractNumId="45">
    <w:nsid w:val="7644A45C"/>
    <w:multiLevelType w:val="hybridMultilevel"/>
    <w:lvl w:ilvl="0">
      <w:lvlJc w:val="left"/>
      <w:lvlText w:val="(%1)"/>
      <w:numFmt w:val="decimal"/>
      <w:start w:val="1"/>
    </w:lvl>
    <w:lvl w:ilvl="1">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18" Type="http://schemas.openxmlformats.org/officeDocument/2006/relationships/hyperlink" Target="http://www.sec.gov/Archives/edgar/data/1103982/000119312517244953/d62760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2019-12-29T04:16:39Z</dcterms:created>
  <dcterms:modified xsi:type="dcterms:W3CDTF">2019-12-29T04:16:39Z</dcterms:modified>
</cp:coreProperties>
</file>