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10-Q </w:t>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(Mark One)</w:t>
      </w:r>
    </w:p>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2024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1-16483 </w:t>
      </w:r>
    </w:p>
    <w:p>
      <w:pPr>
        <w:pStyle w:val="TextBody"/>
        <w:bidi w:val="0"/>
        <w:spacing w:before="60" w:after="283"/>
        <w:jc w:val="center"/>
        <w:rPr/>
      </w:pPr>
      <w:r>
        <w:rPr/>
        <w:drawing>
          <wp:inline distT="0" distB="0" distL="0" distR="0">
            <wp:extent cx="10096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247650"/>
                    </a:xfrm>
                    <a:prstGeom prst="rect">
                      <a:avLst/>
                    </a:prstGeom>
                  </pic:spPr>
                </pic:pic>
              </a:graphicData>
            </a:graphic>
          </wp:inline>
        </w:drawing>
      </w:r>
    </w:p>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 xml:space="preserve">Mondelēz International,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6988" w:type="dxa"/>
        <w:jc w:val="center"/>
        <w:tblInd w:w="0" w:type="dxa"/>
        <w:tblLayout w:type="fixed"/>
        <w:tblCellMar>
          <w:top w:w="28" w:type="dxa"/>
          <w:left w:w="28" w:type="dxa"/>
          <w:bottom w:w="28" w:type="dxa"/>
          <w:right w:w="28" w:type="dxa"/>
        </w:tblCellMar>
      </w:tblPr>
      <w:tblGrid>
        <w:gridCol w:w="797"/>
        <w:gridCol w:w="699"/>
        <w:gridCol w:w="699"/>
        <w:gridCol w:w="699"/>
        <w:gridCol w:w="699"/>
        <w:gridCol w:w="740"/>
        <w:gridCol w:w="773"/>
        <w:gridCol w:w="773"/>
        <w:gridCol w:w="1109"/>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Virginia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52-2284372</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905 West Fulton Market, Suite 200</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Chicago,</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Illinois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60607</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pPr>
      <w:r>
        <w:rPr>
          <w:rFonts w:ascii="Arial;sans-serif" w:hAnsi="Arial;sans-serif"/>
          <w:b w:val="false"/>
          <w:color w:val="000000"/>
          <w:sz w:val="16"/>
        </w:rPr>
        <w:t xml:space="preserve">(Registrant’s telephone number, including area code) </w:t>
      </w:r>
      <w:r>
        <w:rPr>
          <w:rFonts w:ascii="Arial;sans-serif" w:hAnsi="Arial;sans-serif"/>
          <w:b/>
          <w:color w:val="000000"/>
          <w:sz w:val="16"/>
        </w:rPr>
        <w:t xml:space="preserve">(847) 943-4000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0"/>
        <w:gridCol w:w="904"/>
        <w:gridCol w:w="915"/>
        <w:gridCol w:w="109"/>
        <w:gridCol w:w="109"/>
        <w:gridCol w:w="109"/>
        <w:gridCol w:w="304"/>
        <w:gridCol w:w="304"/>
        <w:gridCol w:w="306"/>
        <w:gridCol w:w="109"/>
        <w:gridCol w:w="109"/>
        <w:gridCol w:w="109"/>
        <w:gridCol w:w="1071"/>
        <w:gridCol w:w="1071"/>
        <w:gridCol w:w="1517"/>
      </w:tblGrid>
      <w:tr>
        <w:trPr/>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 A 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1.625%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2.375%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1.375% Notes due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3.875%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20" w:after="283"/>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699"/>
        <w:gridCol w:w="699"/>
        <w:gridCol w:w="703"/>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before="80" w:after="283"/>
        <w:jc w:val="both"/>
        <w:rPr/>
      </w:pPr>
      <w:r>
        <w:rPr/>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At July 25, 2024, there were 1,335,797,706 shares of the registrant’s Class A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9736" w:type="dxa"/>
        <w:jc w:val="left"/>
        <w:tblInd w:w="0" w:type="dxa"/>
        <w:tblLayout w:type="fixed"/>
        <w:tblCellMar>
          <w:top w:w="28" w:type="dxa"/>
          <w:left w:w="28" w:type="dxa"/>
          <w:bottom w:w="28" w:type="dxa"/>
          <w:right w:w="28" w:type="dxa"/>
        </w:tblCellMar>
      </w:tblPr>
      <w:tblGrid>
        <w:gridCol w:w="261"/>
        <w:gridCol w:w="228"/>
        <w:gridCol w:w="231"/>
        <w:gridCol w:w="2718"/>
        <w:gridCol w:w="2718"/>
        <w:gridCol w:w="2724"/>
        <w:gridCol w:w="250"/>
        <w:gridCol w:w="250"/>
        <w:gridCol w:w="356"/>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0">
              <w:r>
                <w:rPr>
                  <w:rStyle w:val="InternetLink"/>
                  <w:rFonts w:ascii="Arial;sans-serif" w:hAnsi="Arial;sans-serif"/>
                  <w:b/>
                  <w:color w:val="0000FF"/>
                  <w:sz w:val="16"/>
                  <w:u w:val="single"/>
                </w:rPr>
                <w:t>PART I</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INFORMATION</w:t>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Statements (Unaudited)</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6">
              <w:r>
                <w:rPr>
                  <w:rStyle w:val="InternetLink"/>
                  <w:rFonts w:ascii="Arial;sans-serif" w:hAnsi="Arial;sans-serif"/>
                  <w:b w:val="false"/>
                  <w:color w:val="0000FF"/>
                  <w:sz w:val="16"/>
                  <w:u w:val="single"/>
                </w:rPr>
                <w:t>Condensed Consolidated Statements of Earnings</w:t>
              </w:r>
            </w:hyperlink>
            <w:r>
              <w:rPr>
                <w:color w:val="000000"/>
              </w:rPr>
              <w:t xml:space="preserve"> </w:t>
            </w:r>
            <w:hyperlink w:anchor="ia1226da0293548ea8aab3be9cc11fec0_16">
              <w:r>
                <w:rPr>
                  <w:rStyle w:val="InternetLink"/>
                  <w:rFonts w:ascii="Arial;sans-serif" w:hAnsi="Arial;sans-serif"/>
                  <w:b w:val="false"/>
                  <w:color w:val="0000FF"/>
                  <w:sz w:val="16"/>
                  <w:u w:val="single"/>
                </w:rPr>
                <w:t>for the Three and Six Months Ended June 30, 2024 and 2023</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6">
              <w:r>
                <w:rPr>
                  <w:rStyle w:val="InternetLink"/>
                  <w:rFonts w:ascii="Arial;sans-serif" w:hAnsi="Arial;sans-serif"/>
                  <w:b w:val="false"/>
                  <w:strike w:val="false"/>
                  <w:dstrike w:val="false"/>
                  <w:color w:val="000000"/>
                  <w:sz w:val="16"/>
                  <w:u w:val="none"/>
                  <w:effect w:val="none"/>
                </w:rPr>
                <w:t>1</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226da0293548ea8aab3be9cc11fec0_19">
              <w:r>
                <w:rPr>
                  <w:rStyle w:val="InternetLink"/>
                  <w:rFonts w:ascii="Arial;sans-serif" w:hAnsi="Arial;sans-serif"/>
                  <w:b w:val="false"/>
                  <w:color w:val="0000FF"/>
                  <w:sz w:val="16"/>
                  <w:u w:val="single"/>
                </w:rPr>
                <w:t xml:space="preserve">Condensed Consolidated Statements of Comprehensive Earnings </w:t>
              </w:r>
            </w:hyperlink>
          </w:p>
          <w:p>
            <w:pPr>
              <w:pStyle w:val="TableContents"/>
              <w:bidi w:val="0"/>
              <w:spacing w:lineRule="auto" w:line="240" w:before="0" w:after="0"/>
              <w:ind w:left="0" w:right="0" w:hanging="180"/>
              <w:jc w:val="left"/>
              <w:rPr/>
            </w:pPr>
            <w:hyperlink w:anchor="ia1226da0293548ea8aab3be9cc11fec0_19">
              <w:r>
                <w:rPr>
                  <w:rStyle w:val="InternetLink"/>
                  <w:rFonts w:ascii="Arial;sans-serif" w:hAnsi="Arial;sans-serif"/>
                  <w:b w:val="false"/>
                  <w:color w:val="0000FF"/>
                  <w:sz w:val="16"/>
                  <w:u w:val="single"/>
                </w:rPr>
                <w:t>for the Three and Six Months Ended June 30, 2024 and 2023</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9">
              <w:r>
                <w:rPr>
                  <w:rStyle w:val="InternetLink"/>
                  <w:rFonts w:ascii="Arial;sans-serif" w:hAnsi="Arial;sans-serif"/>
                  <w:b w:val="false"/>
                  <w:strike w:val="false"/>
                  <w:dstrike w:val="false"/>
                  <w:color w:val="000000"/>
                  <w:sz w:val="16"/>
                  <w:u w:val="none"/>
                  <w:effect w:val="none"/>
                </w:rPr>
                <w:t>2</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226da0293548ea8aab3be9cc11fec0_22">
              <w:r>
                <w:rPr>
                  <w:rStyle w:val="InternetLink"/>
                  <w:rFonts w:ascii="Arial;sans-serif" w:hAnsi="Arial;sans-serif"/>
                  <w:b w:val="false"/>
                  <w:color w:val="0000FF"/>
                  <w:sz w:val="16"/>
                  <w:u w:val="single"/>
                </w:rPr>
                <w:t>Condensed Consolidated Balance Sheets at June 30, 2024 and December 31, 2023</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22">
              <w:r>
                <w:rPr>
                  <w:rStyle w:val="InternetLink"/>
                  <w:rFonts w:ascii="Arial;sans-serif" w:hAnsi="Arial;sans-serif"/>
                  <w:b w:val="false"/>
                  <w:strike w:val="false"/>
                  <w:dstrike w:val="false"/>
                  <w:color w:val="000000"/>
                  <w:sz w:val="16"/>
                  <w:u w:val="none"/>
                  <w:effect w:val="none"/>
                </w:rPr>
                <w:t>3</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226da0293548ea8aab3be9cc11fec0_25">
              <w:r>
                <w:rPr>
                  <w:rStyle w:val="InternetLink"/>
                  <w:rFonts w:ascii="Arial;sans-serif" w:hAnsi="Arial;sans-serif"/>
                  <w:b w:val="false"/>
                  <w:color w:val="0000FF"/>
                  <w:sz w:val="16"/>
                  <w:u w:val="single"/>
                </w:rPr>
                <w:t>Condensed Consolidated Statements of Equity for the Three and Six Months Ended June 30, 2024 and 2023</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25">
              <w:r>
                <w:rPr>
                  <w:rStyle w:val="InternetLink"/>
                  <w:rFonts w:ascii="Arial;sans-serif" w:hAnsi="Arial;sans-serif"/>
                  <w:b w:val="false"/>
                  <w:strike w:val="false"/>
                  <w:dstrike w:val="false"/>
                  <w:color w:val="000000"/>
                  <w:sz w:val="16"/>
                  <w:u w:val="none"/>
                  <w:effect w:val="none"/>
                </w:rPr>
                <w:t>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226da0293548ea8aab3be9cc11fec0_28">
              <w:r>
                <w:rPr>
                  <w:rStyle w:val="InternetLink"/>
                  <w:rFonts w:ascii="Arial;sans-serif" w:hAnsi="Arial;sans-serif"/>
                  <w:b w:val="false"/>
                  <w:color w:val="0000FF"/>
                  <w:sz w:val="16"/>
                  <w:u w:val="single"/>
                </w:rPr>
                <w:t>Condensed Consolidated Statements of Cash Flows for the Six Months Ended June 30, 2024 and 2023</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28">
              <w:r>
                <w:rPr>
                  <w:rStyle w:val="InternetLink"/>
                  <w:rFonts w:ascii="Arial;sans-serif" w:hAnsi="Arial;sans-serif"/>
                  <w:b w:val="false"/>
                  <w:strike w:val="false"/>
                  <w:dstrike w:val="false"/>
                  <w:color w:val="000000"/>
                  <w:sz w:val="16"/>
                  <w:u w:val="none"/>
                  <w:effect w:val="none"/>
                </w:rPr>
                <w:t>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226da0293548ea8aab3be9cc11fec0_31">
              <w:r>
                <w:rPr>
                  <w:rStyle w:val="InternetLink"/>
                  <w:rFonts w:ascii="Arial;sans-serif" w:hAnsi="Arial;sans-serif"/>
                  <w:b w:val="false"/>
                  <w:color w:val="0000FF"/>
                  <w:sz w:val="16"/>
                  <w:u w:val="single"/>
                </w:rPr>
                <w:t>Notes to Condensed Consolidated Financial Statements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31">
              <w:r>
                <w:rPr>
                  <w:rStyle w:val="InternetLink"/>
                  <w:rFonts w:ascii="Arial;sans-serif" w:hAnsi="Arial;sans-serif"/>
                  <w:b w:val="false"/>
                  <w:strike w:val="false"/>
                  <w:dstrike w:val="false"/>
                  <w:color w:val="000000"/>
                  <w:sz w:val="16"/>
                  <w:u w:val="none"/>
                  <w:effect w:val="none"/>
                </w:rPr>
                <w:t>6</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1226da0293548ea8aab3be9cc11fec0_82">
              <w:r>
                <w:rPr>
                  <w:rStyle w:val="InternetLink"/>
                  <w:rFonts w:ascii="Arial;sans-serif" w:hAnsi="Arial;sans-serif"/>
                  <w:b w:val="false"/>
                  <w:color w:val="0000FF"/>
                  <w:sz w:val="16"/>
                  <w:u w:val="single"/>
                </w:rPr>
                <w:t>Management’s Discussion and Analysis of Financial Condition and Results of Operations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82">
              <w:r>
                <w:rPr>
                  <w:rStyle w:val="InternetLink"/>
                  <w:rFonts w:ascii="Arial;sans-serif" w:hAnsi="Arial;sans-serif"/>
                  <w:b w:val="false"/>
                  <w:strike w:val="false"/>
                  <w:dstrike w:val="false"/>
                  <w:color w:val="000000"/>
                  <w:sz w:val="16"/>
                  <w:u w:val="none"/>
                  <w:effect w:val="none"/>
                </w:rPr>
                <w:t>29</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24">
              <w:r>
                <w:rPr>
                  <w:rStyle w:val="InternetLink"/>
                  <w:rFonts w:ascii="Arial;sans-serif" w:hAnsi="Arial;sans-serif"/>
                  <w:b w:val="false"/>
                  <w:color w:val="0000FF"/>
                  <w:sz w:val="16"/>
                  <w:u w:val="single"/>
                </w:rPr>
                <w:t>Quantitative and Qualitative Disclosures about Market Risk</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24">
              <w:r>
                <w:rPr>
                  <w:rStyle w:val="InternetLink"/>
                  <w:rFonts w:ascii="Arial;sans-serif" w:hAnsi="Arial;sans-serif"/>
                  <w:b w:val="false"/>
                  <w:strike w:val="false"/>
                  <w:dstrike w:val="false"/>
                  <w:color w:val="000000"/>
                  <w:sz w:val="16"/>
                  <w:u w:val="none"/>
                  <w:effect w:val="none"/>
                </w:rPr>
                <w:t>54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27">
              <w:r>
                <w:rPr>
                  <w:rStyle w:val="InternetLink"/>
                  <w:rFonts w:ascii="Arial;sans-serif" w:hAnsi="Arial;sans-serif"/>
                  <w:b w:val="false"/>
                  <w:color w:val="0000FF"/>
                  <w:sz w:val="16"/>
                  <w:u w:val="single"/>
                </w:rPr>
                <w:t>Controls and Procedures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27">
              <w:r>
                <w:rPr>
                  <w:rStyle w:val="InternetLink"/>
                  <w:rFonts w:ascii="Arial;sans-serif" w:hAnsi="Arial;sans-serif"/>
                  <w:b w:val="false"/>
                  <w:strike w:val="false"/>
                  <w:dstrike w:val="false"/>
                  <w:color w:val="000000"/>
                  <w:sz w:val="16"/>
                  <w:u w:val="none"/>
                  <w:effect w:val="none"/>
                </w:rPr>
                <w:t>54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30">
              <w:r>
                <w:rPr>
                  <w:rStyle w:val="InternetLink"/>
                  <w:rFonts w:ascii="Arial;sans-serif" w:hAnsi="Arial;sans-serif"/>
                  <w:b/>
                  <w:color w:val="0000FF"/>
                  <w:sz w:val="16"/>
                  <w:u w:val="single"/>
                </w:rPr>
                <w:t>PART II</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INFORMATION</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33">
              <w:r>
                <w:rPr>
                  <w:rStyle w:val="InternetLink"/>
                  <w:rFonts w:ascii="Arial;sans-serif" w:hAnsi="Arial;sans-serif"/>
                  <w:b w:val="false"/>
                  <w:color w:val="0000FF"/>
                  <w:sz w:val="16"/>
                  <w:u w:val="single"/>
                </w:rPr>
                <w:t>Legal Proceedings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33">
              <w:r>
                <w:rPr>
                  <w:rStyle w:val="InternetLink"/>
                  <w:rFonts w:ascii="Arial;sans-serif" w:hAnsi="Arial;sans-serif"/>
                  <w:b w:val="false"/>
                  <w:strike w:val="false"/>
                  <w:dstrike w:val="false"/>
                  <w:color w:val="000000"/>
                  <w:sz w:val="16"/>
                  <w:u w:val="none"/>
                  <w:effect w:val="none"/>
                </w:rPr>
                <w:t>55</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36">
              <w:r>
                <w:rPr>
                  <w:rStyle w:val="InternetLink"/>
                  <w:rFonts w:ascii="Arial;sans-serif" w:hAnsi="Arial;sans-serif"/>
                  <w:b w:val="false"/>
                  <w:color w:val="0000FF"/>
                  <w:sz w:val="16"/>
                  <w:u w:val="single"/>
                </w:rPr>
                <w:t>Risk Factors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36">
              <w:r>
                <w:rPr>
                  <w:rStyle w:val="InternetLink"/>
                  <w:rFonts w:ascii="Arial;sans-serif" w:hAnsi="Arial;sans-serif"/>
                  <w:b w:val="false"/>
                  <w:strike w:val="false"/>
                  <w:dstrike w:val="false"/>
                  <w:color w:val="000000"/>
                  <w:sz w:val="16"/>
                  <w:u w:val="none"/>
                  <w:effect w:val="none"/>
                </w:rPr>
                <w:t>55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39">
              <w:r>
                <w:rPr>
                  <w:rStyle w:val="InternetLink"/>
                  <w:rFonts w:ascii="Arial;sans-serif" w:hAnsi="Arial;sans-serif"/>
                  <w:b w:val="false"/>
                  <w:color w:val="0000FF"/>
                  <w:sz w:val="16"/>
                  <w:u w:val="single"/>
                </w:rPr>
                <w:t>Unregistered Sales of Equity Securities and Use of Proceeds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39">
              <w:r>
                <w:rPr>
                  <w:rStyle w:val="InternetLink"/>
                  <w:rFonts w:ascii="Arial;sans-serif" w:hAnsi="Arial;sans-serif"/>
                  <w:b w:val="false"/>
                  <w:strike w:val="false"/>
                  <w:dstrike w:val="false"/>
                  <w:color w:val="000000"/>
                  <w:sz w:val="16"/>
                  <w:u w:val="none"/>
                  <w:effect w:val="none"/>
                </w:rPr>
                <w:t>55</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42">
              <w:r>
                <w:rPr>
                  <w:rStyle w:val="InternetLink"/>
                  <w:rFonts w:ascii="Arial;sans-serif" w:hAnsi="Arial;sans-serif"/>
                  <w:b w:val="false"/>
                  <w:color w:val="0000FF"/>
                  <w:sz w:val="16"/>
                  <w:u w:val="single"/>
                </w:rPr>
                <w:t>Other Information</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42">
              <w:r>
                <w:rPr>
                  <w:rStyle w:val="InternetLink"/>
                  <w:rFonts w:ascii="Arial;sans-serif" w:hAnsi="Arial;sans-serif"/>
                  <w:b w:val="false"/>
                  <w:strike w:val="false"/>
                  <w:dstrike w:val="false"/>
                  <w:color w:val="000000"/>
                  <w:sz w:val="16"/>
                  <w:u w:val="none"/>
                  <w:effect w:val="none"/>
                </w:rPr>
                <w:t>55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6.</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226da0293548ea8aab3be9cc11fec0_145">
              <w:r>
                <w:rPr>
                  <w:rStyle w:val="InternetLink"/>
                  <w:rFonts w:ascii="Arial;sans-serif" w:hAnsi="Arial;sans-serif"/>
                  <w:b w:val="false"/>
                  <w:color w:val="0000FF"/>
                  <w:sz w:val="16"/>
                  <w:u w:val="single"/>
                </w:rPr>
                <w:t>Exhibits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45">
              <w:r>
                <w:rPr>
                  <w:rStyle w:val="InternetLink"/>
                  <w:rFonts w:ascii="Arial;sans-serif" w:hAnsi="Arial;sans-serif"/>
                  <w:b w:val="false"/>
                  <w:strike w:val="false"/>
                  <w:dstrike w:val="false"/>
                  <w:color w:val="000000"/>
                  <w:sz w:val="16"/>
                  <w:u w:val="none"/>
                  <w:effect w:val="none"/>
                </w:rPr>
                <w:t>56</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1226da0293548ea8aab3be9cc11fec0_148">
              <w:r>
                <w:rPr>
                  <w:rStyle w:val="InternetLink"/>
                  <w:rFonts w:ascii="Arial;sans-serif" w:hAnsi="Arial;sans-serif"/>
                  <w:b w:val="false"/>
                  <w:color w:val="0000FF"/>
                  <w:sz w:val="16"/>
                  <w:u w:val="single"/>
                </w:rPr>
                <w:t>Signature</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26da0293548ea8aab3be9cc11fec0_148">
              <w:r>
                <w:rPr>
                  <w:rStyle w:val="InternetLink"/>
                  <w:rFonts w:ascii="Arial;sans-serif" w:hAnsi="Arial;sans-serif"/>
                  <w:b w:val="false"/>
                  <w:strike w:val="false"/>
                  <w:dstrike w:val="false"/>
                  <w:color w:val="000000"/>
                  <w:sz w:val="16"/>
                  <w:u w:val="none"/>
                  <w:effect w:val="none"/>
                </w:rPr>
                <w:t>57</w:t>
              </w:r>
            </w:hyperlink>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this report, for all periods presented, “we,” “us,” “our,” “the Company” and “Mondelēz International” refer to Mondelēz International, Inc. and subsidiaries. References to “Common Stock” refer to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49935"/>
                <wp:effectExtent l="0" t="0" r="0" b="0"/>
                <wp:wrapNone/>
                <wp:docPr id="3" name="Frame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pPr>
      <w:r>
        <w:rPr>
          <w:rFonts w:ascii="Arial;sans-serif" w:hAnsi="Arial;sans-serif"/>
          <w:b/>
          <w:color w:val="000000"/>
          <w:sz w:val="20"/>
        </w:rPr>
        <w:t>(Unaudited)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822"/>
        <w:gridCol w:w="1596"/>
        <w:gridCol w:w="1611"/>
        <w:gridCol w:w="217"/>
        <w:gridCol w:w="667"/>
        <w:gridCol w:w="112"/>
        <w:gridCol w:w="112"/>
        <w:gridCol w:w="112"/>
        <w:gridCol w:w="112"/>
        <w:gridCol w:w="217"/>
        <w:gridCol w:w="667"/>
        <w:gridCol w:w="112"/>
        <w:gridCol w:w="109"/>
        <w:gridCol w:w="109"/>
        <w:gridCol w:w="109"/>
        <w:gridCol w:w="211"/>
        <w:gridCol w:w="751"/>
        <w:gridCol w:w="109"/>
        <w:gridCol w:w="109"/>
        <w:gridCol w:w="109"/>
        <w:gridCol w:w="109"/>
        <w:gridCol w:w="211"/>
        <w:gridCol w:w="751"/>
        <w:gridCol w:w="161"/>
      </w:tblGrid>
      <w:tr>
        <w:trPr/>
        <w:tc>
          <w:tcPr>
            <w:tcW w:w="182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and exit costs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(Loss)/gain on marketable securities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(Loss)/gain on equity method investment transactions including impairments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earnings attributable to </w:t>
              <w:br/>
              <w:t>   Mondelēz International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9935"/>
                <wp:effectExtent l="0" t="0" r="0" b="0"/>
                <wp:wrapNone/>
                <wp:docPr id="6" name="Frame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526" w:type="dxa"/>
        <w:jc w:val="left"/>
        <w:tblInd w:w="0" w:type="dxa"/>
        <w:tblLayout w:type="fixed"/>
        <w:tblCellMar>
          <w:top w:w="28" w:type="dxa"/>
          <w:left w:w="28" w:type="dxa"/>
          <w:bottom w:w="28" w:type="dxa"/>
          <w:right w:w="28" w:type="dxa"/>
        </w:tblCellMar>
      </w:tblPr>
      <w:tblGrid>
        <w:gridCol w:w="1638"/>
        <w:gridCol w:w="1436"/>
        <w:gridCol w:w="1455"/>
        <w:gridCol w:w="238"/>
        <w:gridCol w:w="544"/>
        <w:gridCol w:w="123"/>
        <w:gridCol w:w="123"/>
        <w:gridCol w:w="123"/>
        <w:gridCol w:w="123"/>
        <w:gridCol w:w="238"/>
        <w:gridCol w:w="731"/>
        <w:gridCol w:w="123"/>
        <w:gridCol w:w="109"/>
        <w:gridCol w:w="109"/>
        <w:gridCol w:w="109"/>
        <w:gridCol w:w="211"/>
        <w:gridCol w:w="646"/>
        <w:gridCol w:w="109"/>
        <w:gridCol w:w="109"/>
        <w:gridCol w:w="109"/>
        <w:gridCol w:w="109"/>
        <w:gridCol w:w="211"/>
        <w:gridCol w:w="646"/>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earnings/(losses), net of tax:</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benefit plans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cash flow hedges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earnings/(losses)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earnings/(losses)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Comprehensive earnings/(losses) </w:t>
              <w:br/>
              <w:t>   attributable to noncontrolling interests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Comprehensive earnings/(losses) attributable to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Mondelēz International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49935"/>
                <wp:effectExtent l="0" t="0" r="0" b="0"/>
                <wp:wrapNone/>
                <wp:docPr id="9" name="Frame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59"/>
        <w:gridCol w:w="2285"/>
        <w:gridCol w:w="2317"/>
        <w:gridCol w:w="211"/>
        <w:gridCol w:w="751"/>
        <w:gridCol w:w="109"/>
        <w:gridCol w:w="109"/>
        <w:gridCol w:w="109"/>
        <w:gridCol w:w="109"/>
        <w:gridCol w:w="291"/>
        <w:gridCol w:w="1039"/>
        <w:gridCol w:w="216"/>
      </w:tblGrid>
      <w:tr>
        <w:trPr/>
        <w:tc>
          <w:tcPr>
            <w:tcW w:w="265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receivables, less allowance ($39 and $66,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receivables, less allowance ($40 and $50,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pension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health care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no par value (5,000,000,000 shares authorized, 1,996,537,778 shares issued)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(659,385,983 and 648,055,073 shares,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Mondelēz International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28,366 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49935"/>
                <wp:effectExtent l="0" t="0" r="0" b="0"/>
                <wp:wrapNone/>
                <wp:docPr id="12" name="Frame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3"/>
        <w:gridCol w:w="539"/>
        <w:gridCol w:w="545"/>
        <w:gridCol w:w="181"/>
        <w:gridCol w:w="406"/>
        <w:gridCol w:w="109"/>
        <w:gridCol w:w="109"/>
        <w:gridCol w:w="109"/>
        <w:gridCol w:w="109"/>
        <w:gridCol w:w="181"/>
        <w:gridCol w:w="571"/>
        <w:gridCol w:w="109"/>
        <w:gridCol w:w="109"/>
        <w:gridCol w:w="109"/>
        <w:gridCol w:w="109"/>
        <w:gridCol w:w="181"/>
        <w:gridCol w:w="571"/>
        <w:gridCol w:w="109"/>
        <w:gridCol w:w="109"/>
        <w:gridCol w:w="109"/>
        <w:gridCol w:w="109"/>
        <w:gridCol w:w="230"/>
        <w:gridCol w:w="726"/>
        <w:gridCol w:w="140"/>
        <w:gridCol w:w="109"/>
        <w:gridCol w:w="109"/>
        <w:gridCol w:w="109"/>
        <w:gridCol w:w="181"/>
        <w:gridCol w:w="593"/>
        <w:gridCol w:w="109"/>
        <w:gridCol w:w="109"/>
        <w:gridCol w:w="109"/>
        <w:gridCol w:w="109"/>
        <w:gridCol w:w="331"/>
        <w:gridCol w:w="550"/>
        <w:gridCol w:w="200"/>
        <w:gridCol w:w="109"/>
        <w:gridCol w:w="109"/>
        <w:gridCol w:w="109"/>
        <w:gridCol w:w="181"/>
        <w:gridCol w:w="5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Earnings/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Equity</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June 30, 2024</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April 1, 2024</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($0.425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(11,515)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Six Months Ended June 30, 2024</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2024</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($0.850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(11,515)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June 30, 2023</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April 1, 2023</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(10,814)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($0.385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Six Months Ended June 30, 2023</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2023</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($0.770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2023</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(10,710)</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49935"/>
                <wp:effectExtent l="0" t="0" r="0" b="0"/>
                <wp:wrapNone/>
                <wp:docPr id="15" name="Frame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Mondelēz International,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of U.S. dollars)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534" w:type="dxa"/>
        <w:jc w:val="left"/>
        <w:tblInd w:w="0" w:type="dxa"/>
        <w:tblLayout w:type="fixed"/>
        <w:tblCellMar>
          <w:top w:w="28" w:type="dxa"/>
          <w:left w:w="28" w:type="dxa"/>
          <w:bottom w:w="28" w:type="dxa"/>
          <w:right w:w="28" w:type="dxa"/>
        </w:tblCellMar>
      </w:tblPr>
      <w:tblGrid>
        <w:gridCol w:w="2637"/>
        <w:gridCol w:w="2319"/>
        <w:gridCol w:w="2334"/>
        <w:gridCol w:w="211"/>
        <w:gridCol w:w="616"/>
        <w:gridCol w:w="109"/>
        <w:gridCol w:w="109"/>
        <w:gridCol w:w="109"/>
        <w:gridCol w:w="109"/>
        <w:gridCol w:w="211"/>
        <w:gridCol w:w="616"/>
        <w:gridCol w:w="154"/>
      </w:tblGrid>
      <w:tr>
        <w:trPr/>
        <w:tc>
          <w:tcPr>
            <w:tcW w:w="263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earnings to operating cash flows: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 and accelerated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Loss/(gain) on equity method investment transactions including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 net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on derivative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Change in assets and liabilities, </w:t>
              <w:br/>
              <w:t>   net of acquisitions and divestitures: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pension and postretirement assets and liabilities,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received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divestitures including equity method and marketable security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derivative 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Payments for derivative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Contributions to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sale of property, plant and equipment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commercial paper, maturities greater than 90 days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issuances/(repayments) of short-term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proceeds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49935"/>
                <wp:effectExtent l="0" t="0" r="0" b="0"/>
                <wp:wrapNone/>
                <wp:docPr id="18" name="Frame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with readily determinable fair values for which we do not have the ability to exercise significant influence are measured at fair value.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War in Ukraine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2022, Russia began a military invasion of Ukraine and we closed our operations and facilities in Ukraine. In March 2022, our two Ukrainian manufacturing facilities in Trostyanets and Vyshhorod were significantly damaged. In the second quarter of 2024, we fully resumed production at both facilities after completing targeted repairs. We continue to consolidate both our Ukrainian and Russian subsidiaries and continue to evaluate our ability to control our operating activities and businesses on an ongoing basis. We continue to evaluate the uncertainty of the ongoing effects of the war in Ukraine and its impact on the global economic environment, and we cannot predict if it will have a significant impact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Highly Inflationary Accounting</w:t>
      </w:r>
    </w:p>
    <w:p>
      <w:pPr>
        <w:pStyle w:val="TextBody"/>
        <w:bidi w:val="0"/>
        <w:spacing w:lineRule="auto" w:line="288" w:before="0" w:after="0"/>
        <w:jc w:val="both"/>
        <w:rPr/>
      </w:pPr>
      <w:r>
        <w:rPr>
          <w:rFonts w:ascii="Arial;sans-serif" w:hAnsi="Arial;sans-serif"/>
          <w:b w:val="false"/>
          <w:color w:val="000000"/>
          <w:sz w:val="20"/>
        </w:rPr>
        <w:t xml:space="preserve">Within our consolidated entities, Argentina and </w:t>
      </w:r>
      <w:r>
        <w:rPr>
          <w:rFonts w:ascii="Arial;sans-serif" w:hAnsi="Arial;sans-serif"/>
          <w:b w:val="false"/>
          <w:i/>
          <w:color w:val="000000"/>
          <w:sz w:val="20"/>
        </w:rPr>
        <w:t xml:space="preserve">Türkiye </w:t>
      </w:r>
      <w:r>
        <w:rPr>
          <w:rFonts w:ascii="Arial;sans-serif" w:hAnsi="Arial;sans-serif"/>
          <w:b w:val="false"/>
          <w:color w:val="000000"/>
          <w:sz w:val="20"/>
        </w:rPr>
        <w:t>(Turkey)</w:t>
      </w:r>
      <w:r>
        <w:rPr>
          <w:color w:val="000000"/>
        </w:rPr>
        <w:t xml:space="preserve"> </w:t>
      </w:r>
      <w:r>
        <w:rPr>
          <w:rFonts w:ascii="Arial;sans-serif" w:hAnsi="Arial;sans-serif"/>
          <w:b w:val="false"/>
          <w:color w:val="000000"/>
          <w:sz w:val="20"/>
        </w:rPr>
        <w:t>are accounted for as highly inflationary economies. Argentina and Türkiye represent 1.6% and 0.5% of our consolidated net revenues with remeasurement losses of $8 million and $1 million for the three months ended June 30, 2024, respectively, and 1.5% and 0.7% of our consolidated net revenues with remeasurement losses of $10 million and $7 million for the six months ended June 30, 2024</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Given the continued volatility of these currencies, impacts to our financial statements in future periods could be significantly different from historical levels.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$72 million as of June 30, 2024 and $74 million as of December 31, 2023. Total cash, cash equivalents and restricted cash was $1,471 million as of June 30, 2024 and $1,884 million as of December 31,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49935"/>
                <wp:effectExtent l="0" t="0" r="0" b="0"/>
                <wp:wrapNone/>
                <wp:docPr id="21" name="Frame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Allowances for Credit Losses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allowances for credit losses consisted of:</w:t>
      </w:r>
    </w:p>
    <w:tbl>
      <w:tblPr>
        <w:tblW w:w="10205" w:type="dxa"/>
        <w:jc w:val="center"/>
        <w:tblInd w:w="0" w:type="dxa"/>
        <w:tblLayout w:type="fixed"/>
        <w:tblCellMar>
          <w:top w:w="28" w:type="dxa"/>
          <w:left w:w="28" w:type="dxa"/>
          <w:bottom w:w="28" w:type="dxa"/>
          <w:right w:w="28" w:type="dxa"/>
        </w:tblCellMar>
      </w:tblPr>
      <w:tblGrid>
        <w:gridCol w:w="1192"/>
        <w:gridCol w:w="797"/>
        <w:gridCol w:w="800"/>
        <w:gridCol w:w="612"/>
        <w:gridCol w:w="1092"/>
        <w:gridCol w:w="319"/>
        <w:gridCol w:w="109"/>
        <w:gridCol w:w="109"/>
        <w:gridCol w:w="109"/>
        <w:gridCol w:w="728"/>
        <w:gridCol w:w="1299"/>
        <w:gridCol w:w="380"/>
        <w:gridCol w:w="109"/>
        <w:gridCol w:w="109"/>
        <w:gridCol w:w="109"/>
        <w:gridCol w:w="662"/>
        <w:gridCol w:w="1181"/>
        <w:gridCol w:w="489"/>
      </w:tblGrid>
      <w:tr>
        <w:trPr/>
        <w:tc>
          <w:tcPr>
            <w:tcW w:w="11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Other Current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Long-Term Receivables</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2024</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recovery for expected credit losses</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the allowance</w:t>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2"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and other</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Transfers of Financial Assets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outstanding principal amount of receivables under our uncommitted revolving non-recourse accounts receivable factoring arrangements amounted to $739 million as of June 30, 2024 and $262 million as of December 31, 2023. The incremental cost of factoring receivables under this arrangement was not material for all periods presented. The proceeds from the sales of receivables are included in cash from operating activities in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Non-Cash Lease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$53 million in operating lease and $68 million in finance lease right-of-use assets obtained in exchange for lease obligations during the six months ended June 30, 2024 and $62 million in operating lease and $73 million in finance lease right-of-use assets obtained in exchange for lease obligations during the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We have been informed by the participating financial institutions that our outstanding accounts payable related to suppliers that participate in the SCF programs was $2.7 billion and $2.4 billion, respectively, as of June 30, 2024 and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We adopted, with the exception of the roll-forward requirement, this standard in the first quarter of 2023 and it did not have a material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2023, the FASB issued an ASU which improves reportable segment disclosure requirements, primarily through enhanced disclosures about significant segment expenses. The ASU is effective for fiscal years beginning after December 15, 2023 and early adoption is permitted. We are currently assessing the impact on our consolidated financial statements and related segment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the FASB issued an ASU which enhances the transparency of income tax disclosures, primarily related to the rate reconciliation and income taxes paid information. The ASU is effective for fiscal years beginning after December 15, 2024 and early adoption is permitted. We are currently assessing the impact on our consolidated financial statements and related disclosures.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9935"/>
                <wp:effectExtent l="0" t="0" r="0" b="0"/>
                <wp:wrapNone/>
                <wp:docPr id="24" name="Frame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 Divestitures </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i/>
          <w:color w:val="000000"/>
          <w:sz w:val="20"/>
        </w:rPr>
      </w:pPr>
      <w:r>
        <w:rPr>
          <w:rFonts w:ascii="Arial;sans-serif" w:hAnsi="Arial;sans-serif"/>
          <w:b w:val="false"/>
          <w:i/>
          <w:color w:val="000000"/>
          <w:sz w:val="20"/>
        </w:rPr>
        <w:t>Developed Market Gum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 2023, we completed the sale of our developed market gum business in the United States, Canada and Europe to Perfetti Van Melle Group, excluding the Portugal business which we sold on October 23, 2023 after obtaining regulatory approval.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recorded divestiture-related costs of zero in the three months ended June 30, 2024 and $22 million in the three months ended June 30, 2023 and recorded divestiture-related costs of $4 million in the six months ended June 30, 2024 and $52 million in the six months ended June 30,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disposition was not considered a strategic shift that would have a major effect on our operations or financial results; therefore, the results of the disposed business were not classified as 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Inventories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379" w:type="dxa"/>
        <w:jc w:val="left"/>
        <w:tblInd w:w="0" w:type="dxa"/>
        <w:tblLayout w:type="fixed"/>
        <w:tblCellMar>
          <w:top w:w="28" w:type="dxa"/>
          <w:left w:w="28" w:type="dxa"/>
          <w:bottom w:w="28" w:type="dxa"/>
          <w:right w:w="28" w:type="dxa"/>
        </w:tblCellMar>
      </w:tblPr>
      <w:tblGrid>
        <w:gridCol w:w="630"/>
        <w:gridCol w:w="553"/>
        <w:gridCol w:w="556"/>
        <w:gridCol w:w="268"/>
        <w:gridCol w:w="823"/>
        <w:gridCol w:w="138"/>
        <w:gridCol w:w="109"/>
        <w:gridCol w:w="109"/>
        <w:gridCol w:w="109"/>
        <w:gridCol w:w="435"/>
        <w:gridCol w:w="1332"/>
        <w:gridCol w:w="3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reserves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Property, Plant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consisted of the following:</w:t>
      </w:r>
    </w:p>
    <w:tbl>
      <w:tblPr>
        <w:tblW w:w="6940" w:type="dxa"/>
        <w:jc w:val="center"/>
        <w:tblInd w:w="0" w:type="dxa"/>
        <w:tblLayout w:type="fixed"/>
        <w:tblCellMar>
          <w:top w:w="28" w:type="dxa"/>
          <w:left w:w="28" w:type="dxa"/>
          <w:bottom w:w="28" w:type="dxa"/>
          <w:right w:w="28" w:type="dxa"/>
        </w:tblCellMar>
      </w:tblPr>
      <w:tblGrid>
        <w:gridCol w:w="1195"/>
        <w:gridCol w:w="1050"/>
        <w:gridCol w:w="1055"/>
        <w:gridCol w:w="268"/>
        <w:gridCol w:w="823"/>
        <w:gridCol w:w="138"/>
        <w:gridCol w:w="109"/>
        <w:gridCol w:w="109"/>
        <w:gridCol w:w="109"/>
        <w:gridCol w:w="435"/>
        <w:gridCol w:w="1332"/>
        <w:gridCol w:w="317"/>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land improvements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building improvements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2024, capital expenditures of $666 million excluded $364 million of accrued capital expenditures remaining unpaid at June 30, 2024 and included payment for the $471 million of capital expenditures that were accrued and unpaid at December 31, 2023. For the six months ended June 30, 2023, capital expenditures of $495 million excluded $305 million of accrued capital expenditures remaining unpaid at June 30, 2023 and included payment for the $324 million of capital expenditures that were accrued and unpaid at December 31,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49935"/>
                <wp:effectExtent l="0" t="0" r="0" b="0"/>
                <wp:wrapNone/>
                <wp:docPr id="27" name="Frame1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Goodwill and Intangible Assets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goodwill consisted of:</w:t>
      </w:r>
    </w:p>
    <w:p>
      <w:pPr>
        <w:pStyle w:val="TextBody"/>
        <w:bidi w:val="0"/>
        <w:spacing w:before="0" w:after="0"/>
        <w:jc w:val="both"/>
        <w:rPr/>
      </w:pPr>
      <w:r>
        <w:rPr/>
      </w:r>
    </w:p>
    <w:tbl>
      <w:tblPr>
        <w:tblW w:w="9604" w:type="dxa"/>
        <w:jc w:val="left"/>
        <w:tblInd w:w="0" w:type="dxa"/>
        <w:tblLayout w:type="fixed"/>
        <w:tblCellMar>
          <w:top w:w="28" w:type="dxa"/>
          <w:left w:w="28" w:type="dxa"/>
          <w:bottom w:w="28" w:type="dxa"/>
          <w:right w:w="28" w:type="dxa"/>
        </w:tblCellMar>
      </w:tblPr>
      <w:tblGrid>
        <w:gridCol w:w="1267"/>
        <w:gridCol w:w="873"/>
        <w:gridCol w:w="664"/>
        <w:gridCol w:w="262"/>
        <w:gridCol w:w="803"/>
        <w:gridCol w:w="135"/>
        <w:gridCol w:w="109"/>
        <w:gridCol w:w="109"/>
        <w:gridCol w:w="109"/>
        <w:gridCol w:w="211"/>
        <w:gridCol w:w="646"/>
        <w:gridCol w:w="109"/>
        <w:gridCol w:w="109"/>
        <w:gridCol w:w="109"/>
        <w:gridCol w:w="109"/>
        <w:gridCol w:w="211"/>
        <w:gridCol w:w="646"/>
        <w:gridCol w:w="109"/>
        <w:gridCol w:w="109"/>
        <w:gridCol w:w="109"/>
        <w:gridCol w:w="109"/>
        <w:gridCol w:w="245"/>
        <w:gridCol w:w="873"/>
        <w:gridCol w:w="126"/>
        <w:gridCol w:w="109"/>
        <w:gridCol w:w="109"/>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2023</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Acquisitions </w:t>
            </w:r>
            <w:r>
              <w:rPr>
                <w:rFonts w:ascii="Arial;sans-serif" w:hAnsi="Arial;sans-serif"/>
                <w:b w:val="false"/>
                <w:color w:val="000000"/>
                <w:sz w:val="13"/>
              </w:rPr>
              <w:t>(1)</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(1)Purchase price allocation adjustments for Ricolino and Clif Bar during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Intangible assets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7"/>
        <w:gridCol w:w="409"/>
        <w:gridCol w:w="411"/>
        <w:gridCol w:w="228"/>
        <w:gridCol w:w="812"/>
        <w:gridCol w:w="117"/>
        <w:gridCol w:w="109"/>
        <w:gridCol w:w="109"/>
        <w:gridCol w:w="109"/>
        <w:gridCol w:w="275"/>
        <w:gridCol w:w="844"/>
        <w:gridCol w:w="142"/>
        <w:gridCol w:w="109"/>
        <w:gridCol w:w="109"/>
        <w:gridCol w:w="109"/>
        <w:gridCol w:w="224"/>
        <w:gridCol w:w="797"/>
        <w:gridCol w:w="115"/>
        <w:gridCol w:w="109"/>
        <w:gridCol w:w="109"/>
        <w:gridCol w:w="109"/>
        <w:gridCol w:w="228"/>
        <w:gridCol w:w="812"/>
        <w:gridCol w:w="117"/>
        <w:gridCol w:w="109"/>
        <w:gridCol w:w="109"/>
        <w:gridCol w:w="109"/>
        <w:gridCol w:w="275"/>
        <w:gridCol w:w="844"/>
        <w:gridCol w:w="142"/>
        <w:gridCol w:w="109"/>
        <w:gridCol w:w="109"/>
        <w:gridCol w:w="109"/>
        <w:gridCol w:w="223"/>
        <w:gridCol w:w="795"/>
        <w:gridCol w:w="173"/>
      </w:tblGrid>
      <w:tr>
        <w:trPr/>
        <w:tc>
          <w:tcPr>
            <w:tcW w:w="5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Definite-life intangible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Indefinite-life intangible assets </w:t>
            </w:r>
            <w:r>
              <w:rPr>
                <w:rFonts w:ascii="Arial;sans-serif" w:hAnsi="Arial;sans-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(1)In 2023, we recorded $26 million of intangible asset impairment charges related to a chocolate brand in the North America segment for $20 million and a biscuit brand in the Europe segment for $6 million in the third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Indefinite-life intangible assets consist principally of brand names purchased through our acquisitions of Nabisco Holdings Corp., the global </w:t>
      </w:r>
      <w:r>
        <w:rPr>
          <w:rFonts w:ascii="Arial;sans-serif" w:hAnsi="Arial;sans-serif"/>
          <w:b w:val="false"/>
          <w:i/>
          <w:color w:val="000000"/>
          <w:sz w:val="20"/>
        </w:rPr>
        <w:t>LU</w:t>
      </w:r>
      <w:r>
        <w:rPr>
          <w:color w:val="000000"/>
        </w:rPr>
        <w:t xml:space="preserve"> </w:t>
      </w:r>
      <w:r>
        <w:rPr>
          <w:rFonts w:ascii="Arial;sans-serif" w:hAnsi="Arial;sans-serif"/>
          <w:b w:val="false"/>
          <w:color w:val="000000"/>
          <w:sz w:val="20"/>
        </w:rPr>
        <w:t xml:space="preserve">biscuit business of Groupe Danone S.A., Cadbury Limited and Clif Bar. Definite-life intangible assets consist primarily of trademarks, customer-related intangibles, process technology, licenses and non-compete agreements.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Amortization expense for intangible assets was $37 million for the three months and $75 million for the six months ended June 30, 2024 and $37 million for the three months and $76 million for the six months ended June 30, 2023. For the next five years, we currently estimate annual amortization expense of approximately $125 million in 2024-2026 and approximately $90 million in 2027 and 2028 (reflecting June 30, 2024 exchange rates).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Impairment Assessment: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test our reporting units and brands for impairment annually as of July 1, or more frequently if events or circumstances indicate it is more likely than not that the fair value of a reporting unit or brand is less than its carrying amount. During the second quarter of 2024, we evaluated our goodwill impairment and intangible asset impairment risk through an assessment of potential triggering events. We considered qualitative and quantitative information in our assessment. We concluded there were no impairment indicators.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our 2023 annual indefinite-life intangible asset testing, we identified thirteen brands that each had a fair value in excess of book value of 10% or less. The aggregate book value of the thirteen brands was $3.5 billion as of June 30, 2024, of which $1.8 billion is related to five recently acquired brands. We believe our current plans for each of these brands will support the current carrying values, but if plans to grow brand earnings and expand margin are not met or specific valuation factors outside of our control, such as discount rates, change then a brand or brands could become impaired in the future.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49935"/>
                <wp:effectExtent l="0" t="0" r="0" b="0"/>
                <wp:wrapNone/>
                <wp:docPr id="30" name="Frame1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Investments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Marketable Securities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2023, our ownership in Keurig Dr Pepper Inc. (NASDAQ: "KDP") fell below 5% of the outstanding shares, resulting in a change of accounting for our KDP investment, from equity method investment accounting to accounting for equity interests with readily determinable fair values ("marketable securities") as we no longer had significant influence over KDP. Marketable securities are measured at fair value based on quoted prices in active markets for identical assets (Level 1).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8, 2023, we sold 23 million shares of KDP, which reduced our ownership by 1.6 percentage points, from 3.2% to 1.6% of the total outstanding shares. We received proceeds of approximately $708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2, 2023, we sold 30 million shares of KDP, which reduced our ownership by 2.1 percentage points, from 5.3% to 3.2% of the total outstanding shares. We received proceeds of approximately $1.0 billion and prior to the change of accounting for our KDP investment, recorded a pre-tax gain on equity method transactions of $493 million ($368 million after-tax) during the first quarter of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Subsequently in 2023, we sold the remainder of our shares of KDP and exited our investment in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(losses)/gains for marketable securities are summarized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41"/>
        <w:gridCol w:w="1708"/>
        <w:gridCol w:w="1718"/>
        <w:gridCol w:w="569"/>
        <w:gridCol w:w="1445"/>
        <w:gridCol w:w="293"/>
        <w:gridCol w:w="109"/>
        <w:gridCol w:w="109"/>
        <w:gridCol w:w="109"/>
        <w:gridCol w:w="548"/>
        <w:gridCol w:w="1251"/>
        <w:gridCol w:w="405"/>
      </w:tblGrid>
      <w:tr>
        <w:trPr/>
        <w:tc>
          <w:tcPr>
            <w:tcW w:w="1941"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5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2023</w:t>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(Loss)/gain on marketable securities sold during the period</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(loss)/gain on marketable securities held as of the end of the period</w:t>
            </w:r>
          </w:p>
        </w:tc>
        <w:tc>
          <w:tcPr>
            <w:tcW w:w="2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income and other</w:t>
            </w:r>
          </w:p>
        </w:tc>
        <w:tc>
          <w:tcPr>
            <w:tcW w:w="2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(loss)/gain on marketable securities</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table above, (loss)/gain on marketable securities sold during the period reflects the difference between the sale proceeds and the carrying value of the marketable securities at the beginning of the period or the date of the change of accounting for our investment in KDP, if later.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reported no marketable securities as of June 30, 2024 and December 31, 2023, and $705 million as of June 30, 2023 in </w:t>
      </w:r>
      <w:r>
        <w:rPr>
          <w:rFonts w:ascii="Arial;sans-serif" w:hAnsi="Arial;sans-serif"/>
          <w:b w:val="false"/>
          <w:i/>
          <w:color w:val="000000"/>
          <w:sz w:val="20"/>
        </w:rPr>
        <w:t>Other current assets</w:t>
      </w:r>
      <w:r>
        <w:rPr>
          <w:color w:val="000000"/>
        </w:rPr>
        <w:t xml:space="preserve"> </w:t>
      </w:r>
      <w:r>
        <w:rPr>
          <w:rFonts w:ascii="Arial;sans-serif" w:hAnsi="Arial;sans-serif"/>
          <w:b w:val="false"/>
          <w:color w:val="000000"/>
          <w:sz w:val="20"/>
        </w:rPr>
        <w:t>in the condensed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Equity Method Investments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June 30, 2024, we owned 17.7%, 50.0% and 49.0%, respectively, of these companies' outstanding shares. We continue to have board representation with two directors on JDEP's Board of Directors and have retained certain additional governance rights. As we continue to have significant influence, we continue to account for our investment in JDEP under the equity method.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investments accounted for under the equity method of accounting totaled $2.5 billion as of June 30, 2024 and $3.2 billion as of December 31, 2023. We recorded equity earnings of $48 million and cash dividends of $2 million in the three months ended June 30, 2024, and equity earnings of $71 million and cash dividends of zero in the three months ended June 30, 2023. We recorded equity earnings of $79 million and cash dividends of $82 million in the six months ended June 30, 2024 and equity earnings of $106 million and cash dividends of $102 million in the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the quoted closing prices as of June 30, 2024, the fair value of our publicly-traded investment in JDEP was $1.7 billion, and there was no other than temporary impairment identified during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49935"/>
                <wp:effectExtent l="0" t="0" r="0" b="0"/>
                <wp:wrapNone/>
                <wp:docPr id="33" name="Frame1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During the three months ended March 31, 2024, we determined there was an other-than-temporary impairment based on the period of time for which the quoted market price fair value had been less than the carrying value of the investment and the uncertainty surrounding JDEP's stock price recovering to the carrying value. As a result, the investment was written down to its estimated fair value based on the closing price of the underlying equity security of €19.46 per share on March 28, 2024, resulting in an impairment charge of €612 million ($665 million). This charge was included within </w:t>
      </w:r>
      <w:r>
        <w:rPr>
          <w:rFonts w:ascii="Arial;sans-serif" w:hAnsi="Arial;sans-serif"/>
          <w:b w:val="false"/>
          <w:i/>
          <w:color w:val="000000"/>
          <w:sz w:val="20"/>
        </w:rPr>
        <w:t xml:space="preserve">(Loss)/gain on equity method investment transactions including impairments </w:t>
      </w:r>
      <w:r>
        <w:rPr>
          <w:rFonts w:ascii="Arial;sans-serif" w:hAnsi="Arial;sans-serif"/>
          <w:b w:val="false"/>
          <w:color w:val="000000"/>
          <w:sz w:val="20"/>
        </w:rPr>
        <w:t>in the condensed consolidated statement of earnings. There was no other than temporary impairment identified in the three and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JDEP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3, 2023, we sold approximately 7.7 million shares of JDEP, which reduced our ownership by 1.6 percentage points, from 19.7% to 18.1% of the total outstanding shares. We received cash proceeds of €198 million ($217 million) and recorded a loss of €18 million ($19 million) on this sale during the three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30, 2023, we issued options to sell shares of JDEP in tranches equivalent to approximately 7.7 million shares. These options were exercisable at their maturities which were between July 3, 2023 and September 29, 2023, with strike prices ranging from €26.10 to €28.71 per share. Subsequent to the three months ended June 30, 2023, we exercised options on 2.2 million of the 7.7 million shares.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2021, we issued €300 million exchangeable bonds, which are redeemable at maturity in September 2024 at their principal amount in cash or, at our option, through the delivery of an equivalent number of JDEP’s ordinary shares based on an initial exchange price of €35.40 and, as the case may be, an additional amount in cash. If all bonds were redeemed in exchange for JDEP's shares, this would represent approximately 8.5 million shares or approximately 10% of our equity interest in JDEP as of June 30,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Restructuring Program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$5.3 billion related to the Simplify to Grow Program. We expect to incur the remainder of the program charges by year-end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9935"/>
                <wp:effectExtent l="0" t="0" r="0" b="0"/>
                <wp:wrapNone/>
                <wp:docPr id="36" name="Frame1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Simplify to Grow Program liability activity for the six months ended June 30, 2024 was:</w:t>
      </w:r>
    </w:p>
    <w:tbl>
      <w:tblPr>
        <w:tblW w:w="7979" w:type="dxa"/>
        <w:jc w:val="left"/>
        <w:tblInd w:w="0" w:type="dxa"/>
        <w:tblLayout w:type="fixed"/>
        <w:tblCellMar>
          <w:top w:w="28" w:type="dxa"/>
          <w:left w:w="28" w:type="dxa"/>
          <w:bottom w:w="28" w:type="dxa"/>
          <w:right w:w="28" w:type="dxa"/>
        </w:tblCellMar>
      </w:tblPr>
      <w:tblGrid>
        <w:gridCol w:w="1222"/>
        <w:gridCol w:w="1072"/>
        <w:gridCol w:w="1080"/>
        <w:gridCol w:w="261"/>
        <w:gridCol w:w="595"/>
        <w:gridCol w:w="135"/>
        <w:gridCol w:w="109"/>
        <w:gridCol w:w="109"/>
        <w:gridCol w:w="109"/>
        <w:gridCol w:w="613"/>
        <w:gridCol w:w="1182"/>
        <w:gridCol w:w="319"/>
        <w:gridCol w:w="109"/>
        <w:gridCol w:w="109"/>
        <w:gridCol w:w="109"/>
        <w:gridCol w:w="211"/>
        <w:gridCol w:w="48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w:t>
              <w:br/>
              <w:t>and related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w:t>
            </w:r>
          </w:p>
          <w:p>
            <w:pPr>
              <w:pStyle w:val="TableContents"/>
              <w:bidi w:val="0"/>
              <w:spacing w:lineRule="auto" w:line="240" w:before="0" w:after="0"/>
              <w:jc w:val="center"/>
              <w:rPr/>
            </w:pPr>
            <w:r>
              <w:rPr>
                <w:rFonts w:ascii="Arial;sans-serif" w:hAnsi="Arial;sans-serif"/>
                <w:b/>
                <w:color w:val="000000"/>
                <w:sz w:val="16"/>
              </w:rPr>
              <w:t xml:space="preserve">Write-downs and Other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January 1, 2024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Charges</w:t>
            </w:r>
            <w:r>
              <w:rPr>
                <w:color w:val="000000"/>
              </w:rPr>
              <w:t xml:space="preserve"> </w:t>
            </w:r>
            <w:r>
              <w:rPr>
                <w:rFonts w:ascii="Arial;sans-serif" w:hAnsi="Arial;sans-serif"/>
                <w:b w:val="false"/>
                <w:color w:val="000000"/>
                <w:sz w:val="13"/>
              </w:rPr>
              <w:t>(2)</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spent</w:t>
            </w:r>
            <w:r>
              <w:rPr>
                <w:color w:val="000000"/>
              </w:rPr>
              <w:t xml:space="preserve"> </w:t>
            </w:r>
            <w:r>
              <w:rPr>
                <w:rFonts w:ascii="Arial;sans-serif" w:hAnsi="Arial;sans-serif"/>
                <w:b w:val="false"/>
                <w:color w:val="000000"/>
                <w:sz w:val="13"/>
              </w:rPr>
              <w:t>(3)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Non-cash settlements/adjustments </w:t>
            </w:r>
            <w:r>
              <w:rPr>
                <w:rFonts w:ascii="Arial;sans-serif" w:hAnsi="Arial;sans-serif"/>
                <w:b w:val="false"/>
                <w:color w:val="000000"/>
                <w:sz w:val="13"/>
              </w:rPr>
              <w:t>(4)</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Liability balance, June 30, 2024 </w:t>
            </w:r>
            <w:r>
              <w:rPr>
                <w:rFonts w:ascii="Arial;sans-serif" w:hAnsi="Arial;sans-serif"/>
                <w:b w:val="false"/>
                <w:color w:val="000000"/>
                <w:sz w:val="13"/>
              </w:rPr>
              <w:t>(5)</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gains as a result of assets sold which are included in the restructuring program.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(2)We recorded restructuring charges of $3 million in the three months ended June 30, 2024 and restructuring charges of $2 million in the three months ended June 30, 2023 and restructuring charges of $45 million in the six months ended June 30, 2024 and $32 million in the six months ended June 30, 2023 within asset impairment and exit costs and benefit plan non-service income.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(3)We spent $10 million in the three months ended June 30, 2024 and $17 million in the three months ended June 30, 2023 and spent $23 million in the six months ended June 30, 2024 and $35 million in the six months ended June 30, 2023 in cash severance and related costs.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(4)We recognized non-cash asset write-downs (including accelerated depreciation and asset impairments) and other non-cash adjustments, including any gains on sale of restructuring program assets, which totaled a charge of $5 million in the three months ended June 30, 2024 and a charge of $5 million in the three months ended June 30, 2023 and a charge of $6 million in the six months ended June 30, 2024 and $6 million in the six months ended June 30, 2023.</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(5)At June 30, 2024, $114 million of our net restructuring liability was recorded within other current liabilities and $87 million was recorded within other long-term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Implementation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Implementation costs are directly attributable to restructuring activities; however, they do not qualify for special accounting treatment as exit or disposal activities. We believe the disclosure of implementation costs provides readers of our financial statements with additional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$12 million in the three months ended June 30, 2024 and $4 million in the three months ended June 30, 2023, and we recorded implementation costs of $23 million in the six months ended June 30, 2024 and $9 million in the six months ended June 30, 2023. We recorded these costs within cost of sales and general corporate expense within selling, general and administrative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49935"/>
                <wp:effectExtent l="0" t="0" r="0" b="0"/>
                <wp:wrapNone/>
                <wp:docPr id="39" name="Frame1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and Implementation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2024 and June 30, 2023, and since inception of the Simplify to Grow Program, we recorded the following restructuring and implementation costs within segment operating income and earnings before income taxes:</w:t>
      </w:r>
    </w:p>
    <w:tbl>
      <w:tblPr>
        <w:tblW w:w="10205" w:type="dxa"/>
        <w:jc w:val="left"/>
        <w:tblInd w:w="0" w:type="dxa"/>
        <w:tblLayout w:type="fixed"/>
        <w:tblCellMar>
          <w:top w:w="28" w:type="dxa"/>
          <w:left w:w="28" w:type="dxa"/>
          <w:bottom w:w="28" w:type="dxa"/>
          <w:right w:w="28" w:type="dxa"/>
        </w:tblCellMar>
      </w:tblPr>
      <w:tblGrid>
        <w:gridCol w:w="1283"/>
        <w:gridCol w:w="918"/>
        <w:gridCol w:w="922"/>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37"/>
        <w:gridCol w:w="541"/>
        <w:gridCol w:w="123"/>
        <w:gridCol w:w="109"/>
        <w:gridCol w:w="109"/>
        <w:gridCol w:w="109"/>
        <w:gridCol w:w="211"/>
        <w:gridCol w:w="646"/>
        <w:gridCol w:w="155"/>
      </w:tblGrid>
      <w:tr>
        <w:trPr/>
        <w:tc>
          <w:tcPr>
            <w:tcW w:w="1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June 30, 2024</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June 30, 2023</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Six Months Ended June 30, 2024</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Six Months Ended June 30, 2023</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Project</w:t>
            </w:r>
            <w:r>
              <w:rPr>
                <w:color w:val="000000"/>
              </w:rPr>
              <w:t xml:space="preserve"> </w:t>
            </w:r>
            <w:r>
              <w:rPr>
                <w:rFonts w:ascii="Arial;sans-serif" w:hAnsi="Arial;sans-serif"/>
                <w:b/>
                <w:color w:val="000000"/>
                <w:sz w:val="16"/>
              </w:rPr>
              <w:t>(Inception to Date)</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5,346 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49935"/>
                <wp:effectExtent l="0" t="0" r="0" b="0"/>
                <wp:wrapNone/>
                <wp:docPr id="42" name="Frame1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8. Debt and Borrowing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short-term borrowings and related weighted-average interest rates consisted of:</w:t>
      </w:r>
    </w:p>
    <w:tbl>
      <w:tblPr>
        <w:tblW w:w="8233" w:type="dxa"/>
        <w:jc w:val="left"/>
        <w:tblInd w:w="0" w:type="dxa"/>
        <w:tblLayout w:type="fixed"/>
        <w:tblCellMar>
          <w:top w:w="28" w:type="dxa"/>
          <w:left w:w="28" w:type="dxa"/>
          <w:bottom w:w="28" w:type="dxa"/>
          <w:right w:w="28" w:type="dxa"/>
        </w:tblCellMar>
      </w:tblPr>
      <w:tblGrid>
        <w:gridCol w:w="902"/>
        <w:gridCol w:w="792"/>
        <w:gridCol w:w="795"/>
        <w:gridCol w:w="292"/>
        <w:gridCol w:w="667"/>
        <w:gridCol w:w="152"/>
        <w:gridCol w:w="109"/>
        <w:gridCol w:w="109"/>
        <w:gridCol w:w="109"/>
        <w:gridCol w:w="270"/>
        <w:gridCol w:w="271"/>
        <w:gridCol w:w="656"/>
        <w:gridCol w:w="109"/>
        <w:gridCol w:w="109"/>
        <w:gridCol w:w="109"/>
        <w:gridCol w:w="292"/>
        <w:gridCol w:w="667"/>
        <w:gridCol w:w="152"/>
        <w:gridCol w:w="135"/>
        <w:gridCol w:w="135"/>
        <w:gridCol w:w="135"/>
        <w:gridCol w:w="270"/>
        <w:gridCol w:w="271"/>
        <w:gridCol w:w="7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loans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uncommitted credit lines and committed credit lines available as of June 30, 2024 and December 31, 2023 include:</w:t>
      </w:r>
    </w:p>
    <w:tbl>
      <w:tblPr>
        <w:tblW w:w="9759" w:type="dxa"/>
        <w:jc w:val="left"/>
        <w:tblInd w:w="0" w:type="dxa"/>
        <w:tblLayout w:type="fixed"/>
        <w:tblCellMar>
          <w:top w:w="28" w:type="dxa"/>
          <w:left w:w="28" w:type="dxa"/>
          <w:bottom w:w="28" w:type="dxa"/>
          <w:right w:w="28" w:type="dxa"/>
        </w:tblCellMar>
      </w:tblPr>
      <w:tblGrid>
        <w:gridCol w:w="1021"/>
        <w:gridCol w:w="897"/>
        <w:gridCol w:w="902"/>
        <w:gridCol w:w="359"/>
        <w:gridCol w:w="820"/>
        <w:gridCol w:w="185"/>
        <w:gridCol w:w="109"/>
        <w:gridCol w:w="109"/>
        <w:gridCol w:w="109"/>
        <w:gridCol w:w="476"/>
        <w:gridCol w:w="850"/>
        <w:gridCol w:w="249"/>
        <w:gridCol w:w="109"/>
        <w:gridCol w:w="109"/>
        <w:gridCol w:w="109"/>
        <w:gridCol w:w="359"/>
        <w:gridCol w:w="820"/>
        <w:gridCol w:w="185"/>
        <w:gridCol w:w="121"/>
        <w:gridCol w:w="121"/>
        <w:gridCol w:w="121"/>
        <w:gridCol w:w="461"/>
        <w:gridCol w:w="821"/>
        <w:gridCol w:w="33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Uncommitted credit facilities</w:t>
            </w:r>
            <w:r>
              <w:rPr>
                <w:color w:val="000000"/>
              </w:rPr>
              <w:t xml:space="preserve"> </w:t>
            </w:r>
            <w:r>
              <w:rPr>
                <w:rFonts w:ascii="Arial;sans-serif" w:hAnsi="Arial;sans-serif"/>
                <w:b w:val="false"/>
                <w:color w:val="000000"/>
                <w:sz w:val="13"/>
              </w:rPr>
              <w:t>(1)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19, 2025 </w:t>
            </w:r>
            <w:r>
              <w:rPr>
                <w:rFonts w:ascii="Arial;sans-serif" w:hAnsi="Arial;sans-serif"/>
                <w:b w:val="false"/>
                <w:color w:val="000000"/>
                <w:sz w:val="13"/>
              </w:rPr>
              <w:t>(2)</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23, 2027 </w:t>
            </w:r>
            <w:r>
              <w:rPr>
                <w:rFonts w:ascii="Arial;sans-serif" w:hAnsi="Arial;sans-serif"/>
                <w:b w:val="false"/>
                <w:color w:val="000000"/>
                <w:sz w:val="13"/>
              </w:rPr>
              <w:t>(2)</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Various </w:t>
            </w:r>
            <w:r>
              <w:rPr>
                <w:rFonts w:ascii="Arial;sans-serif" w:hAnsi="Arial;sans-serif"/>
                <w:b w:val="false"/>
                <w:color w:val="000000"/>
                <w:sz w:val="13"/>
              </w:rPr>
              <w:t>(3)</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(1)Prior year facility amount has been revised.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June 30, 2024, we complied with this covenant as our shareholders' equity, as defined by the covenant, was $39.2 billion. The revolving credit facility also contains customary representations, covenants and events of default. There are no credit rating triggers, provisions or other financial covenants that could require us to post collateral as security.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(3)On April 18, 2023, and subsequently amended on October 3, 2023 and April 4, 2024, we entered into a credit facility secured by pledged deposits classified as long-term other assets. Draw downs on the facility bear a variable rate based on SOFR plus applicable margin. On April 5, 2024, we drew down $0.15 billion which is due on February 15,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Repayments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2024, we repaid the following notes (in millions):</w:t>
      </w:r>
    </w:p>
    <w:p>
      <w:pPr>
        <w:pStyle w:val="TextBody"/>
        <w:bidi w:val="0"/>
        <w:spacing w:before="0" w:after="0"/>
        <w:jc w:val="both"/>
        <w:rPr/>
      </w:pPr>
      <w:r>
        <w:rPr/>
      </w:r>
    </w:p>
    <w:tbl>
      <w:tblPr>
        <w:tblW w:w="5390"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84"/>
        <w:gridCol w:w="384"/>
        <w:gridCol w:w="386"/>
        <w:gridCol w:w="109"/>
        <w:gridCol w:w="109"/>
        <w:gridCol w:w="109"/>
        <w:gridCol w:w="250"/>
        <w:gridCol w:w="250"/>
        <w:gridCol w:w="251"/>
        <w:gridCol w:w="109"/>
        <w:gridCol w:w="109"/>
        <w:gridCol w:w="109"/>
        <w:gridCol w:w="404"/>
        <w:gridCol w:w="404"/>
        <w:gridCol w:w="57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USD Equivalent</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2023, we did not complete any debt repayments.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Issuances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2024, we issued the following notes (in millions):</w:t>
      </w:r>
    </w:p>
    <w:p>
      <w:pPr>
        <w:pStyle w:val="TextBody"/>
        <w:bidi w:val="0"/>
        <w:spacing w:before="0" w:after="0"/>
        <w:jc w:val="both"/>
        <w:rPr/>
      </w:pPr>
      <w:r>
        <w:rPr/>
      </w:r>
    </w:p>
    <w:tbl>
      <w:tblPr>
        <w:tblW w:w="9359"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369"/>
        <w:gridCol w:w="369"/>
        <w:gridCol w:w="371"/>
        <w:gridCol w:w="109"/>
        <w:gridCol w:w="109"/>
        <w:gridCol w:w="109"/>
        <w:gridCol w:w="449"/>
        <w:gridCol w:w="449"/>
        <w:gridCol w:w="451"/>
        <w:gridCol w:w="109"/>
        <w:gridCol w:w="109"/>
        <w:gridCol w:w="109"/>
        <w:gridCol w:w="514"/>
        <w:gridCol w:w="514"/>
        <w:gridCol w:w="516"/>
        <w:gridCol w:w="109"/>
        <w:gridCol w:w="109"/>
        <w:gridCol w:w="109"/>
        <w:gridCol w:w="786"/>
        <w:gridCol w:w="786"/>
        <w:gridCol w:w="1113"/>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Gross Proceeds</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Gross Proceeds USD Equivalent</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(1)Represents gross proceeds from the issuance of notes excluding debt issuance costs, discounts and premiums.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9935"/>
                <wp:effectExtent l="0" t="0" r="0" b="0"/>
                <wp:wrapNone/>
                <wp:docPr id="45" name="Frame1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six months ended June 30, 2023, we did not complete any debt issuances.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3, 2024, we issued C$650 million ($473 million) of 4.625% notes due July 2031.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Our 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our short-term borrowings reflects current market interest rates and approximates the amounts we have recorded on our consolidated balance sheets. The fair value of our long-term debt was determined using quoted prices in active markets (Level 1 valuation data) for the publicly traded debt obligations. </w:t>
      </w:r>
    </w:p>
    <w:p>
      <w:pPr>
        <w:pStyle w:val="TextBody"/>
        <w:bidi w:val="0"/>
        <w:spacing w:before="0" w:after="0"/>
        <w:jc w:val="both"/>
        <w:rPr/>
      </w:pPr>
      <w:r>
        <w:rPr/>
      </w:r>
    </w:p>
    <w:tbl>
      <w:tblPr>
        <w:tblW w:w="5440" w:type="dxa"/>
        <w:jc w:val="left"/>
        <w:tblInd w:w="0" w:type="dxa"/>
        <w:tblLayout w:type="fixed"/>
        <w:tblCellMar>
          <w:top w:w="28" w:type="dxa"/>
          <w:left w:w="28" w:type="dxa"/>
          <w:bottom w:w="28" w:type="dxa"/>
          <w:right w:w="28" w:type="dxa"/>
        </w:tblCellMar>
      </w:tblPr>
      <w:tblGrid>
        <w:gridCol w:w="505"/>
        <w:gridCol w:w="444"/>
        <w:gridCol w:w="445"/>
        <w:gridCol w:w="322"/>
        <w:gridCol w:w="1147"/>
        <w:gridCol w:w="166"/>
        <w:gridCol w:w="109"/>
        <w:gridCol w:w="109"/>
        <w:gridCol w:w="109"/>
        <w:gridCol w:w="394"/>
        <w:gridCol w:w="1403"/>
        <w:gridCol w:w="287"/>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and Other Expense, net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other expense, net consisted of:</w:t>
      </w:r>
    </w:p>
    <w:tbl>
      <w:tblPr>
        <w:tblW w:w="9436" w:type="dxa"/>
        <w:jc w:val="left"/>
        <w:tblInd w:w="0" w:type="dxa"/>
        <w:tblLayout w:type="fixed"/>
        <w:tblCellMar>
          <w:top w:w="28" w:type="dxa"/>
          <w:left w:w="28" w:type="dxa"/>
          <w:bottom w:w="28" w:type="dxa"/>
          <w:right w:w="28" w:type="dxa"/>
        </w:tblCellMar>
      </w:tblPr>
      <w:tblGrid>
        <w:gridCol w:w="1647"/>
        <w:gridCol w:w="1443"/>
        <w:gridCol w:w="1454"/>
        <w:gridCol w:w="259"/>
        <w:gridCol w:w="591"/>
        <w:gridCol w:w="133"/>
        <w:gridCol w:w="133"/>
        <w:gridCol w:w="133"/>
        <w:gridCol w:w="133"/>
        <w:gridCol w:w="259"/>
        <w:gridCol w:w="591"/>
        <w:gridCol w:w="133"/>
        <w:gridCol w:w="109"/>
        <w:gridCol w:w="109"/>
        <w:gridCol w:w="109"/>
        <w:gridCol w:w="235"/>
        <w:gridCol w:w="537"/>
        <w:gridCol w:w="121"/>
        <w:gridCol w:w="121"/>
        <w:gridCol w:w="121"/>
        <w:gridCol w:w="121"/>
        <w:gridCol w:w="235"/>
        <w:gridCol w:w="537"/>
        <w:gridCol w:w="172"/>
      </w:tblGrid>
      <w:tr>
        <w:trPr/>
        <w:tc>
          <w:tcPr>
            <w:tcW w:w="164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debt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debt extinguishment and related expenses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Other income, net includes amounts excluded from hedge effectiveness related to our net investment hedge derivative contracts and movement in foreign currency exchange rates on certain foreign currency denominated assets and liabilities and related economic hedges. Refer to Note 9, </w:t>
      </w:r>
      <w:r>
        <w:rPr>
          <w:rFonts w:ascii="Arial;sans-serif" w:hAnsi="Arial;sans-serif"/>
          <w:b w:val="false"/>
          <w:i/>
          <w:color w:val="000000"/>
          <w:sz w:val="20"/>
        </w:rPr>
        <w:t>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49935"/>
                <wp:effectExtent l="0" t="0" r="0" b="0"/>
                <wp:wrapNone/>
                <wp:docPr id="48" name="Frame1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9. Financial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Derivative Instruments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instruments were recorded at fair value in the condensed consolidated balance sheets as follows:</w:t>
      </w:r>
    </w:p>
    <w:tbl>
      <w:tblPr>
        <w:tblW w:w="8950" w:type="dxa"/>
        <w:jc w:val="left"/>
        <w:tblInd w:w="0" w:type="dxa"/>
        <w:tblLayout w:type="fixed"/>
        <w:tblCellMar>
          <w:top w:w="28" w:type="dxa"/>
          <w:left w:w="28" w:type="dxa"/>
          <w:bottom w:w="28" w:type="dxa"/>
          <w:right w:w="28" w:type="dxa"/>
        </w:tblCellMar>
      </w:tblPr>
      <w:tblGrid>
        <w:gridCol w:w="1457"/>
        <w:gridCol w:w="1279"/>
        <w:gridCol w:w="1284"/>
        <w:gridCol w:w="213"/>
        <w:gridCol w:w="652"/>
        <w:gridCol w:w="111"/>
        <w:gridCol w:w="109"/>
        <w:gridCol w:w="109"/>
        <w:gridCol w:w="109"/>
        <w:gridCol w:w="213"/>
        <w:gridCol w:w="652"/>
        <w:gridCol w:w="111"/>
        <w:gridCol w:w="109"/>
        <w:gridCol w:w="109"/>
        <w:gridCol w:w="109"/>
        <w:gridCol w:w="213"/>
        <w:gridCol w:w="652"/>
        <w:gridCol w:w="111"/>
        <w:gridCol w:w="109"/>
        <w:gridCol w:w="109"/>
        <w:gridCol w:w="109"/>
        <w:gridCol w:w="213"/>
        <w:gridCol w:w="652"/>
        <w:gridCol w:w="156"/>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Derivatives designated as</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accounting hedges: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investment hedge derivative contracts </w:t>
            </w:r>
            <w:r>
              <w:rPr>
                <w:rFonts w:ascii="Arial;sans-serif" w:hAnsi="Arial;sans-serif"/>
                <w:b w:val="false"/>
                <w:color w:val="000000"/>
                <w:sz w:val="13"/>
              </w:rPr>
              <w:t>(1)</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not designated as </w:t>
              <w:br/>
              <w:t>   accounting hedges: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sans-serif" w:hAnsi="Arial;sans-serif"/>
          <w:b w:val="false"/>
          <w:i/>
          <w:color w:val="000000"/>
          <w:sz w:val="16"/>
        </w:rPr>
        <w:t>Debt and Borrowing Arrangements</w:t>
      </w:r>
      <w:r>
        <w:rPr>
          <w:rFonts w:ascii="Arial;sans-serif" w:hAnsi="Arial;sans-serif"/>
          <w:b w:val="false"/>
          <w:color w:val="000000"/>
          <w:sz w:val="16"/>
        </w:rPr>
        <w:t>. Both net investment hedge derivative contracts and non-U.S. dollar denominated debt acting as net investment hedges are also disclosed in the</w:t>
      </w:r>
      <w:r>
        <w:rPr>
          <w:color w:val="000000"/>
        </w:rPr>
        <w:t xml:space="preserve"> </w:t>
      </w:r>
      <w:r>
        <w:rPr>
          <w:rFonts w:ascii="Arial;sans-serif" w:hAnsi="Arial;sans-serif"/>
          <w:b w:val="false"/>
          <w:i/>
          <w:color w:val="000000"/>
          <w:sz w:val="16"/>
        </w:rPr>
        <w:t>Derivative Volume</w:t>
      </w:r>
      <w:r>
        <w:rPr>
          <w:color w:val="000000"/>
        </w:rPr>
        <w:t xml:space="preserve"> </w:t>
      </w:r>
      <w:r>
        <w:rPr>
          <w:rFonts w:ascii="Arial;sans-serif" w:hAnsi="Arial;sans-serif"/>
          <w:b w:val="false"/>
          <w:color w:val="000000"/>
          <w:sz w:val="16"/>
        </w:rPr>
        <w:t xml:space="preserve">table and the </w:t>
      </w:r>
      <w:r>
        <w:rPr>
          <w:rFonts w:ascii="Arial;sans-serif" w:hAnsi="Arial;sans-serif"/>
          <w:b w:val="false"/>
          <w:i/>
          <w:color w:val="000000"/>
          <w:sz w:val="16"/>
        </w:rPr>
        <w:t>Hedges of Net Investments in International Operations</w:t>
      </w:r>
      <w:r>
        <w:rPr>
          <w:color w:val="000000"/>
        </w:rPr>
        <w:t xml:space="preserve"> </w:t>
      </w:r>
      <w:r>
        <w:rPr>
          <w:rFonts w:ascii="Arial;sans-serif" w:hAnsi="Arial;sans-serif"/>
          <w:b w:val="false"/>
          <w:color w:val="000000"/>
          <w:sz w:val="16"/>
        </w:rPr>
        <w:t>section appearing later in this footnote.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the fair value of our derivative instruments in the condensed consolidated balance sheet as follows:</w:t>
      </w:r>
    </w:p>
    <w:p>
      <w:pPr>
        <w:pStyle w:val="TextBody"/>
        <w:bidi w:val="0"/>
        <w:spacing w:before="0" w:after="0"/>
        <w:jc w:val="both"/>
        <w:rPr/>
      </w:pPr>
      <w:r>
        <w:rPr/>
      </w:r>
    </w:p>
    <w:tbl>
      <w:tblPr>
        <w:tblW w:w="5785" w:type="dxa"/>
        <w:jc w:val="left"/>
        <w:tblInd w:w="0" w:type="dxa"/>
        <w:tblLayout w:type="fixed"/>
        <w:tblCellMar>
          <w:top w:w="28" w:type="dxa"/>
          <w:left w:w="28" w:type="dxa"/>
          <w:bottom w:w="28" w:type="dxa"/>
          <w:right w:w="28" w:type="dxa"/>
        </w:tblCellMar>
      </w:tblPr>
      <w:tblGrid>
        <w:gridCol w:w="749"/>
        <w:gridCol w:w="658"/>
        <w:gridCol w:w="663"/>
        <w:gridCol w:w="266"/>
        <w:gridCol w:w="817"/>
        <w:gridCol w:w="137"/>
        <w:gridCol w:w="137"/>
        <w:gridCol w:w="137"/>
        <w:gridCol w:w="137"/>
        <w:gridCol w:w="435"/>
        <w:gridCol w:w="1332"/>
        <w:gridCol w:w="317"/>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(asset/(liability)) of our derivative instruments were determined using:</w:t>
      </w:r>
    </w:p>
    <w:tbl>
      <w:tblPr>
        <w:tblW w:w="9459" w:type="dxa"/>
        <w:jc w:val="left"/>
        <w:tblInd w:w="0" w:type="dxa"/>
        <w:tblLayout w:type="fixed"/>
        <w:tblCellMar>
          <w:top w:w="28" w:type="dxa"/>
          <w:left w:w="28" w:type="dxa"/>
          <w:bottom w:w="28" w:type="dxa"/>
          <w:right w:w="28" w:type="dxa"/>
        </w:tblCellMar>
      </w:tblPr>
      <w:tblGrid>
        <w:gridCol w:w="1048"/>
        <w:gridCol w:w="921"/>
        <w:gridCol w:w="925"/>
        <w:gridCol w:w="308"/>
        <w:gridCol w:w="943"/>
        <w:gridCol w:w="160"/>
        <w:gridCol w:w="109"/>
        <w:gridCol w:w="109"/>
        <w:gridCol w:w="109"/>
        <w:gridCol w:w="414"/>
        <w:gridCol w:w="797"/>
        <w:gridCol w:w="215"/>
        <w:gridCol w:w="109"/>
        <w:gridCol w:w="109"/>
        <w:gridCol w:w="109"/>
        <w:gridCol w:w="327"/>
        <w:gridCol w:w="1003"/>
        <w:gridCol w:w="171"/>
        <w:gridCol w:w="109"/>
        <w:gridCol w:w="109"/>
        <w:gridCol w:w="109"/>
        <w:gridCol w:w="340"/>
        <w:gridCol w:w="656"/>
        <w:gridCol w:w="250"/>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49935"/>
                <wp:effectExtent l="0" t="0" r="0" b="0"/>
                <wp:wrapNone/>
                <wp:docPr id="51" name="Frame1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tbl>
      <w:tblPr>
        <w:tblW w:w="9459" w:type="dxa"/>
        <w:jc w:val="left"/>
        <w:tblInd w:w="0" w:type="dxa"/>
        <w:tblLayout w:type="fixed"/>
        <w:tblCellMar>
          <w:top w:w="28" w:type="dxa"/>
          <w:left w:w="28" w:type="dxa"/>
          <w:bottom w:w="28" w:type="dxa"/>
          <w:right w:w="28" w:type="dxa"/>
        </w:tblCellMar>
      </w:tblPr>
      <w:tblGrid>
        <w:gridCol w:w="1049"/>
        <w:gridCol w:w="922"/>
        <w:gridCol w:w="923"/>
        <w:gridCol w:w="427"/>
        <w:gridCol w:w="762"/>
        <w:gridCol w:w="222"/>
        <w:gridCol w:w="109"/>
        <w:gridCol w:w="109"/>
        <w:gridCol w:w="109"/>
        <w:gridCol w:w="414"/>
        <w:gridCol w:w="797"/>
        <w:gridCol w:w="215"/>
        <w:gridCol w:w="109"/>
        <w:gridCol w:w="109"/>
        <w:gridCol w:w="109"/>
        <w:gridCol w:w="455"/>
        <w:gridCol w:w="810"/>
        <w:gridCol w:w="236"/>
        <w:gridCol w:w="109"/>
        <w:gridCol w:w="109"/>
        <w:gridCol w:w="109"/>
        <w:gridCol w:w="340"/>
        <w:gridCol w:w="656"/>
        <w:gridCol w:w="250"/>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Level 1 financial assets and liabilities consist of exchange-traded commodity futures and listed options. The fair value of these instruments is determined based on quoted market prices on commodity exchanges.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w:t>
      </w:r>
      <w:r>
        <w:rPr>
          <w:color w:val="000000"/>
        </w:rPr>
        <w:t xml:space="preserve"> </w:t>
      </w:r>
      <w:r>
        <w:rPr>
          <w:rFonts w:ascii="Arial;sans-serif" w:hAnsi="Arial;sans-serif"/>
          <w:b w:val="false"/>
          <w:color w:val="000000"/>
          <w:sz w:val="20"/>
        </w:rPr>
        <w:t>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 Volume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notional values of our hedging instruments were:</w:t>
      </w:r>
    </w:p>
    <w:tbl>
      <w:tblPr>
        <w:tblW w:w="8889" w:type="dxa"/>
        <w:jc w:val="left"/>
        <w:tblInd w:w="0" w:type="dxa"/>
        <w:tblLayout w:type="fixed"/>
        <w:tblCellMar>
          <w:top w:w="28" w:type="dxa"/>
          <w:left w:w="28" w:type="dxa"/>
          <w:bottom w:w="28" w:type="dxa"/>
          <w:right w:w="28" w:type="dxa"/>
        </w:tblCellMar>
      </w:tblPr>
      <w:tblGrid>
        <w:gridCol w:w="1900"/>
        <w:gridCol w:w="1671"/>
        <w:gridCol w:w="1678"/>
        <w:gridCol w:w="268"/>
        <w:gridCol w:w="823"/>
        <w:gridCol w:w="138"/>
        <w:gridCol w:w="109"/>
        <w:gridCol w:w="109"/>
        <w:gridCol w:w="109"/>
        <w:gridCol w:w="435"/>
        <w:gridCol w:w="1332"/>
        <w:gridCol w:w="317"/>
      </w:tblGrid>
      <w:tr>
        <w:trPr/>
        <w:tc>
          <w:tcPr>
            <w:tcW w:w="190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Commodity contracts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derivative contracts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Non-U.S. dollar debt designated as net investment hedges: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 notes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Swiss franc notes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Canadian dollar notes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49935"/>
                <wp:effectExtent l="0" t="0" r="0" b="0"/>
                <wp:wrapNone/>
                <wp:docPr id="54" name="Frame1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Cash Flow Hedges</w:t>
      </w:r>
    </w:p>
    <w:p>
      <w:pPr>
        <w:pStyle w:val="TextBody"/>
        <w:bidi w:val="0"/>
        <w:spacing w:lineRule="auto" w:line="288" w:before="0" w:after="0"/>
        <w:jc w:val="both"/>
        <w:rPr/>
      </w:pPr>
      <w:r>
        <w:rPr>
          <w:rFonts w:ascii="Arial;sans-serif" w:hAnsi="Arial;sans-serif"/>
          <w:b w:val="false"/>
          <w:color w:val="000000"/>
          <w:sz w:val="20"/>
        </w:rPr>
        <w:t xml:space="preserve">Cash flow hedge activity, net of taxes, is recorded within accumulated other comprehensive earnings/(losses). Refer to Note 13, </w:t>
      </w:r>
      <w:r>
        <w:rPr>
          <w:rFonts w:ascii="Arial;sans-serif" w:hAnsi="Arial;sans-serif"/>
          <w:b w:val="false"/>
          <w:i/>
          <w:color w:val="000000"/>
          <w:sz w:val="20"/>
        </w:rPr>
        <w:t>Reclassifications from Accumulated Other Comprehensive Income</w:t>
      </w:r>
      <w:r>
        <w:rPr>
          <w:color w:val="000000"/>
        </w:rPr>
        <w:t xml:space="preserve"> </w:t>
      </w:r>
      <w:r>
        <w:rPr>
          <w:rFonts w:ascii="Arial;sans-serif" w:hAnsi="Arial;sans-serif"/>
          <w:b w:val="false"/>
          <w:color w:val="000000"/>
          <w:sz w:val="20"/>
        </w:rPr>
        <w:t>for additional information on current period activity. Based on current market conditions, we would expect to transfer gains of $48 million (net of taxes) for interest rate cash flow hedges to earnings during the next 12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 Coverage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June 30, 2024, our longest dated cash flow hedges were interest rate swaps that hedge forecasted interest rate payments over the next 4 years, 6 months.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Hedges of Net Investments in International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investment hedge ("NIH") derivative contracts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enter into cross-currency interest rate swaps, forwards and options to hedge certain investments in our non-U.S. operations against movements in exchange rates. The aggregate notional value as of June 30, 2024 was $8.0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investment hedge derivative contract impacts on other comprehensive earnings and net earnings were: </w:t>
      </w:r>
    </w:p>
    <w:tbl>
      <w:tblPr>
        <w:tblW w:w="8481" w:type="dxa"/>
        <w:jc w:val="left"/>
        <w:tblInd w:w="0" w:type="dxa"/>
        <w:tblLayout w:type="fixed"/>
        <w:tblCellMar>
          <w:top w:w="28" w:type="dxa"/>
          <w:left w:w="28" w:type="dxa"/>
          <w:bottom w:w="28" w:type="dxa"/>
          <w:right w:w="28" w:type="dxa"/>
        </w:tblCellMar>
      </w:tblPr>
      <w:tblGrid>
        <w:gridCol w:w="1298"/>
        <w:gridCol w:w="1140"/>
        <w:gridCol w:w="1147"/>
        <w:gridCol w:w="291"/>
        <w:gridCol w:w="518"/>
        <w:gridCol w:w="150"/>
        <w:gridCol w:w="150"/>
        <w:gridCol w:w="150"/>
        <w:gridCol w:w="150"/>
        <w:gridCol w:w="291"/>
        <w:gridCol w:w="518"/>
        <w:gridCol w:w="150"/>
        <w:gridCol w:w="109"/>
        <w:gridCol w:w="109"/>
        <w:gridCol w:w="109"/>
        <w:gridCol w:w="249"/>
        <w:gridCol w:w="567"/>
        <w:gridCol w:w="128"/>
        <w:gridCol w:w="128"/>
        <w:gridCol w:w="128"/>
        <w:gridCol w:w="128"/>
        <w:gridCol w:w="249"/>
        <w:gridCol w:w="443"/>
        <w:gridCol w:w="181"/>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After-tax gain/(loss) on NIH contracts </w:t>
            </w:r>
            <w:r>
              <w:rPr>
                <w:rFonts w:ascii="Arial;sans-serif" w:hAnsi="Arial;sans-serif"/>
                <w:b w:val="false"/>
                <w:color w:val="000000"/>
                <w:sz w:val="13"/>
              </w:rPr>
              <w:t>(1)</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 </w:t>
      </w:r>
    </w:p>
    <w:tbl>
      <w:tblPr>
        <w:tblW w:w="10205" w:type="dxa"/>
        <w:jc w:val="left"/>
        <w:tblInd w:w="0" w:type="dxa"/>
        <w:tblLayout w:type="fixed"/>
        <w:tblCellMar>
          <w:top w:w="28" w:type="dxa"/>
          <w:left w:w="28" w:type="dxa"/>
          <w:bottom w:w="28" w:type="dxa"/>
          <w:right w:w="28" w:type="dxa"/>
        </w:tblCellMar>
      </w:tblPr>
      <w:tblGrid>
        <w:gridCol w:w="1965"/>
        <w:gridCol w:w="1726"/>
        <w:gridCol w:w="1730"/>
        <w:gridCol w:w="282"/>
        <w:gridCol w:w="503"/>
        <w:gridCol w:w="145"/>
        <w:gridCol w:w="145"/>
        <w:gridCol w:w="145"/>
        <w:gridCol w:w="145"/>
        <w:gridCol w:w="282"/>
        <w:gridCol w:w="503"/>
        <w:gridCol w:w="145"/>
        <w:gridCol w:w="109"/>
        <w:gridCol w:w="109"/>
        <w:gridCol w:w="109"/>
        <w:gridCol w:w="257"/>
        <w:gridCol w:w="460"/>
        <w:gridCol w:w="133"/>
        <w:gridCol w:w="133"/>
        <w:gridCol w:w="133"/>
        <w:gridCol w:w="133"/>
        <w:gridCol w:w="257"/>
        <w:gridCol w:w="460"/>
        <w:gridCol w:w="196"/>
      </w:tblGrid>
      <w:tr>
        <w:trPr/>
        <w:tc>
          <w:tcPr>
            <w:tcW w:w="1965"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Amounts excluded from the assessment of hedge effectiveness </w:t>
            </w:r>
            <w:r>
              <w:rPr>
                <w:rFonts w:ascii="Arial;sans-serif" w:hAnsi="Arial;sans-serif"/>
                <w:b w:val="false"/>
                <w:color w:val="000000"/>
                <w:sz w:val="13"/>
              </w:rPr>
              <w:t>(1)</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(1)We elected to record changes in the fair value of amounts excluded from the assessment of effectiveness in net earnings within interest and other expense,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Non-U.S. dollar debt designated as net investment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After-tax gains/(losses) related to hedges of net investments in international operations were recorded within the cumulative translation adjustment section of other comprehensive income and were:</w:t>
      </w:r>
    </w:p>
    <w:p>
      <w:pPr>
        <w:pStyle w:val="TextBody"/>
        <w:bidi w:val="0"/>
        <w:spacing w:before="0" w:after="0"/>
        <w:jc w:val="both"/>
        <w:rPr/>
      </w:pPr>
      <w:r>
        <w:rPr/>
      </w:r>
    </w:p>
    <w:tbl>
      <w:tblPr>
        <w:tblW w:w="6577" w:type="dxa"/>
        <w:jc w:val="left"/>
        <w:tblInd w:w="0" w:type="dxa"/>
        <w:tblLayout w:type="fixed"/>
        <w:tblCellMar>
          <w:top w:w="28" w:type="dxa"/>
          <w:left w:w="28" w:type="dxa"/>
          <w:bottom w:w="28" w:type="dxa"/>
          <w:right w:w="28" w:type="dxa"/>
        </w:tblCellMar>
      </w:tblPr>
      <w:tblGrid>
        <w:gridCol w:w="606"/>
        <w:gridCol w:w="534"/>
        <w:gridCol w:w="540"/>
        <w:gridCol w:w="281"/>
        <w:gridCol w:w="501"/>
        <w:gridCol w:w="145"/>
        <w:gridCol w:w="145"/>
        <w:gridCol w:w="145"/>
        <w:gridCol w:w="145"/>
        <w:gridCol w:w="281"/>
        <w:gridCol w:w="581"/>
        <w:gridCol w:w="145"/>
        <w:gridCol w:w="109"/>
        <w:gridCol w:w="109"/>
        <w:gridCol w:w="109"/>
        <w:gridCol w:w="255"/>
        <w:gridCol w:w="454"/>
        <w:gridCol w:w="131"/>
        <w:gridCol w:w="131"/>
        <w:gridCol w:w="131"/>
        <w:gridCol w:w="131"/>
        <w:gridCol w:w="255"/>
        <w:gridCol w:w="527"/>
        <w:gridCol w:w="186"/>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Swiss franc notes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Canadian notes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49935"/>
                <wp:effectExtent l="0" t="0" r="0" b="0"/>
                <wp:wrapNone/>
                <wp:docPr id="57" name="Frame2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Economic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gains/(losses) recorded in net earnings for economic hedges were: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27"/>
        <w:gridCol w:w="813"/>
        <w:gridCol w:w="816"/>
        <w:gridCol w:w="227"/>
        <w:gridCol w:w="548"/>
        <w:gridCol w:w="117"/>
        <w:gridCol w:w="117"/>
        <w:gridCol w:w="117"/>
        <w:gridCol w:w="117"/>
        <w:gridCol w:w="227"/>
        <w:gridCol w:w="519"/>
        <w:gridCol w:w="117"/>
        <w:gridCol w:w="109"/>
        <w:gridCol w:w="109"/>
        <w:gridCol w:w="109"/>
        <w:gridCol w:w="213"/>
        <w:gridCol w:w="654"/>
        <w:gridCol w:w="110"/>
        <w:gridCol w:w="110"/>
        <w:gridCol w:w="110"/>
        <w:gridCol w:w="110"/>
        <w:gridCol w:w="213"/>
        <w:gridCol w:w="487"/>
        <w:gridCol w:w="110"/>
        <w:gridCol w:w="109"/>
        <w:gridCol w:w="109"/>
        <w:gridCol w:w="109"/>
        <w:gridCol w:w="1040"/>
        <w:gridCol w:w="628"/>
        <w:gridCol w:w="904"/>
      </w:tblGrid>
      <w:tr>
        <w:trPr/>
        <w:tc>
          <w:tcPr>
            <w:tcW w:w="11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 of Gain/(Loss) Recognized in Earnings</w:t>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Selling, general and administrative expenses</w:t>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Equity method investment contracts </w:t>
            </w:r>
            <w:r>
              <w:rPr>
                <w:rFonts w:ascii="Arial;sans-serif" w:hAnsi="Arial;sans-serif"/>
                <w:b w:val="false"/>
                <w:color w:val="000000"/>
                <w:sz w:val="13"/>
              </w:rPr>
              <w:t>(1)</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 on equity method investment transactions</w:t>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 Equity method investment contracts consist of the bifurcated embedded derivative option that was a component of the September 20, 2021 €300 million exchangeable bonds issuance and terminates on September 20, 2024. Refer to Note 6, </w:t>
      </w:r>
      <w:r>
        <w:rPr>
          <w:rFonts w:ascii="Arial;sans-serif" w:hAnsi="Arial;sans-serif"/>
          <w:b w:val="false"/>
          <w:i/>
          <w:color w:val="000000"/>
          <w:sz w:val="16"/>
        </w:rPr>
        <w:t>Investments</w:t>
      </w:r>
      <w:r>
        <w:rPr>
          <w:rFonts w:ascii="Arial;sans-serif" w:hAnsi="Arial;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49935"/>
                <wp:effectExtent l="0" t="0" r="0" b="0"/>
                <wp:wrapNone/>
                <wp:docPr id="60" name="Frame2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Fair Value of Contingent Consideration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our contingent consideration liability activity:</w:t>
      </w:r>
    </w:p>
    <w:p>
      <w:pPr>
        <w:pStyle w:val="TextBody"/>
        <w:bidi w:val="0"/>
        <w:spacing w:before="0" w:after="0"/>
        <w:jc w:val="both"/>
        <w:rPr/>
      </w:pPr>
      <w:r>
        <w:rPr/>
      </w:r>
    </w:p>
    <w:tbl>
      <w:tblPr>
        <w:tblW w:w="7592" w:type="dxa"/>
        <w:jc w:val="left"/>
        <w:tblInd w:w="0" w:type="dxa"/>
        <w:tblLayout w:type="fixed"/>
        <w:tblCellMar>
          <w:top w:w="28" w:type="dxa"/>
          <w:left w:w="28" w:type="dxa"/>
          <w:bottom w:w="28" w:type="dxa"/>
          <w:right w:w="28" w:type="dxa"/>
        </w:tblCellMar>
      </w:tblPr>
      <w:tblGrid>
        <w:gridCol w:w="976"/>
        <w:gridCol w:w="859"/>
        <w:gridCol w:w="865"/>
        <w:gridCol w:w="259"/>
        <w:gridCol w:w="591"/>
        <w:gridCol w:w="133"/>
        <w:gridCol w:w="133"/>
        <w:gridCol w:w="133"/>
        <w:gridCol w:w="133"/>
        <w:gridCol w:w="259"/>
        <w:gridCol w:w="591"/>
        <w:gridCol w:w="133"/>
        <w:gridCol w:w="109"/>
        <w:gridCol w:w="109"/>
        <w:gridCol w:w="109"/>
        <w:gridCol w:w="235"/>
        <w:gridCol w:w="537"/>
        <w:gridCol w:w="121"/>
        <w:gridCol w:w="121"/>
        <w:gridCol w:w="121"/>
        <w:gridCol w:w="121"/>
        <w:gridCol w:w="235"/>
        <w:gridCol w:w="537"/>
        <w:gridCol w:w="172"/>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beginning of period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fair value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end of period</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Contingent consideration was recorded at fair value in the condensed consolidated balance sheets as follows:</w:t>
      </w:r>
    </w:p>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2024</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within long-term liabilities.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(2)The other contingent consideration liabilities are recorded at fair value, with $93 million and $132 million classified as other current liabilities at June 30, 2024 and December 31, 2023, respectively. Fair value adjustments are recorded in selling, general and administrative expenses in the condensed consolidated statement of earnings. Payment is expected to be made in the third quarter of 2024, and the majority will be classified within cash flows provided by operating activities in the consolidated statement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49935"/>
                <wp:effectExtent l="0" t="0" r="0" b="0"/>
                <wp:wrapNone/>
                <wp:docPr id="63" name="Frame2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Benefit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Pension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Components of Net Periodic Pension Cost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periodic pension cost/(benefit) consisted of the following:</w:t>
      </w:r>
    </w:p>
    <w:tbl>
      <w:tblPr>
        <w:tblW w:w="8848" w:type="dxa"/>
        <w:jc w:val="left"/>
        <w:tblInd w:w="0" w:type="dxa"/>
        <w:tblLayout w:type="fixed"/>
        <w:tblCellMar>
          <w:top w:w="28" w:type="dxa"/>
          <w:left w:w="28" w:type="dxa"/>
          <w:bottom w:w="28" w:type="dxa"/>
          <w:right w:w="28" w:type="dxa"/>
        </w:tblCellMar>
      </w:tblPr>
      <w:tblGrid>
        <w:gridCol w:w="1936"/>
        <w:gridCol w:w="900"/>
        <w:gridCol w:w="907"/>
        <w:gridCol w:w="307"/>
        <w:gridCol w:w="481"/>
        <w:gridCol w:w="158"/>
        <w:gridCol w:w="158"/>
        <w:gridCol w:w="158"/>
        <w:gridCol w:w="158"/>
        <w:gridCol w:w="307"/>
        <w:gridCol w:w="481"/>
        <w:gridCol w:w="158"/>
        <w:gridCol w:w="109"/>
        <w:gridCol w:w="109"/>
        <w:gridCol w:w="109"/>
        <w:gridCol w:w="279"/>
        <w:gridCol w:w="577"/>
        <w:gridCol w:w="144"/>
        <w:gridCol w:w="144"/>
        <w:gridCol w:w="144"/>
        <w:gridCol w:w="144"/>
        <w:gridCol w:w="279"/>
        <w:gridCol w:w="498"/>
        <w:gridCol w:w="203"/>
      </w:tblGrid>
      <w:tr>
        <w:trPr/>
        <w:tc>
          <w:tcPr>
            <w:tcW w:w="19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experience differences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and other expenses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periodic pension benefit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experience differences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Prior service cost</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and other expenses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periodic pension benefit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Employer Contributions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2024, we contributed $1 million to our U.S. pension plans and $52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2024, we plan to make further contributions of approximately $3 million to our U.S. plans and $26 million to our non-U.S. plans for the remainder of 2024. Our actual contributions may be different due to many factors, including changes in tax and other benefit laws, significant differences between expected and actual pension asset performance or interest rates.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Multiemployer Pension Plans</w:t>
      </w:r>
    </w:p>
    <w:p>
      <w:pPr>
        <w:pStyle w:val="TextBody"/>
        <w:bidi w:val="0"/>
        <w:spacing w:lineRule="auto" w:line="288" w:before="0" w:after="0"/>
        <w:jc w:val="both"/>
        <w:rPr/>
      </w:pPr>
      <w:r>
        <w:rPr>
          <w:rFonts w:ascii="Arial;sans-serif" w:hAnsi="Arial;sans-serif"/>
          <w:b w:val="false"/>
          <w:color w:val="000000"/>
          <w:sz w:val="20"/>
        </w:rPr>
        <w:t xml:space="preserve">On July 11, 2019, we received an undiscounted withdrawal liability assessment from the Bakery and Confectionery Union and Industry International Pension Fund totaling $491 million requiring pro-rata monthly payments over 20 years. We began making monthly payments during the third quarter of 2019. In connection with the discounted long-term liability, we recorded accreted interest of $3 million for the three months ended June 30, 2024 and $2 million for the three months ended June 30, 2023 and $5 million for the six months ended June 30, 2024 and 2023, within </w:t>
      </w:r>
      <w:r>
        <w:rPr>
          <w:rFonts w:ascii="Arial;sans-serif" w:hAnsi="Arial;sans-serif"/>
          <w:b w:val="false"/>
          <w:i/>
          <w:color w:val="000000"/>
          <w:sz w:val="20"/>
        </w:rPr>
        <w:t xml:space="preserve">Interest and other expense, net </w:t>
      </w:r>
      <w:r>
        <w:rPr>
          <w:rFonts w:ascii="Arial;sans-serif" w:hAnsi="Arial;sans-serif"/>
          <w:b w:val="false"/>
          <w:color w:val="000000"/>
          <w:sz w:val="20"/>
        </w:rPr>
        <w:t xml:space="preserve">in the condensed consolidated statement of earnings. As of June 30, 2024, the remaining discounted withdrawal liability was $320 million, with $16 million recorded in </w:t>
      </w:r>
      <w:r>
        <w:rPr>
          <w:rFonts w:ascii="Arial;sans-serif" w:hAnsi="Arial;sans-serif"/>
          <w:b w:val="false"/>
          <w:i/>
          <w:color w:val="000000"/>
          <w:sz w:val="20"/>
        </w:rPr>
        <w:t>Other current liabilities</w:t>
      </w:r>
      <w:r>
        <w:rPr>
          <w:color w:val="000000"/>
        </w:rPr>
        <w:t xml:space="preserve"> </w:t>
      </w:r>
      <w:r>
        <w:rPr>
          <w:rFonts w:ascii="Arial;sans-serif" w:hAnsi="Arial;sans-serif"/>
          <w:b w:val="false"/>
          <w:color w:val="000000"/>
          <w:sz w:val="20"/>
        </w:rPr>
        <w:t xml:space="preserve">and $304 million recorded in </w:t>
      </w:r>
      <w:r>
        <w:rPr>
          <w:rFonts w:ascii="Arial;sans-serif" w:hAnsi="Arial;sans-serif"/>
          <w:b w:val="false"/>
          <w:i/>
          <w:color w:val="000000"/>
          <w:sz w:val="20"/>
        </w:rPr>
        <w:t>Long-term other liabilities</w:t>
      </w:r>
      <w:r>
        <w:rPr>
          <w:color w:val="000000"/>
        </w:rPr>
        <w:t xml:space="preserve"> </w:t>
      </w:r>
      <w:r>
        <w:rPr>
          <w:rFonts w:ascii="Arial;sans-serif" w:hAnsi="Arial;sans-serif"/>
          <w:b w:val="false"/>
          <w:color w:val="000000"/>
          <w:sz w:val="20"/>
        </w:rPr>
        <w:t xml:space="preserve">in the condensed consolidated balance sheet.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and Postemployment Benefit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net periodic postretirement (benefit)/cost was $(2) million for the three months ended June 30, 2024 and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49935"/>
                <wp:effectExtent l="0" t="0" r="0" b="0"/>
                <wp:wrapNone/>
                <wp:docPr id="66" name="Frame2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million for the six months ended June 30, 2024 and $(2) million for the three and six months ended June 30, 2023. The net periodic postemployment cost was $6 million for the three months ended June 30, 2024 and $11 million for the six months ended June 30, 2024 and zero for the three months ended June 30, 2023 and $1 million for the six months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Stock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22, 2024, our shareholders approved the 2024 Performance Incentive Plan (the “2024 PIP”), which replaces our Amended and Restated 2005 Performance Incentive Plan (the “2005 Plan”). Under the 2024 PIP, we are now authorized to issue a maximum of 50.7 million shares of our Common Stock. As of May 2022, 2024, we may not make any grants under the 2005 Plan. As of June 30, 2024, there were 50.7 million shares available to be granted under the 2024 PIP.</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 activity is reflected below:</w:t>
      </w:r>
    </w:p>
    <w:tbl>
      <w:tblPr>
        <w:tblW w:w="9126" w:type="dxa"/>
        <w:jc w:val="left"/>
        <w:tblInd w:w="0" w:type="dxa"/>
        <w:tblLayout w:type="fixed"/>
        <w:tblCellMar>
          <w:top w:w="28" w:type="dxa"/>
          <w:left w:w="28" w:type="dxa"/>
          <w:bottom w:w="28" w:type="dxa"/>
          <w:right w:w="28" w:type="dxa"/>
        </w:tblCellMar>
      </w:tblPr>
      <w:tblGrid>
        <w:gridCol w:w="1125"/>
        <w:gridCol w:w="988"/>
        <w:gridCol w:w="992"/>
        <w:gridCol w:w="563"/>
        <w:gridCol w:w="563"/>
        <w:gridCol w:w="431"/>
        <w:gridCol w:w="109"/>
        <w:gridCol w:w="109"/>
        <w:gridCol w:w="109"/>
        <w:gridCol w:w="329"/>
        <w:gridCol w:w="329"/>
        <w:gridCol w:w="331"/>
        <w:gridCol w:w="109"/>
        <w:gridCol w:w="109"/>
        <w:gridCol w:w="109"/>
        <w:gridCol w:w="345"/>
        <w:gridCol w:w="345"/>
        <w:gridCol w:w="346"/>
        <w:gridCol w:w="109"/>
        <w:gridCol w:w="109"/>
        <w:gridCol w:w="109"/>
        <w:gridCol w:w="211"/>
        <w:gridCol w:w="481"/>
        <w:gridCol w:w="766"/>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Subject</w:t>
              <w:br/>
              <w:t>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or</w:t>
              <w:br/>
              <w:t>Grant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18,678,120 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2,261,810 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options issued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options granted</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2,267,960 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Options exercised </w:t>
            </w:r>
            <w:r>
              <w:rPr>
                <w:rFonts w:ascii="Arial;sans-serif" w:hAnsi="Arial;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(2,213,764)</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canceled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(239,408)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18,492,908 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(1)Cash received from options exercised was $17 million in the three months and $96 million in the six months ended June 30, 2024. The actual tax benefit realized and recorded in the provision for income taxes for the tax deductions from the option exercises totaled $1 million in the three months and $11 million in the six months ended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Performance Share Units and Other Stock-Based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performance share unit (PSU), deferred stock unit (DSU) and other stock-based activity is reflected below:</w:t>
      </w:r>
    </w:p>
    <w:tbl>
      <w:tblPr>
        <w:tblW w:w="9922" w:type="dxa"/>
        <w:jc w:val="left"/>
        <w:tblInd w:w="0" w:type="dxa"/>
        <w:tblLayout w:type="fixed"/>
        <w:tblCellMar>
          <w:top w:w="28" w:type="dxa"/>
          <w:left w:w="28" w:type="dxa"/>
          <w:bottom w:w="28" w:type="dxa"/>
          <w:right w:w="28" w:type="dxa"/>
        </w:tblCellMar>
      </w:tblPr>
      <w:tblGrid>
        <w:gridCol w:w="1146"/>
        <w:gridCol w:w="1007"/>
        <w:gridCol w:w="1011"/>
        <w:gridCol w:w="539"/>
        <w:gridCol w:w="541"/>
        <w:gridCol w:w="286"/>
        <w:gridCol w:w="109"/>
        <w:gridCol w:w="109"/>
        <w:gridCol w:w="109"/>
        <w:gridCol w:w="414"/>
        <w:gridCol w:w="414"/>
        <w:gridCol w:w="416"/>
        <w:gridCol w:w="109"/>
        <w:gridCol w:w="109"/>
        <w:gridCol w:w="109"/>
        <w:gridCol w:w="520"/>
        <w:gridCol w:w="520"/>
        <w:gridCol w:w="521"/>
        <w:gridCol w:w="109"/>
        <w:gridCol w:w="109"/>
        <w:gridCol w:w="109"/>
        <w:gridCol w:w="232"/>
        <w:gridCol w:w="529"/>
        <w:gridCol w:w="84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40" w:before="0" w:after="0"/>
              <w:jc w:val="center"/>
              <w:rPr/>
            </w:pPr>
            <w:r>
              <w:rPr>
                <w:rFonts w:ascii="Arial;sans-serif" w:hAnsi="Arial;sans-serif"/>
                <w:b/>
                <w:color w:val="000000"/>
                <w:sz w:val="16"/>
              </w:rPr>
              <w:t xml:space="preserve">Per Share </w:t>
            </w:r>
            <w:r>
              <w:rPr>
                <w:rFonts w:ascii="Arial;sans-serif" w:hAnsi="Arial;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40" w:before="0" w:after="0"/>
              <w:jc w:val="center"/>
              <w:rPr/>
            </w:pPr>
            <w:r>
              <w:rPr>
                <w:rFonts w:ascii="Arial;sans-serif" w:hAnsi="Arial;sans-serif"/>
                <w:b/>
                <w:color w:val="000000"/>
                <w:sz w:val="16"/>
              </w:rPr>
              <w:t xml:space="preserve">Fair Value </w:t>
            </w:r>
            <w:r>
              <w:rPr>
                <w:rFonts w:ascii="Arial;sans-serif" w:hAnsi="Arial;sans-serif"/>
                <w:b/>
                <w:color w:val="000000"/>
                <w:sz w:val="12"/>
              </w:rPr>
              <w:t>(3)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4,553,166 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787,110 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stock units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Additional shares granted </w:t>
            </w:r>
            <w:r>
              <w:rPr>
                <w:rFonts w:ascii="Arial;sans-serif" w:hAnsi="Arial;sans-serif"/>
                <w:b w:val="false"/>
                <w:color w:val="000000"/>
                <w:sz w:val="13"/>
              </w:rPr>
              <w:t>(1)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992,951 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shares granted</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2,351,551 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Vested </w:t>
            </w:r>
            <w:r>
              <w:rPr>
                <w:rFonts w:ascii="Arial;sans-serif" w:hAnsi="Arial;sans-serif"/>
                <w:b w:val="false"/>
                <w:color w:val="000000"/>
                <w:sz w:val="13"/>
              </w:rPr>
              <w:t>(2) (3)</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(1,972,046)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Forfeited </w:t>
            </w:r>
            <w:r>
              <w:rPr>
                <w:rFonts w:ascii="Arial;sans-serif" w:hAnsi="Arial;sans-serif"/>
                <w:b w:val="false"/>
                <w:color w:val="000000"/>
                <w:sz w:val="13"/>
              </w:rPr>
              <w:t>(2)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4,717,995 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PSUs and DSUs.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(2)Includes PSUs, DSUs and other stock-based awards.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(3)The actual tax benefit realized and recorded in the provision for income taxes for the tax deductions from the shares vested was zero in the three months and $7 million in the six months ended June 30, 2024.</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49935"/>
                <wp:effectExtent l="0" t="0" r="0" b="0"/>
                <wp:wrapNone/>
                <wp:docPr id="69" name="Frame2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Effective January 1, 2023, our Board of Directors approved a program authorizing the repurchase of $6.0 billion of our Common Stock through December 31, 2025. During the year ended December 31, 2023, we repurchased approximately $1.6 billion of Common Stock pursuant to this authorization. Repurchases under the program are determined by management and are wholly discretionary.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2024, we repurchased approximately 15 million shares of Common Stock at an average cost of $70.52 per share, or an aggregate cost of approximately $1.0 billion, all of which was paid during the period except for approximately $5 million settled in July 2024. All share repurchases were funded through available cash and commercial paper issuances. As of June 30, 2024, we have approximately $3.4 billion in remaining share repurchase capacity.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12. Commitments and Contingencies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previously disclosed, we have been cooperating with the investigation. In the fourth quarter of 2022, we had accrued (in accordance with U.S. GAAP), on a pre-tax basis, a liability of €300 million ($321 million) within other current liabilities in the consolidated balance sheet and selling, general and administrative expenses in the consolidated statement of earnings as an estimate of the possible cost to resolve this matter. During the fourth quarter of 2023, we adjusted our accrual to a liability of €340 million ($375 million). In the second quarter of 2024, we reached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49935"/>
                <wp:effectExtent l="0" t="0" r="0" b="0"/>
                <wp:wrapNone/>
                <wp:docPr id="72" name="Frame2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negotiated resolution in this matter and adjusted our accrual from a liability of €340 million to €337.5 million ($362 million), on a pre-tax basis. Pursuant to the agreed settlement, we plan to make payment in August 2024. We do not anticipate any modification of our business practices and agreements that would have a material impact on our ongoing business operations within the European Union.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Third-Party Guarantees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into third-party guarantees primarily to cover long-term obligations of our vendors. As part of these transactions, we guarantee that third parties will make contractual payments or achieve performance measures. As of June 30, 2024 and December 31, 2023, we had no material third-party guarantees recorded on our condensed consolidated balance sheet.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Tax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49935"/>
                <wp:effectExtent l="0" t="0" r="0" b="0"/>
                <wp:wrapNone/>
                <wp:docPr id="75" name="Frame2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13. Reclassifications from Accumulated Other Comprehensive Income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(losses)/gains of $(2) million in the second quarter of 2024 and $11 million in the second quarter of 2023 and $21 million in the first six months of 2024 and $41 million in the first six months of 2023.</w:t>
      </w:r>
    </w:p>
    <w:tbl>
      <w:tblPr>
        <w:tblW w:w="10205" w:type="dxa"/>
        <w:jc w:val="left"/>
        <w:tblInd w:w="0" w:type="dxa"/>
        <w:tblLayout w:type="fixed"/>
        <w:tblCellMar>
          <w:top w:w="28" w:type="dxa"/>
          <w:left w:w="28" w:type="dxa"/>
          <w:bottom w:w="28" w:type="dxa"/>
          <w:right w:w="28" w:type="dxa"/>
        </w:tblCellMar>
      </w:tblPr>
      <w:tblGrid>
        <w:gridCol w:w="1895"/>
        <w:gridCol w:w="1618"/>
        <w:gridCol w:w="1627"/>
        <w:gridCol w:w="196"/>
        <w:gridCol w:w="704"/>
        <w:gridCol w:w="109"/>
        <w:gridCol w:w="109"/>
        <w:gridCol w:w="109"/>
        <w:gridCol w:w="109"/>
        <w:gridCol w:w="196"/>
        <w:gridCol w:w="704"/>
        <w:gridCol w:w="109"/>
        <w:gridCol w:w="109"/>
        <w:gridCol w:w="109"/>
        <w:gridCol w:w="109"/>
        <w:gridCol w:w="196"/>
        <w:gridCol w:w="704"/>
        <w:gridCol w:w="109"/>
        <w:gridCol w:w="109"/>
        <w:gridCol w:w="109"/>
        <w:gridCol w:w="109"/>
        <w:gridCol w:w="196"/>
        <w:gridCol w:w="704"/>
        <w:gridCol w:w="157"/>
      </w:tblGrid>
      <w:tr>
        <w:trPr/>
        <w:tc>
          <w:tcPr>
            <w:tcW w:w="189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millions)</w:t>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Currency Translation Adjustments: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 and Other Benefit Plans:</w:t>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gain/(loss) arising during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actuarial gain/(loss)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of experience losses and prior service costs </w:t>
            </w:r>
            <w:r>
              <w:rPr>
                <w:rFonts w:ascii="Arial;sans-serif" w:hAnsi="Arial;sans-serif"/>
                <w:b w:val="false"/>
                <w:color w:val="000000"/>
                <w:sz w:val="10"/>
              </w:rPr>
              <w:t>(1)</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Settlement losses and other expenses </w:t>
            </w:r>
            <w:r>
              <w:rPr>
                <w:rFonts w:ascii="Arial;sans-serif" w:hAnsi="Arial;sans-serif"/>
                <w:b w:val="false"/>
                <w:color w:val="000000"/>
                <w:sz w:val="10"/>
              </w:rPr>
              <w:t>(1)</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 expense/(benefit) on reclassifications </w:t>
            </w:r>
            <w:r>
              <w:rPr>
                <w:rFonts w:ascii="Arial;sans-serif" w:hAnsi="Arial;sans-serif"/>
                <w:b w:val="false"/>
                <w:color w:val="000000"/>
                <w:sz w:val="10"/>
              </w:rPr>
              <w:t>(3)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 Cash Flow Hedges: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derivative gains/(losses)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derivative gain/(loss)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rate contracts</w:t>
            </w:r>
            <w:r>
              <w:rPr>
                <w:color w:val="000000"/>
              </w:rPr>
              <w:t xml:space="preserve"> </w:t>
            </w:r>
            <w:r>
              <w:rPr>
                <w:rFonts w:ascii="Arial;sans-serif" w:hAnsi="Arial;sans-serif"/>
                <w:b w:val="false"/>
                <w:color w:val="000000"/>
                <w:sz w:val="10"/>
              </w:rPr>
              <w:t>(2)</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expense/(benefit) on reclassifications</w:t>
            </w:r>
            <w:r>
              <w:rPr>
                <w:color w:val="000000"/>
              </w:rPr>
              <w:t xml:space="preserve"> </w:t>
            </w:r>
            <w:r>
              <w:rPr>
                <w:rFonts w:ascii="Arial;sans-serif" w:hAnsi="Arial;sans-serif"/>
                <w:b w:val="false"/>
                <w:color w:val="000000"/>
                <w:sz w:val="10"/>
              </w:rPr>
              <w:t>(3)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attributable to Mondelēz International:</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earnings/(losses)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 attributable to Mondelēz International</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(1)These reclassified losses are included in net periodic benefit costs disclosed in Note 10, </w:t>
      </w:r>
      <w:r>
        <w:rPr>
          <w:rFonts w:ascii="Arial;sans-serif" w:hAnsi="Arial;sans-serif"/>
          <w:b w:val="false"/>
          <w:i/>
          <w:color w:val="000000"/>
          <w:sz w:val="16"/>
        </w:rPr>
        <w:t>Benefit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reclassified gains or losses are recorded within interest and other expense, net.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(3)Taxes reclassified to earnings are recorded within the provision for income taxes.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49935"/>
                <wp:effectExtent l="0" t="0" r="0" b="0"/>
                <wp:wrapNone/>
                <wp:docPr id="78" name="Frame2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Income Taxes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the second quarter of 2024, our estimated annual effective tax rate, which excludes discrete tax impacts, was 27.8%. This rate reflected the impact of unfavorable foreign provisions under U.S. tax laws as well as the net unfavorable impact attributable to jurisdictional mix of pre-tax income and applicable tax rates. Our 2024 second quarter effective tax rate was 34.7% and includes discrete tax impacts in connection with unrealized gains and losses on hedging activities. Excluding these impacts, our effective tax rate for the three months ended June 30, 2024 was 28.5%. The 28.5% reflects the impact of unfavorable foreign provisions under U.S. tax laws as well as the net unfavorable impact attributable to jurisdictional mix of pre-tax income and applicable tax rates. Our effective tax rate for the six months ended June 30, 2024 of 26.2% also includes discrete tax impacts in connection with unrealized gains and losses on hedging activities. Excluding these impacts, our effective tax rate for the six months ended June 30, 2024 was 27.2%. The 27.2% reflects the impact of unfavorable foreign provisions under U.S. tax laws as well as the net unfavorable impact attributable to jurisdictional mix of pre-tax income and applicable tax rates.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second quarter of 2023, our estimated annual effective tax rate, which excluded discrete tax impacts, was 24.6%. This rate reflected the impact of unfavorable foreign provisions under U.S. tax laws partially offset by favorable impacts from the mix of pre-tax income as well as applicable tax rates in various non-U.S. jurisdictions. Our 2023 second quarter effective tax rate of 23.1% included a net tax benefit related to gains and losses on KDP marketable securities and a net tax expense incurred in connection with unrealized gains and losses on hedging activities as well as other discrete net tax expense. Our effective tax rate for the six months ended June 30, 2023 of 27.3% was higher due to a $127 million net tax expense incurred in connection with the KDP share sale during the first quarter (the earnings are reported separately on our statement of earnings and thus not included in earnings before income taxes). Excluding this impact, our effective tax rate for the six months ended June 30, 2023 was 23.6%. The 23.6% rate also included net tax expense related to gains and losses on KDP marketable securities as well as the associated pre-tax impacts.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15. Earnings per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(EPS) were calculated as follows:</w:t>
      </w:r>
    </w:p>
    <w:tbl>
      <w:tblPr>
        <w:tblW w:w="9845" w:type="dxa"/>
        <w:jc w:val="left"/>
        <w:tblInd w:w="0" w:type="dxa"/>
        <w:tblLayout w:type="fixed"/>
        <w:tblCellMar>
          <w:top w:w="28" w:type="dxa"/>
          <w:left w:w="28" w:type="dxa"/>
          <w:bottom w:w="28" w:type="dxa"/>
          <w:right w:w="28" w:type="dxa"/>
        </w:tblCellMar>
      </w:tblPr>
      <w:tblGrid>
        <w:gridCol w:w="1754"/>
        <w:gridCol w:w="1539"/>
        <w:gridCol w:w="1551"/>
        <w:gridCol w:w="244"/>
        <w:gridCol w:w="626"/>
        <w:gridCol w:w="126"/>
        <w:gridCol w:w="126"/>
        <w:gridCol w:w="126"/>
        <w:gridCol w:w="126"/>
        <w:gridCol w:w="244"/>
        <w:gridCol w:w="626"/>
        <w:gridCol w:w="126"/>
        <w:gridCol w:w="109"/>
        <w:gridCol w:w="109"/>
        <w:gridCol w:w="109"/>
        <w:gridCol w:w="211"/>
        <w:gridCol w:w="646"/>
        <w:gridCol w:w="109"/>
        <w:gridCol w:w="109"/>
        <w:gridCol w:w="109"/>
        <w:gridCol w:w="109"/>
        <w:gridCol w:w="211"/>
        <w:gridCol w:w="64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basic EPS</w:t>
            </w:r>
          </w:p>
        </w:tc>
        <w:tc>
          <w:tcPr>
            <w:tcW w:w="8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w:t>
              <w:br/>
              <w:t>   of stock options and long-term incentive plan shares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diluted EPS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exclude antidilutive Mondelēz International stock options and long-term incentive plan shares from our calculation of weighted-average shares for diluted EPS. We excluded antidilutive stock options and performance share units of 4.2 million for the three months ended June 30, 2024 and 2.8 million for the three months ended June 30, 2023 and 3.4 million for the six months ended June 30, 2024 and 2.7 million for the six months ended June 30,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49935"/>
                <wp:effectExtent l="0" t="0" r="0" b="0"/>
                <wp:wrapNone/>
                <wp:docPr id="81" name="Frame2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16. Segment Reporting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manufacture and market primarily snack food products, including chocolate, biscuits and baked snacks, as well as gum &amp; candy, cheese &amp; grocery and powdered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management structure are organized into four operating segments: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Latin America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AMEA</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Europe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reconciliation of segment net revenues and earnings to consolidated financial statement totals were:</w:t>
      </w:r>
    </w:p>
    <w:tbl>
      <w:tblPr>
        <w:tblW w:w="9364" w:type="dxa"/>
        <w:jc w:val="left"/>
        <w:tblInd w:w="0" w:type="dxa"/>
        <w:tblLayout w:type="fixed"/>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211"/>
        <w:gridCol w:w="751"/>
        <w:gridCol w:w="109"/>
        <w:gridCol w:w="109"/>
        <w:gridCol w:w="109"/>
        <w:gridCol w:w="109"/>
        <w:gridCol w:w="211"/>
        <w:gridCol w:w="751"/>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(losses)/gains on hedging activities</w:t>
              <w:br/>
              <w:t>(mark-to-market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(Loss)/gain on marketable securities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9935"/>
                <wp:effectExtent l="0" t="0" r="0" b="0"/>
                <wp:wrapNone/>
                <wp:docPr id="84" name="Frame2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Items impacting our segment operating results are discussed in Note 1, </w:t>
      </w:r>
      <w:r>
        <w:rPr>
          <w:rFonts w:ascii="Arial;sans-serif" w:hAnsi="Arial;sans-serif"/>
          <w:b w:val="false"/>
          <w:i/>
          <w:color w:val="000000"/>
          <w:sz w:val="20"/>
        </w:rPr>
        <w:t>Basis of Presentation</w:t>
      </w:r>
      <w:r>
        <w:rPr>
          <w:rFonts w:ascii="Arial;sans-serif" w:hAnsi="Arial;sans-serif"/>
          <w:b w:val="false"/>
          <w:color w:val="000000"/>
          <w:sz w:val="20"/>
        </w:rPr>
        <w:t xml:space="preserve">, Note 2, </w:t>
      </w:r>
      <w:r>
        <w:rPr>
          <w:rFonts w:ascii="Arial;sans-serif" w:hAnsi="Arial;sans-serif"/>
          <w:b w:val="false"/>
          <w:i/>
          <w:color w:val="000000"/>
          <w:sz w:val="20"/>
        </w:rPr>
        <w:t>Divestitures,</w:t>
      </w:r>
      <w:r>
        <w:rPr>
          <w:color w:val="000000"/>
        </w:rPr>
        <w:t xml:space="preserve"> </w:t>
      </w:r>
      <w:r>
        <w:rPr>
          <w:rFonts w:ascii="Arial;sans-serif" w:hAnsi="Arial;sans-serif"/>
          <w:b w:val="false"/>
          <w:color w:val="000000"/>
          <w:sz w:val="20"/>
        </w:rPr>
        <w:t xml:space="preserve">Note 3, </w:t>
      </w:r>
      <w:r>
        <w:rPr>
          <w:rFonts w:ascii="Arial;sans-serif" w:hAnsi="Arial;sans-serif"/>
          <w:b w:val="false"/>
          <w:i/>
          <w:color w:val="000000"/>
          <w:sz w:val="20"/>
        </w:rPr>
        <w:t>Inventories</w:t>
      </w:r>
      <w:r>
        <w:rPr>
          <w:rFonts w:ascii="Arial;sans-serif" w:hAnsi="Arial;sans-serif"/>
          <w:b w:val="false"/>
          <w:color w:val="000000"/>
          <w:sz w:val="20"/>
        </w:rPr>
        <w:t xml:space="preserve">, Note 4,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 xml:space="preserve">Note 5, </w:t>
      </w:r>
      <w:r>
        <w:rPr>
          <w:rFonts w:ascii="Arial;sans-serif" w:hAnsi="Arial;sans-serif"/>
          <w:b w:val="false"/>
          <w:i/>
          <w:color w:val="000000"/>
          <w:sz w:val="20"/>
        </w:rPr>
        <w:t>Goodwill and Intangible Assets,</w:t>
      </w:r>
      <w:r>
        <w:rPr>
          <w:color w:val="000000"/>
        </w:rPr>
        <w:t xml:space="preserve"> </w:t>
      </w:r>
      <w:r>
        <w:rPr>
          <w:rFonts w:ascii="Arial;sans-serif" w:hAnsi="Arial;sans-serif"/>
          <w:b w:val="false"/>
          <w:color w:val="000000"/>
          <w:sz w:val="20"/>
        </w:rPr>
        <w:t xml:space="preserve">and Note 7, </w:t>
      </w:r>
      <w:r>
        <w:rPr>
          <w:rFonts w:ascii="Arial;sans-serif" w:hAnsi="Arial;sans-serif"/>
          <w:b w:val="false"/>
          <w:i/>
          <w:color w:val="000000"/>
          <w:sz w:val="20"/>
        </w:rPr>
        <w:t>Restructuring Program</w:t>
      </w:r>
      <w:r>
        <w:rPr>
          <w:rFonts w:ascii="Arial;sans-serif" w:hAnsi="Arial;sans-serif"/>
          <w:b w:val="false"/>
          <w:color w:val="000000"/>
          <w:sz w:val="20"/>
        </w:rPr>
        <w:t xml:space="preserve">. Also see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and Note 9,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additional information on our interest and other expense, net for each period.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by product category were:</w:t>
      </w:r>
    </w:p>
    <w:tbl>
      <w:tblPr>
        <w:tblW w:w="8643" w:type="dxa"/>
        <w:jc w:val="left"/>
        <w:tblInd w:w="0" w:type="dxa"/>
        <w:tblLayout w:type="fixed"/>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Three Months Ended June 30, 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Six Months Ended June 30, 2023</w:t>
            </w:r>
            <w:r>
              <w:rPr>
                <w:color w:val="000000"/>
              </w:rPr>
              <w:t xml:space="preserve">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49935"/>
                <wp:effectExtent l="0" t="0" r="0" b="0"/>
                <wp:wrapNone/>
                <wp:docPr id="87" name="Frame3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 of Business and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core business is making and selling chocolate, biscuits and baked snacks, with additional businesses in adjacent, locally relevant categories including gum &amp; candy, cheese &amp; grocery and powdered beverages around the world.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Developments and Significant Items Affecting Comparability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environment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continue to observe significant market and geopolitical uncertainty, fluctuating consumer demand, inflationary pressures, supply constraints and exchange rate volatility. As a result, we experienced significantly higher operating costs, including higher overall raw material, labor and energy costs that have continued to rise. In particular, we expect to continue to face higher cocoa costs, as the market price for cocoa beans has increased significantly year-over-year and it is likely that prices will remain elevated for some time. Refer to </w:t>
      </w:r>
      <w:r>
        <w:rPr>
          <w:rFonts w:ascii="Arial;sans-serif" w:hAnsi="Arial;sans-serif"/>
          <w:b w:val="false"/>
          <w:i/>
          <w:color w:val="000000"/>
          <w:sz w:val="20"/>
        </w:rPr>
        <w:t>Commodity Trends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War in Ukraine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February 2022, following the Russian military invasion of Ukraine, we stopped production and closed our facilities in Ukraine; since then we have taken steps to protect the safety of our employees and to fully restore operations at our two manufacturing facilities, which were significantly damaged in March 2022. See Note 1, </w:t>
      </w:r>
      <w:r>
        <w:rPr>
          <w:rFonts w:ascii="Arial;sans-serif" w:hAnsi="Arial;sans-serif"/>
          <w:b w:val="false"/>
          <w:i/>
          <w:color w:val="000000"/>
          <w:sz w:val="20"/>
        </w:rPr>
        <w:t>Basis of Presentation</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War in Ukraine</w:t>
      </w:r>
      <w:r>
        <w:rPr>
          <w:rFonts w:ascii="Arial;sans-serif" w:hAnsi="Arial;sans-serif"/>
          <w:b w:val="false"/>
          <w:color w:val="000000"/>
          <w:sz w:val="20"/>
        </w:rPr>
        <w:t xml:space="preserve">, to the condensed consolidated financial statements, and refer to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the second quarter of 2024, Ukraine generated 0.4% and Russia generated 2.9% of consolidated net revenue and during the second quarter of 2023, Ukraine generated 0.3% and Russia generated 2.8% of consolidated net revenue. The profitability of and the assets held by our Russian business continue to remain above historical levels. We cannot predict if the recent performance of our Russian business will continue in the future.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the operations in Russia in future periods, or the termination of our business operations, based on actions taken by Russia, other parties or us. For additional information, see the risk factors in our Annual Report on Form 10-K for the year ended December 31, 2023, including the risk entitled “</w:t>
      </w:r>
      <w:r>
        <w:rPr>
          <w:rFonts w:ascii="Arial;sans-serif" w:hAnsi="Arial;sans-serif"/>
          <w:b w:val="false"/>
          <w:i/>
          <w:color w:val="000000"/>
          <w:sz w:val="20"/>
        </w:rPr>
        <w:t>The war in Ukraine has impacted and could continue to impact our business operations, financial performance and results of operations.</w:t>
      </w:r>
      <w:r>
        <w:rPr>
          <w:color w:val="000000"/>
        </w:rPr>
        <w: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9935"/>
                <wp:effectExtent l="0" t="0" r="0" b="0"/>
                <wp:wrapNone/>
                <wp:docPr id="90" name="Frame3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Developments in the Middle East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2023, conflict developed in the Middle East between Hamas and Israel, and has expanded to other parts of the region. In the second quarter of 2024, we experienced sales impacts related to this conflict in certain AMEA markets, but this did not have a material impact on our business, results of operations or financial condition. We continue to evaluate the impacts of these developments on our business and we cannot predict if it will have a significant impact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ERP System Implementation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July 2024, our Board of Directors approved funding of $1.2 billion for a multi-year systems transformation program to upgrade our global ERP and supply chain systems (the “ERP System Implementation”). The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occurring over the next five years, with expected completion by year-end 2028. Refer to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Extreme Price Growth in Argentina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 excess of 26% year-over-year ("extreme pricing") in Argentina, from these measures beginning in Q1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now exclude, on a prospective basis, the impact of extreme pricing in Argentina from the net pricing impact of Organic Net Revenue and Organic Net Revenue growth and its related impact on our other non-GAAP financial constant currency growth measures with a corresponding adjustment in changes in currency translation rates. Additionally within the MD&amp;A discussion, "currency-related items" totals the impact of extreme pricing and the currency translation rate changes.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Currency-related items impacted our non-GAAP financial measures for the three months ended June 30, 2024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Organic Net Revenue: In total, unfavorable currency-related items of $216 million (2.6pp) were driven by unfavorable currency translation rate changes of $544 million (6.5pp), partially offset by the adjustment for extreme pricing of $328 million (3.9pp). In Emerging Markets, unfavorable currency-related items of $193 million (5.9pp) were driven by unfavorable currency translation rate changes of $521 million (15.8pp), partially offset by the adjustment for extreme pricing of $328 million (9.9pp). In Developed Markets, unfavorable currency-related items of $23 million (0.4pp) were driven by unfavorable currency translation rate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Operating Income: Unfavorable currency-related items of $57 million were driven by unfavorable currency translation rate changes of $119 million, partially offset by the adjustment for extreme pricing of $62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Unfavorable currency-related items of $0.04 were driven by unfavorable currency translation rate changes of $0.08, partially offset by the adjustment for extreme pricing of $0.04.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Currency-related items impacted our non-GAAP financial measures for the six months ended June 30, 2024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Organic Net Revenue: In total, unfavorable currency-related items of $348 million (2.0pp) were driven by unfavorable currency translation rate changes of $1,057 million (6.1pp), partially offset by the adjustment for extreme pricing of $709 million (4.1pp). In Emerging Markets, unfavorable currency-related items of $359 million (5.2pp) were driven by unfavorable currency translation rate changes of $1,068 million (15.5pp), partially offset by the adjustment for extreme pricing of $709 million (10.3pp). In Developed Markets, favorable currency-related items of $11 million (0.1pp) were driven by favorable currency translation rate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9935"/>
                <wp:effectExtent l="0" t="0" r="0" b="0"/>
                <wp:wrapNone/>
                <wp:docPr id="93" name="Frame3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Operating Income: Unfavorable currency-related items of $127 million were driven by unfavorable currency translation rate changes of $309 million, partially offset by the adjustment for extreme pricing of $182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Unfavorable currency-related items of $0.07 were driven by unfavorable currency translation rate changes of $0.21, partially offset by the adjustment for extreme pricing of $0.14.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Divestitures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2022, we announced our intention to divest our developed market gum and global </w:t>
      </w:r>
      <w:r>
        <w:rPr>
          <w:rFonts w:ascii="Arial;sans-serif" w:hAnsi="Arial;sans-serif"/>
          <w:b w:val="false"/>
          <w:i/>
          <w:color w:val="000000"/>
          <w:sz w:val="20"/>
        </w:rPr>
        <w:t>Halls</w:t>
      </w:r>
      <w:r>
        <w:rPr>
          <w:color w:val="000000"/>
        </w:rPr>
        <w:t xml:space="preserve"> </w:t>
      </w:r>
      <w:r>
        <w:rPr>
          <w:rFonts w:ascii="Arial;sans-serif" w:hAnsi="Arial;sans-serif"/>
          <w:b w:val="false"/>
          <w:color w:val="000000"/>
          <w:sz w:val="20"/>
        </w:rPr>
        <w:t xml:space="preserve">candy businesses and in the fourth quarter of 2022, we announced an agreement to sell the developed market gum business. On October 1, 2023, we completed the sale of our developed market gum business to Perfetti Van Melle Group, excluding the Portugal business which we retained pending regulatory approval. We completed the sale of the Portugal business to Perfetti Van Melle Group on October 23, 2023. Refer to Note 2, </w:t>
      </w:r>
      <w:r>
        <w:rPr>
          <w:rFonts w:ascii="Arial;sans-serif" w:hAnsi="Arial;sans-serif"/>
          <w:b w:val="false"/>
          <w:i/>
          <w:color w:val="000000"/>
          <w:sz w:val="20"/>
        </w:rPr>
        <w:t>Divestitures</w:t>
      </w:r>
      <w:r>
        <w:rPr>
          <w:rFonts w:ascii="Arial;sans-serif" w:hAnsi="Arial;sans-serif"/>
          <w:b w:val="false"/>
          <w:color w:val="000000"/>
          <w:sz w:val="20"/>
        </w:rPr>
        <w:t>, for additional details.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Investment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Keurig Dr Pepper Transactions (Nasdaq: "KDP")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2023, we sold approximately 30 million shares of KDP, which reduced our ownership interest to 3.2%. We recorded a pre-tax gain on equity method transactions of $493 million (or $368 million after-tax). Our reduction in ownership to below 5% resulted in a change of accounting from equity method investment accounting to accounting for equity interests with readily determinable fair values ("marketable securities"). On June 8, 2023, we sold 23 million shares of KDP, which reduced our ownership to 1.6%. Subsequently in 2023, we sold the remainder of our shares of KDP and exited our investment in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JDE Peet’s Transactions (Euronext Amsterdam: “JDEP”)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2024, we determined there was an other-than-temporary impairment of our investment in JDEP, resulting in an impairment charge of €612 million ($665 million). During the first quarter of 2023, we sold approximately 7.7 million shares of JDEP, which reduced our ownership to 18.1%. We recorded a loss of €18 million ($19 million) on this sale.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additional information, refer to Note 6, </w:t>
      </w:r>
      <w:r>
        <w:rPr>
          <w:rFonts w:ascii="Arial;sans-serif" w:hAnsi="Arial;sans-serif"/>
          <w:b w:val="false"/>
          <w:i/>
          <w:color w:val="000000"/>
          <w:sz w:val="20"/>
        </w:rPr>
        <w:t xml:space="preserve">Investments </w:t>
      </w:r>
      <w:r>
        <w:rPr>
          <w:rFonts w:ascii="Arial;sans-serif" w:hAnsi="Arial;sans-serif"/>
          <w:b w:val="false"/>
          <w:color w:val="000000"/>
          <w:sz w:val="20"/>
        </w:rPr>
        <w:t>and Note 9,</w:t>
      </w:r>
      <w:r>
        <w:rPr>
          <w:color w:val="000000"/>
        </w:rPr>
        <w:t xml:space="preserve"> </w:t>
      </w:r>
      <w:r>
        <w:rPr>
          <w:rFonts w:ascii="Arial;sans-serif" w:hAnsi="Arial;sans-serif"/>
          <w:b w:val="false"/>
          <w:i/>
          <w:color w:val="000000"/>
          <w:sz w:val="20"/>
        </w:rPr>
        <w:t>Financial Instruments.</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existing and potential future tax reform around the world. As of June 30, 2024, numerous countries have now enacted the Organization of Economic Cooperation and Development’s model rules on a global minimum tax with the earliest effective date being for taxable years beginning after December 31, 2023. Based on the guidance available thus far, we do not expect this legislation to have a material impact on our consolidated financial statements but we will continue to evaluate it as additional guidance and clarification becomes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Outlook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Refer to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 xml:space="preserve">for the definitions of our non-GAAP financial measures and </w:t>
      </w:r>
      <w:r>
        <w:rPr>
          <w:rFonts w:ascii="Arial;sans-serif" w:hAnsi="Arial;sans-serif"/>
          <w:b w:val="false"/>
          <w:i/>
          <w:color w:val="000000"/>
          <w:sz w:val="20"/>
        </w:rPr>
        <w:t>Consolidated Results of Operations</w:t>
      </w:r>
      <w:r>
        <w:rPr>
          <w:color w:val="000000"/>
        </w:rPr>
        <w:t xml:space="preserve"> </w:t>
      </w:r>
      <w:r>
        <w:rPr>
          <w:rFonts w:ascii="Arial;sans-serif" w:hAnsi="Arial;sans-serif"/>
          <w:b w:val="false"/>
          <w:color w:val="000000"/>
          <w:sz w:val="20"/>
        </w:rPr>
        <w:t>for the respective reconciliations.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monitoring our key operating metrics, we monitor developments and trends that could impact our revenue and profitability objectives, as highlighted in our most recently filed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9935"/>
                <wp:effectExtent l="0" t="0" r="0" b="0"/>
                <wp:wrapNone/>
                <wp:docPr id="96" name="Frame3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Summary of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Net revenues decreased 1.9% to $8.3 billion in the second quarter of 2024 and decreased 0.2% to $17.6 billion in the first six months of 2024 as compared to the same periods in the prior year.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revenue decline in the second quarter of 2024 was driven by unfavorable currency-related items, as the U.S. dollar strengthened relative to most currencies we operate in compared to exchange rates in the prior year, unfavorable volume/mix and the impact of our 2023 divestiture of the developed market gum business, partially offset by higher net pricing.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revenue decline in the first six months of 2024 was driven by unfavorable volume/mix, unfavorable currency-related items, as the U.S. dollar strengthened relative to most currencies we operate in compared to exchange rates in the prior year and the impact of our 2023 divestiture of the developed market gum business, partially offset by higher net pricing and incremental net revenue from a short-term distributor agreement related to the sale of our developed market gum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a non-GAAP financial measure, increased 2.5% to $8.6 billion in the second quarter of 2024 and increased 3.4% to $18.0 billion in the first six months of 2024 as compared to the same periods in the prior year. During both the second quarter and first six months of 2024, Organic Net Revenue grew due to higher net pricing, partially offset by unfavorable volume/mix. Organic Net Revenue is on a constant currency basis and excludes revenue from acquisitions and divestitures.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Organic Net Revenue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net revenues.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Diluted EPS attributable to Mondelēz International decreased (34.8)% to $0.45 in the second quarter of 2024 and decreased (32.3)% to $1.49 in the first six months of 2024 as compared to the same periods in the prior year.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Diluted EPS decreased in the second quarter of 2024, driven by an unfavorable year-over-year change in mark-to-market impacts from commodity and currency derivatives, lapping prior-year operating results from the developed market gum business divested in 2023, unfavorable initial impacts from enacted tax law changes, higher acquisition integration costs and contingent consideration adjustments and higher equity method investee items. These unfavorable items were partially offset by an increase in Adjusted EPS, lapping prior-year losses on marketable securities and equity method investment transactions, lower loss on remeasurement of net monetary position and lower divestiture-related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Diluted EPS decreased in the first six months of 2024, driven by an impairment charge on our JDEP equity method investment in 2024, lapping prior-year net gains on marketable securities and equity method investment transactions primarily related to our former KDP investment, lapping prior-year operating results from the developed market gum business divested in 2023, unfavorable initial impacts from enacted tax law changes, higher acquisition integration costs and contingent consideration adjustments, higher costs incurred from our Simplify to Grow program and higher equity method investee items. These unfavorable items were partially offset by an increase in Adjusted EPS, favorable year-over-year change in mark-to-market impacts from commodity and currency derivatives, lower divestiture-related costs and lower loss on remeasurement of net monetary position.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a non-GAAP financial measure, increased 19.4% to $0.86 in the second quarter of 2024 and increased 15.9% to $1.82 in the first six months of 2024 as compared to the same periods in the prior year. On a constant currency basis, Adjusted EPS increased 25.0% to $0.90 in the second quarter of 2024 and increased 20.4% to $1.89 in the first six months of 2024 as compared to the same periods in the prior year.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Adjusted EPS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diluted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increased in the second quarter of 2024, driven by operating gains, lower interest expense and fewer shares outstanding, partially offset by unfavorable currency-related items and higher taxes.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increased in the first six months of 2024, driven by operating gains, lower interest expense, fewer shares outstanding and higher benefit plan non-service income, partially offset by unfavorable currency-related items, higher taxes and lapping prior year dividend income related to our former KDP investment.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9935"/>
                <wp:effectExtent l="0" t="0" r="0" b="0"/>
                <wp:wrapNone/>
                <wp:docPr id="99" name="Frame3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Discussion and Analysis of Historical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Items Affecting Comparability of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includes significant income or (expense) items that affected the comparability of our results of operations and our effective tax rates. Please refer to the notes to the condensed consolidated financial statements indicated below for additional information. Refer also to the </w:t>
      </w:r>
      <w:r>
        <w:rPr>
          <w:rFonts w:ascii="Arial;sans-serif" w:hAnsi="Arial;sans-serif"/>
          <w:b w:val="false"/>
          <w:i/>
          <w:color w:val="000000"/>
          <w:sz w:val="20"/>
        </w:rPr>
        <w:t>Consolidated Results of Operations – Net Earnings and Earnings per Share Attributable to Mondelēz International</w:t>
      </w:r>
      <w:r>
        <w:rPr>
          <w:color w:val="000000"/>
        </w:rPr>
        <w:t xml:space="preserve"> </w:t>
      </w:r>
      <w:r>
        <w:rPr>
          <w:rFonts w:ascii="Arial;sans-serif" w:hAnsi="Arial;sans-serif"/>
          <w:b w:val="false"/>
          <w:color w:val="000000"/>
          <w:sz w:val="20"/>
        </w:rPr>
        <w:t>table for the after-tax per share impacts of these items.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21"/>
        <w:gridCol w:w="1320"/>
        <w:gridCol w:w="1300"/>
        <w:gridCol w:w="270"/>
        <w:gridCol w:w="270"/>
        <w:gridCol w:w="271"/>
        <w:gridCol w:w="109"/>
        <w:gridCol w:w="109"/>
        <w:gridCol w:w="109"/>
        <w:gridCol w:w="248"/>
        <w:gridCol w:w="340"/>
        <w:gridCol w:w="301"/>
        <w:gridCol w:w="121"/>
        <w:gridCol w:w="121"/>
        <w:gridCol w:w="121"/>
        <w:gridCol w:w="248"/>
        <w:gridCol w:w="340"/>
        <w:gridCol w:w="301"/>
        <w:gridCol w:w="109"/>
        <w:gridCol w:w="109"/>
        <w:gridCol w:w="109"/>
        <w:gridCol w:w="211"/>
        <w:gridCol w:w="408"/>
        <w:gridCol w:w="271"/>
        <w:gridCol w:w="109"/>
        <w:gridCol w:w="109"/>
        <w:gridCol w:w="109"/>
        <w:gridCol w:w="211"/>
        <w:gridCol w:w="408"/>
        <w:gridCol w:w="322"/>
      </w:tblGrid>
      <w:tr>
        <w:trPr/>
        <w:tc>
          <w:tcPr>
            <w:tcW w:w="182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Simplify to Grow Program</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Implementation charges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Mark-to-market (losses)/gains from derivatives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Acquisition and divestiture-related costs: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Acquisition integration costs and </w:t>
            </w:r>
          </w:p>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contingent consideration adjustments </w:t>
            </w:r>
            <w:r>
              <w:rPr>
                <w:rFonts w:ascii="Arial;sans-serif" w:hAnsi="Arial;sans-serif"/>
                <w:b w:val="false"/>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Divestiture-related costs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Incremental costs due to war in Ukraine </w:t>
            </w:r>
            <w:r>
              <w:rPr>
                <w:rFonts w:ascii="Arial;sans-serif" w:hAnsi="Arial;sans-serif"/>
                <w:b/>
                <w:color w:val="000000"/>
                <w:sz w:val="12"/>
              </w:rPr>
              <w:t>(2)</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European Commission legal matter</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ERP System Implementation costs </w:t>
            </w:r>
            <w:r>
              <w:rPr>
                <w:rFonts w:ascii="Arial;sans-serif" w:hAnsi="Arial;sans-serif"/>
                <w:b/>
                <w:color w:val="000000"/>
                <w:sz w:val="12"/>
              </w:rPr>
              <w:t>(3)</w:t>
            </w:r>
          </w:p>
          <w:p>
            <w:pPr>
              <w:pStyle w:val="TableContents"/>
              <w:bidi w:val="0"/>
              <w:spacing w:before="0" w:after="0"/>
              <w:jc w:val="left"/>
              <w:rPr/>
            </w:pPr>
            <w:r>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Remeasurement of net monetary position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Impact from pension participation changes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on debt extinguishment and related expenses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Initial impacts from enacted tax law changes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(Loss)/gain on marketable securities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(Loss)/gain on equity method investment transactions including impairments </w:t>
            </w:r>
            <w:r>
              <w:rPr>
                <w:rFonts w:ascii="Arial;sans-serif" w:hAnsi="Arial;sans-serif"/>
                <w:b/>
                <w:color w:val="000000"/>
                <w:sz w:val="12"/>
              </w:rPr>
              <w:t>(4)</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Equity method investee items </w:t>
            </w:r>
            <w:r>
              <w:rPr>
                <w:rFonts w:ascii="Arial;sans-serif" w:hAnsi="Arial;sans-serif"/>
                <w:b/>
                <w:color w:val="000000"/>
                <w:sz w:val="12"/>
              </w:rPr>
              <w:t>(5)</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Effective tax rate</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(1)Includes impacts recorded in operating income and interest expense and other, net. Mark-to-market gains/(losses) above also include our equity method investment-related derivative contract mark-to-market gains/(losses) (refer to Note 9, </w:t>
      </w:r>
      <w:r>
        <w:rPr>
          <w:rFonts w:ascii="Arial;sans-serif" w:hAnsi="Arial;sans-serif"/>
          <w:b w:val="false"/>
          <w:i/>
          <w:color w:val="000000"/>
          <w:sz w:val="16"/>
        </w:rPr>
        <w:t>Financial Instruments)</w:t>
      </w:r>
      <w:r>
        <w:rPr>
          <w:color w:val="000000"/>
        </w:rPr>
        <w:t xml:space="preserve"> </w:t>
      </w:r>
      <w:r>
        <w:rPr>
          <w:rFonts w:ascii="Arial;sans-serif" w:hAnsi="Arial;sans-serif"/>
          <w:b w:val="false"/>
          <w:color w:val="000000"/>
          <w:sz w:val="16"/>
        </w:rPr>
        <w:t>that are recorded in the (loss)/gain (including non-cash impairment charges) on equity method investment transactions on our condensed consolidated statement of earnings.</w:t>
      </w:r>
    </w:p>
    <w:p>
      <w:pPr>
        <w:pStyle w:val="TextBody"/>
        <w:bidi w:val="0"/>
        <w:spacing w:lineRule="auto" w:line="288" w:before="0" w:after="0"/>
        <w:ind w:left="0" w:right="0" w:hanging="360"/>
        <w:jc w:val="both"/>
        <w:rPr/>
      </w:pPr>
      <w:r>
        <w:rPr>
          <w:rFonts w:ascii="Arial;sans-serif" w:hAnsi="Arial;sans-serif"/>
          <w:b w:val="false"/>
          <w:color w:val="000000"/>
          <w:sz w:val="16"/>
        </w:rPr>
        <w:t xml:space="preserve">(2)Incremental costs due to the war in Ukraine include direct charges such as asset impairments due to damaged facilities and inventory, higher expected allowances for uncollectible accounts receivable and committed compensation. 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 xml:space="preserve">section at the end of this item and Note 1, </w:t>
      </w:r>
      <w:r>
        <w:rPr>
          <w:rFonts w:ascii="Arial;sans-serif" w:hAnsi="Arial;sans-serif"/>
          <w:b w:val="false"/>
          <w:i/>
          <w:color w:val="000000"/>
          <w:sz w:val="16"/>
        </w:rPr>
        <w:t>Basis of Presentation – War in Ukraine</w:t>
      </w:r>
      <w:r>
        <w:rPr>
          <w:rFonts w:ascii="Arial;sans-serif" w:hAnsi="Arial;sans-serif"/>
          <w:b w:val="false"/>
          <w:color w:val="000000"/>
          <w:sz w:val="16"/>
        </w:rPr>
        <w:t>,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(3)ERP System Implementation program costs represent incremental operating expenses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(4)(Loss)/gain (including non-cash impairment charges)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our proportionate share of significant operating and non-operating items recorded by our JDE Peet's equity method investee, including acquisition and divestiture-related costs, restructuring program costs and intangible asset impairment charges.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9935"/>
                <wp:effectExtent l="0" t="0" r="0" b="0"/>
                <wp:wrapNone/>
                <wp:docPr id="102" name="Frame3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tbl>
      <w:tblPr>
        <w:tblW w:w="9279" w:type="dxa"/>
        <w:jc w:val="left"/>
        <w:tblInd w:w="0" w:type="dxa"/>
        <w:tblLayout w:type="fixed"/>
        <w:tblCellMar>
          <w:top w:w="28" w:type="dxa"/>
          <w:left w:w="28" w:type="dxa"/>
          <w:bottom w:w="28" w:type="dxa"/>
          <w:right w:w="28" w:type="dxa"/>
        </w:tblCellMar>
      </w:tblPr>
      <w:tblGrid>
        <w:gridCol w:w="1652"/>
        <w:gridCol w:w="1275"/>
        <w:gridCol w:w="1288"/>
        <w:gridCol w:w="221"/>
        <w:gridCol w:w="678"/>
        <w:gridCol w:w="114"/>
        <w:gridCol w:w="114"/>
        <w:gridCol w:w="114"/>
        <w:gridCol w:w="114"/>
        <w:gridCol w:w="221"/>
        <w:gridCol w:w="678"/>
        <w:gridCol w:w="114"/>
        <w:gridCol w:w="109"/>
        <w:gridCol w:w="109"/>
        <w:gridCol w:w="109"/>
        <w:gridCol w:w="211"/>
        <w:gridCol w:w="541"/>
        <w:gridCol w:w="109"/>
        <w:gridCol w:w="109"/>
        <w:gridCol w:w="109"/>
        <w:gridCol w:w="109"/>
        <w:gridCol w:w="299"/>
        <w:gridCol w:w="301"/>
        <w:gridCol w:w="581"/>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decreased $164 million (1.9%) to $8,343 million in the second quarter of 2024, and Organic Net Revenue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$209 million (2.5%) to $8,559 million. Emerging markets net revenues decreased (1.4)% and emerging markets Organic Net Revenue increased 4.5% </w:t>
      </w:r>
      <w:r>
        <w:rPr>
          <w:rFonts w:ascii="Arial;sans-serif" w:hAnsi="Arial;sans-serif"/>
          <w:b w:val="false"/>
          <w:color w:val="000000"/>
          <w:sz w:val="12"/>
        </w:rPr>
        <w:t>(1)</w:t>
      </w:r>
      <w:r>
        <w:rPr>
          <w:rFonts w:ascii="Arial;sans-serif" w:hAnsi="Arial;sans-serif"/>
          <w:b w:val="false"/>
          <w:color w:val="000000"/>
          <w:sz w:val="20"/>
        </w:rPr>
        <w:t xml:space="preserve">. Developed markets net revenues decreased (2.3)% and developed markets Organic Net Revenue increased 1.2% </w:t>
      </w:r>
      <w:r>
        <w:rPr>
          <w:rFonts w:ascii="Arial;sans-serif" w:hAnsi="Arial;sans-serif"/>
          <w:b w:val="false"/>
          <w:color w:val="000000"/>
          <w:sz w:val="12"/>
        </w:rPr>
        <w:t>(1)</w:t>
      </w:r>
      <w:r>
        <w:rPr>
          <w:rFonts w:ascii="Arial;sans-serif" w:hAnsi="Arial;sans-serif"/>
          <w:b w:val="false"/>
          <w:color w:val="000000"/>
          <w:sz w:val="20"/>
        </w:rPr>
        <w:t>. The underlying changes in net revenues and Organic Net Revenue are detailed below:</w:t>
      </w:r>
    </w:p>
    <w:tbl>
      <w:tblPr>
        <w:tblW w:w="7755" w:type="dxa"/>
        <w:jc w:val="left"/>
        <w:tblInd w:w="0" w:type="dxa"/>
        <w:tblLayout w:type="fixed"/>
        <w:tblCellMar>
          <w:top w:w="28" w:type="dxa"/>
          <w:left w:w="28" w:type="dxa"/>
          <w:bottom w:w="28" w:type="dxa"/>
          <w:right w:w="28" w:type="dxa"/>
        </w:tblCellMar>
      </w:tblPr>
      <w:tblGrid>
        <w:gridCol w:w="1223"/>
        <w:gridCol w:w="1073"/>
        <w:gridCol w:w="1078"/>
        <w:gridCol w:w="211"/>
        <w:gridCol w:w="646"/>
        <w:gridCol w:w="346"/>
        <w:gridCol w:w="109"/>
        <w:gridCol w:w="109"/>
        <w:gridCol w:w="109"/>
        <w:gridCol w:w="211"/>
        <w:gridCol w:w="646"/>
        <w:gridCol w:w="346"/>
        <w:gridCol w:w="109"/>
        <w:gridCol w:w="109"/>
        <w:gridCol w:w="109"/>
        <w:gridCol w:w="223"/>
        <w:gridCol w:w="683"/>
        <w:gridCol w:w="415"/>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June 30, 2024</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5,083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8,343</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3,453</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5,106</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8,559</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June 30, 2023</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5,201</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8,507</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3,305</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5,045</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8,350</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pp</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(2.2)pp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Net revenue decrease of 1.9% was driven by unfavorable currency-related items and the impact of our 2023 divestiture of the developed market gum business, partially offset by our underlying Organic Net Revenue growth of 2.5%. Currency-related items decreased net revenues by $216 million, driven by unfavorable currency translation rate changes, partially offset by the adjustment for extreme pricing in Argentina. Refer to </w:t>
      </w:r>
      <w:r>
        <w:rPr>
          <w:rFonts w:ascii="Arial;sans-serif" w:hAnsi="Arial;sans-serif"/>
          <w:b w:val="false"/>
          <w:i/>
          <w:color w:val="000000"/>
          <w:sz w:val="20"/>
        </w:rPr>
        <w:t xml:space="preserve">Recent Developments and Significant Items Affecting Comparability </w:t>
      </w:r>
      <w:r>
        <w:rPr>
          <w:rFonts w:ascii="Arial;sans-serif" w:hAnsi="Arial;sans-serif"/>
          <w:b w:val="false"/>
          <w:color w:val="000000"/>
          <w:sz w:val="20"/>
        </w:rPr>
        <w:t xml:space="preserve">for additional information. Unfavorable currency translation rate changes were due to the strength of the U.S. dollar relative to several currencies, primarily the Argentinean peso, as well as the Nigerian naira, Russian ruble, Turkish lira, Brazilian real, Egyptian pound, euro and Chinese yuan, partially offset by the strength of a few currencies relative to the U.S. dollar, including the Mexican peso, British pound sterling, Polish zloty and Colombian peso. The impact of our 2023 divestiture of the developed market gum business resulted in a year-over-year reduction in net revenues of $157 million for the second quarter of 2024. Refer to Note 2, </w:t>
      </w:r>
      <w:r>
        <w:rPr>
          <w:rFonts w:ascii="Arial;sans-serif" w:hAnsi="Arial;sans-serif"/>
          <w:b w:val="false"/>
          <w:i/>
          <w:color w:val="000000"/>
          <w:sz w:val="20"/>
        </w:rPr>
        <w:t xml:space="preserve">Divestitures, </w:t>
      </w:r>
      <w:r>
        <w:rPr>
          <w:rFonts w:ascii="Arial;sans-serif" w:hAnsi="Arial;sans-serif"/>
          <w:b w:val="false"/>
          <w:color w:val="000000"/>
          <w:sz w:val="20"/>
        </w:rPr>
        <w:t>for additional information. Organic Net Revenue growth was driven by higher net pricing, partially offset by unfavorable volume/mix. Higher net pricing in all regions was due to the benefit of carryover pricing from 2023 as well as the effects of input cost-driven pricing actions taken during the first six months of 2024. Overall, unfavorable volume/mix was driven by volume declines, due to expected customer price negotiation disruptions in Europe, softer consumer demand in the U.S. and Mexico, and geopolitical impacts in parts of AMEA, which were partially offset by favorable product mix. Unfavorable volume/mix was reflected across all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9935"/>
                <wp:effectExtent l="0" t="0" r="0" b="0"/>
                <wp:wrapNone/>
                <wp:docPr id="105" name="Frame3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 xml:space="preserve">Operating income decreased $571 million (40.1%) to $854 million in the second quarter of 2024. Adjusted Operating Income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$223 million (17.6%) to $1,492 million and Adjusted Operating Income on a constant currency basis </w:t>
      </w:r>
      <w:r>
        <w:rPr>
          <w:rFonts w:ascii="Arial;sans-serif" w:hAnsi="Arial;sans-serif"/>
          <w:b w:val="false"/>
          <w:color w:val="000000"/>
          <w:sz w:val="12"/>
        </w:rPr>
        <w:t>(1)</w:t>
      </w:r>
      <w:r>
        <w:rPr>
          <w:color w:val="000000"/>
        </w:rPr>
        <w:t> </w:t>
      </w:r>
      <w:r>
        <w:rPr>
          <w:rFonts w:ascii="Arial;sans-serif" w:hAnsi="Arial;sans-serif"/>
          <w:b w:val="false"/>
          <w:color w:val="000000"/>
          <w:sz w:val="20"/>
        </w:rPr>
        <w:t>increased $280 million (22.1%) to $1,549 million due to the following:</w:t>
      </w:r>
    </w:p>
    <w:tbl>
      <w:tblPr>
        <w:tblW w:w="9804" w:type="dxa"/>
        <w:jc w:val="left"/>
        <w:tblInd w:w="0" w:type="dxa"/>
        <w:tblLayout w:type="fixed"/>
        <w:tblCellMar>
          <w:top w:w="28" w:type="dxa"/>
          <w:left w:w="28" w:type="dxa"/>
          <w:bottom w:w="28" w:type="dxa"/>
          <w:right w:w="28" w:type="dxa"/>
        </w:tblCellMar>
      </w:tblPr>
      <w:tblGrid>
        <w:gridCol w:w="1716"/>
        <w:gridCol w:w="1509"/>
        <w:gridCol w:w="1515"/>
        <w:gridCol w:w="221"/>
        <w:gridCol w:w="678"/>
        <w:gridCol w:w="114"/>
        <w:gridCol w:w="114"/>
        <w:gridCol w:w="114"/>
        <w:gridCol w:w="114"/>
        <w:gridCol w:w="221"/>
        <w:gridCol w:w="678"/>
        <w:gridCol w:w="114"/>
        <w:gridCol w:w="109"/>
        <w:gridCol w:w="109"/>
        <w:gridCol w:w="109"/>
        <w:gridCol w:w="211"/>
        <w:gridCol w:w="541"/>
        <w:gridCol w:w="109"/>
        <w:gridCol w:w="109"/>
        <w:gridCol w:w="109"/>
        <w:gridCol w:w="109"/>
        <w:gridCol w:w="299"/>
        <w:gridCol w:w="301"/>
        <w:gridCol w:w="581"/>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Mark-to-market losses/(gains) from derivatives </w:t>
            </w:r>
            <w:r>
              <w:rPr>
                <w:rFonts w:ascii="Arial;sans-serif" w:hAnsi="Arial;sans-serif"/>
                <w:b w:val="false"/>
                <w:color w:val="000000"/>
                <w:sz w:val="13"/>
              </w:rPr>
              <w:t>(3)</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 xml:space="preserve">(4) </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3"/>
              </w:rPr>
              <w:t>(4)</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results from divestitures </w:t>
            </w:r>
            <w:r>
              <w:rPr>
                <w:rFonts w:ascii="Arial;sans-serif" w:hAnsi="Arial;sans-serif"/>
                <w:b w:val="false"/>
                <w:color w:val="000000"/>
                <w:sz w:val="13"/>
              </w:rPr>
              <w:t>(4)</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European Commission legal matter</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(5)</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ERP System Implementation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(5)</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22.1</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tbl>
      <w:tblPr>
        <w:tblW w:w="9103" w:type="dxa"/>
        <w:jc w:val="left"/>
        <w:tblInd w:w="0" w:type="dxa"/>
        <w:tblLayout w:type="fixed"/>
        <w:tblCellMar>
          <w:top w:w="28" w:type="dxa"/>
          <w:left w:w="28" w:type="dxa"/>
          <w:bottom w:w="28" w:type="dxa"/>
          <w:right w:w="28" w:type="dxa"/>
        </w:tblCellMar>
      </w:tblPr>
      <w:tblGrid>
        <w:gridCol w:w="2261"/>
        <w:gridCol w:w="1982"/>
        <w:gridCol w:w="1997"/>
        <w:gridCol w:w="109"/>
        <w:gridCol w:w="109"/>
        <w:gridCol w:w="109"/>
        <w:gridCol w:w="109"/>
        <w:gridCol w:w="109"/>
        <w:gridCol w:w="109"/>
        <w:gridCol w:w="109"/>
        <w:gridCol w:w="109"/>
        <w:gridCol w:w="109"/>
        <w:gridCol w:w="109"/>
        <w:gridCol w:w="109"/>
        <w:gridCol w:w="109"/>
        <w:gridCol w:w="225"/>
        <w:gridCol w:w="514"/>
        <w:gridCol w:w="117"/>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net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Lower input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volume/mix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Lower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Operating Income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9, </w:t>
      </w:r>
      <w:r>
        <w:rPr>
          <w:rFonts w:ascii="Arial;sans-serif" w:hAnsi="Arial;sans-serif"/>
          <w:b w:val="false"/>
          <w:i/>
          <w:color w:val="000000"/>
          <w:sz w:val="16"/>
        </w:rPr>
        <w:t>Financial Instruments</w:t>
      </w:r>
      <w:r>
        <w:rPr>
          <w:rFonts w:ascii="Arial;sans-serif" w:hAnsi="Arial;sans-serif"/>
          <w:b w:val="false"/>
          <w:color w:val="000000"/>
          <w:sz w:val="16"/>
        </w:rPr>
        <w:t xml:space="preserve">, and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additional information on the unrealized gains/losses on commodity and forecasted currency transaction derivatives.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2, </w:t>
      </w:r>
      <w:r>
        <w:rPr>
          <w:rFonts w:ascii="Arial;sans-serif" w:hAnsi="Arial;sans-serif"/>
          <w:b w:val="false"/>
          <w:i/>
          <w:color w:val="000000"/>
          <w:sz w:val="16"/>
        </w:rPr>
        <w:t>Divestitures</w:t>
      </w:r>
      <w:r>
        <w:rPr>
          <w:rFonts w:ascii="Arial;sans-serif" w:hAnsi="Arial;sans-serif"/>
          <w:b w:val="false"/>
          <w:color w:val="000000"/>
          <w:sz w:val="16"/>
        </w:rPr>
        <w:t xml:space="preserve">, for additional information on the October 1, 2023 sale of the developed market gum business.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 xml:space="preserve">in our Annual Report on Form 10-K for the year ended December 31, 2023 for additional information on our 2022 acquisitions.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1, </w:t>
      </w:r>
      <w:r>
        <w:rPr>
          <w:rFonts w:ascii="Arial;sans-serif" w:hAnsi="Arial;sans-serif"/>
          <w:b w:val="false"/>
          <w:i/>
          <w:color w:val="000000"/>
          <w:sz w:val="16"/>
        </w:rPr>
        <w:t>Basis of Presentation</w:t>
      </w:r>
      <w:r>
        <w:rPr>
          <w:rFonts w:ascii="Arial;sans-serif" w:hAnsi="Arial;sans-serif"/>
          <w:b w:val="false"/>
          <w:color w:val="000000"/>
          <w:sz w:val="16"/>
        </w:rPr>
        <w:t xml:space="preserve">, for information on our accounting for the war in Ukraine and our application of highly inflationary accounting for Argentina and Türkiye.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9935"/>
                <wp:effectExtent l="0" t="0" r="0" b="0"/>
                <wp:wrapNone/>
                <wp:docPr id="108" name="Frame3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second quarter of 2024, we realized higher net pricing, which was partially offset by increased input costs and unfavorable volume/mix. Higher net pricing, which included the carryover impact of pricing actions taken in 2023 as well as the effects of input cost-driven pricing actions taken during the first six months of 2024, was reflected across all regions. The decrease in input costs was driven by lower manufacturing costs due to productivity, partially offset by higher raw material costs. Higher raw material costs were in part due to higher cocoa, sugar, nuts and other ingredient costs, as well as unfavorable year-over-year currency exchange transaction costs on imported materials, partially offset by lower energy, edible oils, dairy, grains and packaging costs. Overall, unfavorable volume/mix was due to volume declines partially offset by favorable product mix. Unfavorable volume/mix was experienced in all regions.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$22 million from the second quarter of 2023, which was net of benefits from a number of factors noted in the table above, including in part, the elimination of costs from the developed market gum business divested in 2023, lower divestiture-related costs, lower remeasurement loss of net monetary position and a favorable currency translation impact related to expenses, partially offset by higher acquisition integration costs and contingent consideration adjustments and costs incurred for the ERP System Implementation program. Excluding these factors, selling, general and administrative expenses increased $79 million from the second quarter of 2023. The increase was driven primarily by higher advertising and consumer promotion costs and higher overhead costs in part due to increased investments in route to market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Unfavorable currency-related items, net of the adjustment for extreme pricing in Argentina, decreased operating income by $57 million primarily due to the strength of the U.S. dollar relative to most currencies, including the Argentinean peso, Egyptian pound, Russian ruble, Brazilian real, Turkish lira, euro and Chinese yuan, partially offset by the strength of a few currencies relative to the U.S. dollar, primarily the Mexican peso, British pound sterling and Polish zloty.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decreased from 16.8% in the second quarter of 2023 to 10.2% in the second quarter of 2024. The decrease in operating income margin was driven primarily by the unfavorable year-over-year change in mark-to-market gains/(losses) from commodity and currency hedging activities, the impact from the developed market gum business divested in 2023, higher acquisition integration costs and contingent consideration adjustments, costs incurred for the ERP System Implementation program and higher costs incurred for the Simplify to Grow program, partially offset by higher Adjusted Operating Income margin, lower divestiture-related costs and lower remeasurement loss of net monetary position. Adjusted Operating Income margin increased from 15.2% for the second quarter of 2023 to 17.9% for the second quarter of 2024. The increase was driven primarily by higher net pricing, lower manufacturing costs driven by productivity and overhead cost leverage, partially offset by higher advertising and consumer promotion costs and higher raw material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49935"/>
                <wp:effectExtent l="0" t="0" r="0" b="0"/>
                <wp:wrapNone/>
                <wp:docPr id="111" name="Frame3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 xml:space="preserve">Net earnings attributable to Mondelēz International of $601 million decreased by $343 million (36.3%) in the second quarter of 2024. Diluted EPS attributable to Mondelēz International was $0.45 in the second quarter of 2024, down $0.24 (34.8%) from the second quarter of 2023.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$0.86 in the second quarter of 2024, up $0.14 (19.4%) from the second quarter of 2023.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$0.90 in the second quarter of 2024, up $0.18 (25.0%) from the second quarter of 2023.</w:t>
      </w:r>
    </w:p>
    <w:tbl>
      <w:tblPr>
        <w:tblW w:w="9910" w:type="dxa"/>
        <w:jc w:val="left"/>
        <w:tblInd w:w="0" w:type="dxa"/>
        <w:tblLayout w:type="fixed"/>
        <w:tblCellMar>
          <w:top w:w="28" w:type="dxa"/>
          <w:left w:w="28" w:type="dxa"/>
          <w:bottom w:w="28" w:type="dxa"/>
          <w:right w:w="28" w:type="dxa"/>
        </w:tblCellMar>
      </w:tblPr>
      <w:tblGrid>
        <w:gridCol w:w="1734"/>
        <w:gridCol w:w="1524"/>
        <w:gridCol w:w="1526"/>
        <w:gridCol w:w="244"/>
        <w:gridCol w:w="626"/>
        <w:gridCol w:w="126"/>
        <w:gridCol w:w="126"/>
        <w:gridCol w:w="126"/>
        <w:gridCol w:w="126"/>
        <w:gridCol w:w="244"/>
        <w:gridCol w:w="626"/>
        <w:gridCol w:w="126"/>
        <w:gridCol w:w="109"/>
        <w:gridCol w:w="109"/>
        <w:gridCol w:w="109"/>
        <w:gridCol w:w="211"/>
        <w:gridCol w:w="601"/>
        <w:gridCol w:w="109"/>
        <w:gridCol w:w="109"/>
        <w:gridCol w:w="109"/>
        <w:gridCol w:w="109"/>
        <w:gridCol w:w="299"/>
        <w:gridCol w:w="301"/>
        <w:gridCol w:w="581"/>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(34.8)</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Mark-to-market losses/(gains) from derivatives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results from divestitures </w:t>
            </w:r>
            <w:r>
              <w:rPr>
                <w:rFonts w:ascii="Arial;sans-serif" w:hAnsi="Arial;sans-serif"/>
                <w:b w:val="false"/>
                <w:color w:val="000000"/>
                <w:sz w:val="12"/>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Initial impacts from enacted tax law changes </w:t>
            </w:r>
            <w:r>
              <w:rPr>
                <w:rFonts w:ascii="Arial;sans-serif" w:hAnsi="Arial;sans-serif"/>
                <w:b w:val="false"/>
                <w:color w:val="000000"/>
                <w:sz w:val="13"/>
              </w:rPr>
              <w:t>(3)</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Gain on marketable securities </w:t>
            </w:r>
            <w:r>
              <w:rPr>
                <w:rFonts w:ascii="Arial;sans-serif" w:hAnsi="Arial;sans-serif"/>
                <w:b w:val="false"/>
                <w:color w:val="000000"/>
                <w:sz w:val="13"/>
              </w:rPr>
              <w:t>(4)</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Loss on equity method investment transactions </w:t>
            </w:r>
          </w:p>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including impairments </w:t>
            </w:r>
            <w:r>
              <w:rPr>
                <w:rFonts w:ascii="Arial;sans-serif" w:hAnsi="Arial;sans-serif"/>
                <w:b w:val="false"/>
                <w:color w:val="000000"/>
                <w:sz w:val="13"/>
              </w:rPr>
              <w:t>(4)</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Equity method investee items </w:t>
            </w:r>
            <w:r>
              <w:rPr>
                <w:rFonts w:ascii="Arial;sans-serif" w:hAnsi="Arial;sans-serif"/>
                <w:b w:val="false"/>
                <w:color w:val="000000"/>
                <w:sz w:val="13"/>
              </w:rPr>
              <w:t>(5)</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0.90</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0.72</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848" w:type="dxa"/>
        <w:jc w:val="left"/>
        <w:tblInd w:w="0" w:type="dxa"/>
        <w:tblLayout w:type="fixed"/>
        <w:tblCellMar>
          <w:top w:w="28" w:type="dxa"/>
          <w:left w:w="28" w:type="dxa"/>
          <w:bottom w:w="28" w:type="dxa"/>
          <w:right w:w="28" w:type="dxa"/>
        </w:tblCellMar>
      </w:tblPr>
      <w:tblGrid>
        <w:gridCol w:w="1804"/>
        <w:gridCol w:w="1585"/>
        <w:gridCol w:w="1591"/>
        <w:gridCol w:w="109"/>
        <w:gridCol w:w="109"/>
        <w:gridCol w:w="109"/>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interest and other expense, net </w:t>
            </w:r>
            <w:r>
              <w:rPr>
                <w:rFonts w:ascii="Arial;sans-serif" w:hAnsi="Arial;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income taxes</w:t>
            </w:r>
            <w:r>
              <w:rPr>
                <w:color w:val="000000"/>
              </w:rPr>
              <w:t xml:space="preserve"> </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shares outstanding </w:t>
            </w:r>
            <w:r>
              <w:rPr>
                <w:rFonts w:ascii="Arial;sans-serif" w:hAnsi="Arial;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 xml:space="preserve">Non-GAAP Financial Measures </w:t>
      </w:r>
      <w:r>
        <w:rPr>
          <w:rFonts w:ascii="Arial;sans-serif" w:hAnsi="Arial;sans-serif"/>
          <w:b w:val="false"/>
          <w:color w:val="000000"/>
          <w:sz w:val="16"/>
        </w:rPr>
        <w:t>section appearing later in this section.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June 30, 2024, taxes for the: Simplify to Grow Program were $(6) million, mark-to-market losses from derivatives were $(111) million, acquisition integration costs and contingent consideration adjustments were $(7) million, remeasurement of net monetary position were zero, initial impacts from enacted tax law changes were $25 million</w:t>
      </w:r>
      <w:r>
        <w:rPr>
          <w:color w:val="000000"/>
        </w:rPr>
        <w:t xml:space="preserve"> </w:t>
      </w:r>
      <w:r>
        <w:rPr>
          <w:rFonts w:ascii="Arial;sans-serif" w:hAnsi="Arial;sans-serif"/>
          <w:b w:val="false"/>
          <w:color w:val="000000"/>
          <w:sz w:val="16"/>
        </w:rPr>
        <w:t>and equity method investee items were zero.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June 30, 2023, taxes for the: Simplify to Grow Program were $(1) million, mark-to-market gains from derivatives were $21 million, acquisition integration costs and contingent consideration adjustments were $(9) million, divestiture-related costs were $(4) million, operating results from divestitures were $12 million, remeasurement of net monetary position were zero, gain on marketable securities were $(45) million, gain on equity method investment transactions were $(1) million and equity method investee items were zero.</w:t>
      </w:r>
    </w:p>
    <w:p>
      <w:pPr>
        <w:pStyle w:val="TextBody"/>
        <w:bidi w:val="0"/>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14, </w:t>
      </w:r>
      <w:r>
        <w:rPr>
          <w:rFonts w:ascii="Arial;sans-serif" w:hAnsi="Arial;sans-serif"/>
          <w:b w:val="false"/>
          <w:i/>
          <w:color w:val="000000"/>
          <w:sz w:val="16"/>
        </w:rPr>
        <w:t>Income Taxes</w:t>
      </w:r>
      <w:r>
        <w:rPr>
          <w:rFonts w:ascii="Arial;sans-serif" w:hAnsi="Arial;sans-serif"/>
          <w:b w:val="false"/>
          <w:color w:val="000000"/>
          <w:sz w:val="16"/>
        </w:rPr>
        <w:t>, for additional information on the items affecting income taxes.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6, </w:t>
      </w:r>
      <w:r>
        <w:rPr>
          <w:rFonts w:ascii="Arial;sans-serif" w:hAnsi="Arial;sans-serif"/>
          <w:b w:val="false"/>
          <w:i/>
          <w:color w:val="000000"/>
          <w:sz w:val="16"/>
        </w:rPr>
        <w:t>Investments</w:t>
      </w:r>
      <w:r>
        <w:rPr>
          <w:rFonts w:ascii="Arial;sans-serif" w:hAnsi="Arial;sans-serif"/>
          <w:b w:val="false"/>
          <w:color w:val="000000"/>
          <w:sz w:val="16"/>
        </w:rPr>
        <w:t>, for additional information on gains/losses (including non-cash impairment charges) on equity method investment transactions and marketable securities.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our proportionate share of significant operating and non-operating items recorded by our JDE Peet's equity method investee, such as acquisition and divestiture-related costs and restructuring program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(6)Excludes the currency impact on interest expense related to non-U.S. dollar-denominated debt, which is included in currency translation.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(7)Refer to Note 11, </w:t>
      </w:r>
      <w:r>
        <w:rPr>
          <w:rFonts w:ascii="Arial;sans-serif" w:hAnsi="Arial;sans-serif"/>
          <w:b w:val="false"/>
          <w:i/>
          <w:color w:val="000000"/>
          <w:sz w:val="16"/>
        </w:rPr>
        <w:t>Stock Plans</w:t>
      </w:r>
      <w:r>
        <w:rPr>
          <w:rFonts w:ascii="Arial;sans-serif" w:hAnsi="Arial;sans-serif"/>
          <w:b w:val="false"/>
          <w:color w:val="000000"/>
          <w:sz w:val="16"/>
        </w:rPr>
        <w:t xml:space="preserve">, for additional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49935"/>
                <wp:effectExtent l="0" t="0" r="0" b="0"/>
                <wp:wrapNone/>
                <wp:docPr id="114" name="Frame3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tbl>
      <w:tblPr>
        <w:tblW w:w="9375" w:type="dxa"/>
        <w:jc w:val="left"/>
        <w:tblInd w:w="0" w:type="dxa"/>
        <w:tblLayout w:type="fixed"/>
        <w:tblCellMar>
          <w:top w:w="28" w:type="dxa"/>
          <w:left w:w="28" w:type="dxa"/>
          <w:bottom w:w="28" w:type="dxa"/>
          <w:right w:w="28" w:type="dxa"/>
        </w:tblCellMar>
      </w:tblPr>
      <w:tblGrid>
        <w:gridCol w:w="1652"/>
        <w:gridCol w:w="1275"/>
        <w:gridCol w:w="1288"/>
        <w:gridCol w:w="211"/>
        <w:gridCol w:w="751"/>
        <w:gridCol w:w="109"/>
        <w:gridCol w:w="109"/>
        <w:gridCol w:w="109"/>
        <w:gridCol w:w="109"/>
        <w:gridCol w:w="211"/>
        <w:gridCol w:w="751"/>
        <w:gridCol w:w="109"/>
        <w:gridCol w:w="109"/>
        <w:gridCol w:w="109"/>
        <w:gridCol w:w="109"/>
        <w:gridCol w:w="259"/>
        <w:gridCol w:w="462"/>
        <w:gridCol w:w="135"/>
        <w:gridCol w:w="109"/>
        <w:gridCol w:w="109"/>
        <w:gridCol w:w="109"/>
        <w:gridCol w:w="299"/>
        <w:gridCol w:w="301"/>
        <w:gridCol w:w="581"/>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decreased $40 million (0.2%) to $17,633 million in the first six months of 2024, and Organic Net Revenue </w:t>
      </w:r>
      <w:r>
        <w:rPr>
          <w:rFonts w:ascii="Arial;sans-serif" w:hAnsi="Arial;sans-serif"/>
          <w:b w:val="false"/>
          <w:color w:val="000000"/>
          <w:sz w:val="13"/>
        </w:rPr>
        <w:t xml:space="preserve">(1) </w:t>
      </w:r>
      <w:r>
        <w:rPr>
          <w:rFonts w:ascii="Arial;sans-serif" w:hAnsi="Arial;sans-serif"/>
          <w:b w:val="false"/>
          <w:color w:val="000000"/>
          <w:sz w:val="20"/>
        </w:rPr>
        <w:t xml:space="preserve">increased $587 million (3.4%) to $17,956 million. Emerging markets net revenues increased 1.3% and emerging markets Organic Net Revenue increased 6.5% </w:t>
      </w:r>
      <w:r>
        <w:rPr>
          <w:rFonts w:ascii="Arial;sans-serif" w:hAnsi="Arial;sans-serif"/>
          <w:b w:val="false"/>
          <w:color w:val="000000"/>
          <w:sz w:val="13"/>
        </w:rPr>
        <w:t>(1)</w:t>
      </w:r>
      <w:r>
        <w:rPr>
          <w:rFonts w:ascii="Arial;sans-serif" w:hAnsi="Arial;sans-serif"/>
          <w:b w:val="false"/>
          <w:color w:val="000000"/>
          <w:sz w:val="20"/>
        </w:rPr>
        <w:t xml:space="preserve">. Developed markets net revenues decreased (1.2)% and developed markets Organic Net Revenue increased 1.3% </w:t>
      </w:r>
      <w:r>
        <w:rPr>
          <w:rFonts w:ascii="Arial;sans-serif" w:hAnsi="Arial;sans-serif"/>
          <w:b w:val="false"/>
          <w:color w:val="000000"/>
          <w:sz w:val="13"/>
        </w:rPr>
        <w:t>(1)</w:t>
      </w:r>
      <w:r>
        <w:rPr>
          <w:rFonts w:ascii="Arial;sans-serif" w:hAnsi="Arial;sans-serif"/>
          <w:b w:val="false"/>
          <w:color w:val="000000"/>
          <w:sz w:val="20"/>
        </w:rPr>
        <w:t>. The underlying changes in net revenues and Organic Net Revenue are detailed below:</w:t>
      </w:r>
    </w:p>
    <w:tbl>
      <w:tblPr>
        <w:tblW w:w="7668" w:type="dxa"/>
        <w:jc w:val="left"/>
        <w:tblInd w:w="0" w:type="dxa"/>
        <w:tblLayout w:type="fixed"/>
        <w:tblCellMar>
          <w:top w:w="28" w:type="dxa"/>
          <w:left w:w="28" w:type="dxa"/>
          <w:bottom w:w="28" w:type="dxa"/>
          <w:right w:w="28" w:type="dxa"/>
        </w:tblCellMar>
      </w:tblPr>
      <w:tblGrid>
        <w:gridCol w:w="1142"/>
        <w:gridCol w:w="1002"/>
        <w:gridCol w:w="1006"/>
        <w:gridCol w:w="211"/>
        <w:gridCol w:w="646"/>
        <w:gridCol w:w="346"/>
        <w:gridCol w:w="109"/>
        <w:gridCol w:w="109"/>
        <w:gridCol w:w="109"/>
        <w:gridCol w:w="211"/>
        <w:gridCol w:w="751"/>
        <w:gridCol w:w="346"/>
        <w:gridCol w:w="109"/>
        <w:gridCol w:w="109"/>
        <w:gridCol w:w="109"/>
        <w:gridCol w:w="211"/>
        <w:gridCol w:w="751"/>
        <w:gridCol w:w="391"/>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Six Months Ended June 30, 2024</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6,993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10,640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17,633</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distributor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7,349</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10,607</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17,956</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Six Months Ended June 30, 2023</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6,904</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10,769</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17,673</w:t>
            </w: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6,901</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10,468</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17,369</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pp</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distributor agreements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pp</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Net revenue decrease of 0.2% was driven by unfavorable currency-related items and the impact of our 2023 divestiture of the developed market gum business, partially offset by our underlying Organic Net Revenue growth of 3.4% and the impact of a short-term distributor agreement. Currency-related items decreased net revenues by $348 million, driven by unfavorable currency translation rate changes, partially offset by the adjustment for extreme pricing in Argentina. Refer to </w:t>
      </w:r>
      <w:r>
        <w:rPr>
          <w:rFonts w:ascii="Arial;sans-serif" w:hAnsi="Arial;sans-serif"/>
          <w:b w:val="false"/>
          <w:i/>
          <w:color w:val="000000"/>
          <w:sz w:val="20"/>
        </w:rPr>
        <w:t xml:space="preserve">Recent Developments and Significant Items Affecting Comparability </w:t>
      </w:r>
      <w:r>
        <w:rPr>
          <w:rFonts w:ascii="Arial;sans-serif" w:hAnsi="Arial;sans-serif"/>
          <w:b w:val="false"/>
          <w:color w:val="000000"/>
          <w:sz w:val="20"/>
        </w:rPr>
        <w:t xml:space="preserve">for additional information. Unfavorable currency translation rate changes were due to the strength of the U.S. dollar relative to most currencies, primarily the Argentinean peso, as well as the Russian ruble, Turkish lira, Nigerian naira, Chinese yuan, Egyptian pound and Australian dollar, partially offset by the strength of a few currencies relative to the U.S. dollar, including the Mexican peso, British pound sterling, Polish zloty and Colombian peso. The impact of our 2023 divestiture of the developed market gum business resulted in a year-over-year reduction in net revenues of $304 million for the first six months of 2024. Refer to Note 2, </w:t>
      </w:r>
      <w:r>
        <w:rPr>
          <w:rFonts w:ascii="Arial;sans-serif" w:hAnsi="Arial;sans-serif"/>
          <w:b w:val="false"/>
          <w:i/>
          <w:color w:val="000000"/>
          <w:sz w:val="20"/>
        </w:rPr>
        <w:t xml:space="preserve">Divestitures, </w:t>
      </w:r>
      <w:r>
        <w:rPr>
          <w:rFonts w:ascii="Arial;sans-serif" w:hAnsi="Arial;sans-serif"/>
          <w:b w:val="false"/>
          <w:color w:val="000000"/>
          <w:sz w:val="20"/>
        </w:rPr>
        <w:t xml:space="preserve">for additional information. Organic Net Revenue growth was driven by higher net pricing, partially offset by unfavorable volume/mix. Higher net pricing in all regions was due to the benefit of carryover pricing from 2023 as well as the effects of input cost-driven pricing actions taken during the first six months of 2024. Overall, unfavorable volume/mix was driven by volume declines, due to expected customer price negotiation disruptions in Europe, softer consumer demand in the U.S. and Mexico and geopolitical impacts in parts of AMEA, which were partially offset by favorable product mix. Unfavorable volume/mix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9935"/>
                <wp:effectExtent l="0" t="0" r="0" b="0"/>
                <wp:wrapNone/>
                <wp:docPr id="117" name="Frame4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8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was reflected across all regions. The short-term distributor agreement related to the October 1, 2023 sale of our developed market gum business added incremental net revenues of $25 million for the first six months of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Operating income increased $651 million (22.2%) to</w:t>
      </w:r>
      <w:r>
        <w:rPr>
          <w:color w:val="000000"/>
          <w:shd w:fill="FFFFFF" w:val="clear"/>
        </w:rPr>
        <w:t xml:space="preserve"> </w:t>
      </w:r>
      <w:r>
        <w:rPr>
          <w:rFonts w:ascii="Arial;sans-serif" w:hAnsi="Arial;sans-serif"/>
          <w:b w:val="false"/>
          <w:color w:val="000000"/>
          <w:sz w:val="20"/>
          <w:shd w:fill="FFFFFF" w:val="clear"/>
        </w:rPr>
        <w:t>$3,581 million</w:t>
      </w:r>
      <w:r>
        <w:rPr>
          <w:color w:val="000000"/>
        </w:rPr>
        <w:t xml:space="preserve"> </w:t>
      </w:r>
      <w:r>
        <w:rPr>
          <w:rFonts w:ascii="Arial;sans-serif" w:hAnsi="Arial;sans-serif"/>
          <w:b w:val="false"/>
          <w:color w:val="000000"/>
          <w:sz w:val="20"/>
        </w:rPr>
        <w:t xml:space="preserve">in the first six months of 2024. Adjusted Operating Income </w:t>
      </w:r>
      <w:r>
        <w:rPr>
          <w:rFonts w:ascii="Arial;sans-serif" w:hAnsi="Arial;sans-serif"/>
          <w:b w:val="false"/>
          <w:color w:val="000000"/>
          <w:sz w:val="12"/>
        </w:rPr>
        <w:t xml:space="preserve">(1) </w:t>
      </w:r>
      <w:r>
        <w:rPr>
          <w:rFonts w:ascii="Arial;sans-serif" w:hAnsi="Arial;sans-serif"/>
          <w:b w:val="false"/>
          <w:color w:val="000000"/>
          <w:sz w:val="20"/>
        </w:rPr>
        <w:t xml:space="preserve">increased $409 million (14.6%) to $3,202 million and Adjusted Operating Income on a constant currency basis </w:t>
      </w:r>
      <w:r>
        <w:rPr>
          <w:rFonts w:ascii="Arial;sans-serif" w:hAnsi="Arial;sans-serif"/>
          <w:b w:val="false"/>
          <w:color w:val="000000"/>
          <w:sz w:val="12"/>
        </w:rPr>
        <w:t xml:space="preserve">(1) </w:t>
      </w:r>
      <w:r>
        <w:rPr>
          <w:rFonts w:ascii="Arial;sans-serif" w:hAnsi="Arial;sans-serif"/>
          <w:b w:val="false"/>
          <w:color w:val="000000"/>
          <w:sz w:val="20"/>
        </w:rPr>
        <w:t>increased $536 million (19.2%) to $3,329 million due to the following:</w:t>
      </w:r>
    </w:p>
    <w:tbl>
      <w:tblPr>
        <w:tblW w:w="9930" w:type="dxa"/>
        <w:jc w:val="left"/>
        <w:tblInd w:w="0" w:type="dxa"/>
        <w:tblLayout w:type="fixed"/>
        <w:tblCellMar>
          <w:top w:w="28" w:type="dxa"/>
          <w:left w:w="28" w:type="dxa"/>
          <w:bottom w:w="28" w:type="dxa"/>
          <w:right w:w="28" w:type="dxa"/>
        </w:tblCellMar>
      </w:tblPr>
      <w:tblGrid>
        <w:gridCol w:w="1824"/>
        <w:gridCol w:w="1605"/>
        <w:gridCol w:w="1610"/>
        <w:gridCol w:w="211"/>
        <w:gridCol w:w="646"/>
        <w:gridCol w:w="109"/>
        <w:gridCol w:w="109"/>
        <w:gridCol w:w="109"/>
        <w:gridCol w:w="109"/>
        <w:gridCol w:w="211"/>
        <w:gridCol w:w="646"/>
        <w:gridCol w:w="109"/>
        <w:gridCol w:w="109"/>
        <w:gridCol w:w="109"/>
        <w:gridCol w:w="109"/>
        <w:gridCol w:w="225"/>
        <w:gridCol w:w="514"/>
        <w:gridCol w:w="117"/>
        <w:gridCol w:w="109"/>
        <w:gridCol w:w="109"/>
        <w:gridCol w:w="109"/>
        <w:gridCol w:w="270"/>
        <w:gridCol w:w="271"/>
        <w:gridCol w:w="581"/>
      </w:tblGrid>
      <w:tr>
        <w:trPr/>
        <w:tc>
          <w:tcPr>
            <w:tcW w:w="182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Mark-to-market gains from derivatives </w:t>
            </w:r>
            <w:r>
              <w:rPr>
                <w:rFonts w:ascii="Arial;sans-serif" w:hAnsi="Arial;sans-serif"/>
                <w:b w:val="false"/>
                <w:color w:val="000000"/>
                <w:sz w:val="13"/>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 xml:space="preserve">(4)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3"/>
              </w:rPr>
              <w:t>(4)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income from divestitures </w:t>
            </w:r>
            <w:r>
              <w:rPr>
                <w:rFonts w:ascii="Arial;sans-serif" w:hAnsi="Arial;sans-serif"/>
                <w:b w:val="false"/>
                <w:color w:val="000000"/>
                <w:sz w:val="13"/>
              </w:rPr>
              <w:t xml:space="preserve">(4)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 from short-term distributor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European Commission legal matter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ERP System Implementation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8578" w:type="dxa"/>
        <w:jc w:val="left"/>
        <w:tblInd w:w="0" w:type="dxa"/>
        <w:tblLayout w:type="fixed"/>
        <w:tblCellMar>
          <w:top w:w="28" w:type="dxa"/>
          <w:left w:w="28" w:type="dxa"/>
          <w:bottom w:w="28" w:type="dxa"/>
          <w:right w:w="28" w:type="dxa"/>
        </w:tblCellMar>
      </w:tblPr>
      <w:tblGrid>
        <w:gridCol w:w="2071"/>
        <w:gridCol w:w="1815"/>
        <w:gridCol w:w="1829"/>
        <w:gridCol w:w="109"/>
        <w:gridCol w:w="109"/>
        <w:gridCol w:w="109"/>
        <w:gridCol w:w="109"/>
        <w:gridCol w:w="109"/>
        <w:gridCol w:w="109"/>
        <w:gridCol w:w="109"/>
        <w:gridCol w:w="109"/>
        <w:gridCol w:w="109"/>
        <w:gridCol w:w="109"/>
        <w:gridCol w:w="109"/>
        <w:gridCol w:w="109"/>
        <w:gridCol w:w="225"/>
        <w:gridCol w:w="514"/>
        <w:gridCol w:w="117"/>
        <w:gridCol w:w="109"/>
        <w:gridCol w:w="109"/>
        <w:gridCol w:w="109"/>
        <w:gridCol w:w="109"/>
        <w:gridCol w:w="109"/>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net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input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volume/mix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Higher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Lower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Total change in Adjusted Operating Income (constant currency) </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more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9, </w:t>
      </w:r>
      <w:r>
        <w:rPr>
          <w:rFonts w:ascii="Arial;sans-serif" w:hAnsi="Arial;sans-serif"/>
          <w:b w:val="false"/>
          <w:i/>
          <w:color w:val="000000"/>
          <w:sz w:val="16"/>
        </w:rPr>
        <w:t>Financial Instruments</w:t>
      </w:r>
      <w:r>
        <w:rPr>
          <w:rFonts w:ascii="Arial;sans-serif" w:hAnsi="Arial;sans-serif"/>
          <w:b w:val="false"/>
          <w:color w:val="000000"/>
          <w:sz w:val="16"/>
        </w:rPr>
        <w:t>, Note 16,</w:t>
      </w:r>
      <w:r>
        <w:rPr>
          <w:rFonts w:ascii="Arial;sans-serif" w:hAnsi="Arial;sans-serif"/>
          <w:b w:val="false"/>
          <w:i/>
          <w:color w:val="000000"/>
          <w:sz w:val="16"/>
        </w:rPr>
        <w:t>Segment Reporting</w:t>
      </w:r>
      <w:r>
        <w:rPr>
          <w:rFonts w:ascii="Arial;sans-serif" w:hAnsi="Arial;sans-serif"/>
          <w:b w:val="false"/>
          <w:color w:val="000000"/>
          <w:sz w:val="16"/>
        </w:rPr>
        <w:t xml:space="preserve">, and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more information on the unrealized gains/losses on commodity and forecasted currency transaction derivatives.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2, </w:t>
      </w:r>
      <w:r>
        <w:rPr>
          <w:rFonts w:ascii="Arial;sans-serif" w:hAnsi="Arial;sans-serif"/>
          <w:b w:val="false"/>
          <w:i/>
          <w:color w:val="000000"/>
          <w:sz w:val="16"/>
        </w:rPr>
        <w:t>Divestitures</w:t>
      </w:r>
      <w:r>
        <w:rPr>
          <w:rFonts w:ascii="Arial;sans-serif" w:hAnsi="Arial;sans-serif"/>
          <w:b w:val="false"/>
          <w:color w:val="000000"/>
          <w:sz w:val="16"/>
        </w:rPr>
        <w:t xml:space="preserve">, for additional information on the October 1, 2023 sale of the developed market gum business.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 xml:space="preserve">in our Annual Report on Form 10-K for the year ended December 31, 2023 for additional information on our 2022 acquisitions.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1, </w:t>
      </w:r>
      <w:r>
        <w:rPr>
          <w:rFonts w:ascii="Arial;sans-serif" w:hAnsi="Arial;sans-serif"/>
          <w:b w:val="false"/>
          <w:i/>
          <w:color w:val="000000"/>
          <w:sz w:val="16"/>
        </w:rPr>
        <w:t>Basis of Presentation</w:t>
      </w:r>
      <w:r>
        <w:rPr>
          <w:rFonts w:ascii="Arial;sans-serif" w:hAnsi="Arial;sans-serif"/>
          <w:b w:val="false"/>
          <w:color w:val="000000"/>
          <w:sz w:val="16"/>
        </w:rPr>
        <w:t>, for information on our accounting for the war in Ukraine and our application of highly inflationary accounting for Argentina and Türkiye.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49935"/>
                <wp:effectExtent l="0" t="0" r="0" b="0"/>
                <wp:wrapNone/>
                <wp:docPr id="120" name="Frame4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six months of 2024, we realized higher net pricing, which was partially offset by increased input costs and unfavorable volume/mix. Higher net pricing, which included the carryover impact of pricing actions taken in 2023 as well as the effects of input cost-driven pricing actions taken during the first six months of 2024, was reflected across all regions. The increase in input costs was driven by higher raw material costs, partially offset by lower manufacturing costs driven by productivity. Higher raw material costs were in part due to higher cocoa, sugar, nuts and other ingredient costs, as well as unfavorable year-over-year currency exchange transaction costs on imported materials, partially offset by lower dairy, energy, edible oils, grains and packaging costs. Overall, unfavorable volume/mix was due to volume declines partially offset by favorable product mix. Unfavorable volume/mix was experienced in all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$105 million from the first six months of 2023, which was net of benefits from a number of factors noted in the table above, including in part, the elimination of costs from the developed market gum business divested in 2023, lower divestiture-related costs, lower remeasurement loss of net monetary position and a favorable currency translation impact related to expenses, marginally offset by costs incurred for the ERP System Implementation program, higher implementation costs incurred for the Simplify to Grow program and lower acquisition integration costs and contingent consideration adjustments. Excluding these factors, selling, general and administrative expenses increased $217 million from the first six months of 2023. The increase was driven primarily by higher advertising and consumer promotion costs and higher overhead costs in part due to increased investments in route to market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Unfavorable currency changes, net of the adjustment for extreme pricing in Argentina, decreased operating income by $127 million primarily due to the strength of the U.S. dollar relative to most currencies, including the Argentinean peso, Russian ruble, Turkish lira, Chinese yuan, Egyptian pound, Nigerian naira and Australian dollar, partially offset by the strength of a few currencies relative to the U.S. dollar, primarily the British pound sterling, Mexican peso and Polish zloty.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16.6% in the first six months of 2023 to 20.3% in the first six months of 2024. The increase was driven primarily by higher Adjusted Operating Income margin, favorable year-over-year change in mark-to-market gains/(losses) from commodity and currency hedging activities, lower divestiture-related costs and lower remeasurement loss of net monetary position, partially offset by the impact from the developed market gum business divested in 2023, higher costs incurred for the Simplify to Grow program and costs incurred for the ERP System Implementation program. Adjusted Operating Income margin increased from 16.1% for the first six months of 2023 to 18.2% for the first six months of 2024. The increase was driven primarily by higher net pricing, lower manufacturing costs driven by productivity and overhead leverage, partially offset by higher raw material costs and higher advertising and consumer promotion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49935"/>
                <wp:effectExtent l="0" t="0" r="0" b="0"/>
                <wp:wrapNone/>
                <wp:docPr id="123" name="Frame4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100" w:after="283"/>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Net earnings attributable to Mondelēz International of $2,013 million decreased by $1,012 million (33.5%) in the first six months of 2024</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Diluted EPS attributable to Mondelēz International was $1.49 in the first six months of 2024, down $0.71 (32.3%) from the first six months of 2023.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$1.82 in the first six months of 2024, up $0.25 (15.9%) from the first six months of 2023.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$1.89 in the first six months of 2024, up $0.32 (20.4%) from the first six months of 2023.</w:t>
      </w:r>
    </w:p>
    <w:tbl>
      <w:tblPr>
        <w:tblW w:w="10205" w:type="dxa"/>
        <w:jc w:val="left"/>
        <w:tblInd w:w="0" w:type="dxa"/>
        <w:tblLayout w:type="fixed"/>
        <w:tblCellMar>
          <w:top w:w="28" w:type="dxa"/>
          <w:left w:w="28" w:type="dxa"/>
          <w:bottom w:w="28" w:type="dxa"/>
          <w:right w:w="28" w:type="dxa"/>
        </w:tblCellMar>
      </w:tblPr>
      <w:tblGrid>
        <w:gridCol w:w="1923"/>
        <w:gridCol w:w="1691"/>
        <w:gridCol w:w="1693"/>
        <w:gridCol w:w="221"/>
        <w:gridCol w:w="568"/>
        <w:gridCol w:w="113"/>
        <w:gridCol w:w="113"/>
        <w:gridCol w:w="113"/>
        <w:gridCol w:w="113"/>
        <w:gridCol w:w="221"/>
        <w:gridCol w:w="568"/>
        <w:gridCol w:w="113"/>
        <w:gridCol w:w="109"/>
        <w:gridCol w:w="109"/>
        <w:gridCol w:w="109"/>
        <w:gridCol w:w="211"/>
        <w:gridCol w:w="597"/>
        <w:gridCol w:w="109"/>
        <w:gridCol w:w="109"/>
        <w:gridCol w:w="109"/>
        <w:gridCol w:w="109"/>
        <w:gridCol w:w="297"/>
        <w:gridCol w:w="299"/>
        <w:gridCol w:w="588"/>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5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Mark-to-market gains from derivatives </w:t>
            </w:r>
            <w:r>
              <w:rPr>
                <w:rFonts w:ascii="Arial;sans-serif" w:hAnsi="Arial;sans-serif"/>
                <w:b w:val="false"/>
                <w:color w:val="000000"/>
                <w:sz w:val="12"/>
              </w:rPr>
              <w:t>(2)</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(2)</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2"/>
              </w:rPr>
              <w:t>(2)</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Net earnings from divestitures </w:t>
            </w:r>
            <w:r>
              <w:rPr>
                <w:rFonts w:ascii="Arial;sans-serif" w:hAnsi="Arial;sans-serif"/>
                <w:b w:val="false"/>
                <w:color w:val="000000"/>
                <w:sz w:val="12"/>
              </w:rPr>
              <w:t>(2)</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Initial impacts from enacted tax law changes </w:t>
            </w:r>
            <w:r>
              <w:rPr>
                <w:rFonts w:ascii="Arial;sans-serif" w:hAnsi="Arial;sans-serif"/>
                <w:b w:val="false"/>
                <w:color w:val="000000"/>
                <w:sz w:val="13"/>
              </w:rPr>
              <w:t>(3)</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Gain on marketable securities </w:t>
            </w:r>
            <w:r>
              <w:rPr>
                <w:rFonts w:ascii="Arial;sans-serif" w:hAnsi="Arial;sans-serif"/>
                <w:b w:val="false"/>
                <w:color w:val="000000"/>
                <w:sz w:val="13"/>
              </w:rPr>
              <w:t>(4)</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Losses/(gains) on equity method investment transactions </w:t>
            </w:r>
            <w:r>
              <w:rPr>
                <w:rFonts w:ascii="Arial;sans-serif" w:hAnsi="Arial;sans-serif"/>
                <w:b w:val="false"/>
                <w:color w:val="000000"/>
                <w:sz w:val="13"/>
              </w:rPr>
              <w:t>(4)</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Equity method investee items </w:t>
            </w:r>
            <w:r>
              <w:rPr>
                <w:rFonts w:ascii="Arial;sans-serif" w:hAnsi="Arial;sans-serif"/>
                <w:b w:val="false"/>
                <w:color w:val="000000"/>
                <w:sz w:val="13"/>
              </w:rPr>
              <w:t>(5)</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w:t>
            </w: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w:t>
            </w: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848" w:type="dxa"/>
        <w:jc w:val="left"/>
        <w:tblInd w:w="0" w:type="dxa"/>
        <w:tblLayout w:type="fixed"/>
        <w:tblCellMar>
          <w:top w:w="28" w:type="dxa"/>
          <w:left w:w="28" w:type="dxa"/>
          <w:bottom w:w="28" w:type="dxa"/>
          <w:right w:w="28" w:type="dxa"/>
        </w:tblCellMar>
      </w:tblPr>
      <w:tblGrid>
        <w:gridCol w:w="1805"/>
        <w:gridCol w:w="1584"/>
        <w:gridCol w:w="1591"/>
        <w:gridCol w:w="109"/>
        <w:gridCol w:w="109"/>
        <w:gridCol w:w="109"/>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Change in benefit plan non-service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Change in interest and other expense, net </w:t>
            </w:r>
            <w:r>
              <w:rPr>
                <w:rFonts w:ascii="Arial;sans-serif" w:hAnsi="Arial;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Dividend income from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Change in income taxes</w:t>
            </w:r>
            <w:r>
              <w:rPr>
                <w:color w:val="000000"/>
              </w:rPr>
              <w:t xml:space="preserve"> </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Change in shares outstanding </w:t>
            </w:r>
            <w:r>
              <w:rPr>
                <w:rFonts w:ascii="Arial;sans-serif" w:hAnsi="Arial;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 xml:space="preserve">(1)Refer to the </w:t>
      </w:r>
      <w:r>
        <w:rPr>
          <w:rFonts w:ascii="Arial;sans-serif" w:hAnsi="Arial;sans-serif"/>
          <w:b w:val="false"/>
          <w:i/>
          <w:color w:val="000000"/>
          <w:sz w:val="16"/>
          <w:shd w:fill="FFFFFF" w:val="clear"/>
        </w:rPr>
        <w:t xml:space="preserve">Non-GAAP Financial Measures </w:t>
      </w:r>
      <w:r>
        <w:rPr>
          <w:rFonts w:ascii="Arial;sans-serif" w:hAnsi="Arial;sans-serif"/>
          <w:b w:val="false"/>
          <w:color w:val="000000"/>
          <w:sz w:val="16"/>
          <w:shd w:fill="FFFFFF" w:val="clear"/>
        </w:rPr>
        <w:t>section appearing later in this section.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16"/>
        </w:rPr>
        <w:t>For the six months ended June 30, 2024, taxes for the: Simplify to Grow Program were $(17) million, mark-to-market gains from derivatives were $116 million, acquisition integration costs and contingent consideration adjustments were $(17) million, remeasurement of net monetary position were zero, initial impacts from enacted tax law changes were $23 million, gain on equity method investment transactions were zero and equity method investee items were zero.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six months ended June 30, 2023, taxes for the: Simplify to Grow Program were $(7) million, mark-to-market gains from derivatives were $29 million, acquisition integration costs and contingent consideration adjustments were $(22) million, divestiture-related costs were $(8) million, net earnings from divestitures were $28 million, remeasurement of net monetary position were zero, gain on marketable securities were $156 million, gain on equity method investment transactions were $124 million and equity method investee items were zero.</w:t>
      </w:r>
    </w:p>
    <w:p>
      <w:pPr>
        <w:pStyle w:val="TextBody"/>
        <w:bidi w:val="0"/>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more information.</w:t>
      </w:r>
    </w:p>
    <w:p>
      <w:pPr>
        <w:pStyle w:val="TextBody"/>
        <w:bidi w:val="0"/>
        <w:spacing w:lineRule="auto" w:line="276" w:before="0" w:after="0"/>
        <w:ind w:left="0" w:right="0" w:hanging="360"/>
        <w:jc w:val="both"/>
        <w:rPr/>
      </w:pPr>
      <w:r>
        <w:rPr>
          <w:rFonts w:ascii="Arial;sans-serif" w:hAnsi="Arial;sans-serif"/>
          <w:b w:val="false"/>
          <w:color w:val="000000"/>
          <w:sz w:val="16"/>
        </w:rPr>
        <w:t xml:space="preserve">(3)Refer to Note 14, </w:t>
      </w:r>
      <w:r>
        <w:rPr>
          <w:rFonts w:ascii="Arial;sans-serif" w:hAnsi="Arial;sans-serif"/>
          <w:b w:val="false"/>
          <w:i/>
          <w:color w:val="000000"/>
          <w:sz w:val="16"/>
        </w:rPr>
        <w:t>Income Taxes</w:t>
      </w:r>
      <w:r>
        <w:rPr>
          <w:rFonts w:ascii="Arial;sans-serif" w:hAnsi="Arial;sans-serif"/>
          <w:b w:val="false"/>
          <w:color w:val="000000"/>
          <w:sz w:val="16"/>
        </w:rPr>
        <w:t>, on the items affecting income taxes.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6, </w:t>
      </w:r>
      <w:r>
        <w:rPr>
          <w:rFonts w:ascii="Arial;sans-serif" w:hAnsi="Arial;sans-serif"/>
          <w:b w:val="false"/>
          <w:i/>
          <w:color w:val="000000"/>
          <w:sz w:val="16"/>
        </w:rPr>
        <w:t>Investments</w:t>
      </w:r>
      <w:r>
        <w:rPr>
          <w:rFonts w:ascii="Arial;sans-serif" w:hAnsi="Arial;sans-serif"/>
          <w:b w:val="false"/>
          <w:color w:val="000000"/>
          <w:sz w:val="16"/>
        </w:rPr>
        <w:t>, for more information on the gain/(loss) on equity method investment transactions and marketable securities.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our proportionate share of significant operating and non-operating items recorded by our JDE Peet's equity method investee, such as acquisition and divestiture-related costs and restructuring program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(6)Excludes the currency impact on interest expense related to our non-U.S. dollar-denominated debt, which is included in currency translation.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(7)Refer to Note 11, </w:t>
      </w:r>
      <w:r>
        <w:rPr>
          <w:rFonts w:ascii="Arial;sans-serif" w:hAnsi="Arial;sans-serif"/>
          <w:b w:val="false"/>
          <w:i/>
          <w:color w:val="000000"/>
          <w:sz w:val="16"/>
        </w:rPr>
        <w:t>Stock Plans</w:t>
      </w:r>
      <w:r>
        <w:rPr>
          <w:rFonts w:ascii="Arial;sans-serif" w:hAnsi="Arial;sans-serif"/>
          <w:b w:val="false"/>
          <w:color w:val="000000"/>
          <w:sz w:val="16"/>
        </w:rPr>
        <w:t xml:space="preserve">, for more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49935"/>
                <wp:effectExtent l="0" t="0" r="0" b="0"/>
                <wp:wrapNone/>
                <wp:docPr id="126" name="Frame4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 by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and management structure are organized into four operating segments: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Latin America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AMEA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Europe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segment operating income to evaluate segment performance and allocate resources. We believe it is appropriate to disclose this measure to help investors analyze segment performance and trends. See Note 16,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 xml:space="preserve">for additional information on our segments and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earlier in this section for items affecting our segment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reconciliation of segment net revenues and earnings to consolidated financial statement totals were:</w:t>
      </w:r>
    </w:p>
    <w:tbl>
      <w:tblPr>
        <w:tblW w:w="9364" w:type="dxa"/>
        <w:jc w:val="left"/>
        <w:tblInd w:w="0" w:type="dxa"/>
        <w:tblLayout w:type="fixed"/>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211"/>
        <w:gridCol w:w="751"/>
        <w:gridCol w:w="109"/>
        <w:gridCol w:w="109"/>
        <w:gridCol w:w="109"/>
        <w:gridCol w:w="109"/>
        <w:gridCol w:w="211"/>
        <w:gridCol w:w="751"/>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(losses)/gains on hedging activities</w:t>
              <w:br/>
              <w:t>(mark-to-market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(Loss)/gain on marketable securities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49935"/>
                <wp:effectExtent l="0" t="0" r="0" b="0"/>
                <wp:wrapNone/>
                <wp:docPr id="129" name="Frame4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Latin America</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283"/>
        <w:ind w:left="0" w:right="0" w:hanging="27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$4 million (0.3%), due to higher net pricing (7.7 pp), partially offset by unfavorable impact of currency-related items (4.2 pp) and unfavorable volume/mix (3.2 pp). Higher net pricing, net of the adjustment for extreme pricing in Argentina, was driven by input cost-driven pricing actions and reflected across all categories, primarily in Argentina, Mexico and Brazil. Currency-related items were unfavorable, net of the adjustment for extreme pricing in Argentina, due to currency translation rate changes. Unfavorable currency translation impacts were primarily due to the strength of the U.S. dollar relative to a few currencies in the region, primarily the Argentinean peso and Brazilian real, partially offset by the strength of a few currencies relative to the U.S. dollar, primarily the Mexican peso and Colombian peso. Overall, unfavorable volume/mix reflected consumer softness, primarily in Mexico. Unfavorable volume/mix was driven by declines in chocolate, cheese &amp; grocery, gum, candy and refreshment beverages, partially offset by a gain in biscuits &amp; baked snacks.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$10 million (7.5%), primarily due to higher net pricing and lower manufacturing costs driven by productivity. These favorable items were partially offset by higher raw material costs, unfavorable currency-related items, unfavorable volume/mix and higher advertising and consumer promotion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$112 million (4.6%), due to higher net pricing (8.0 pp), partially offset by unfavorable volume/mix (2.2 pp) and unfavorable impact of currency-related items (1.2 pp). Higher net pricing, net of the adjustment for extreme pricing in Argentina, was driven by input cost-driven pricing actions and reflected across all categories, primarily in Argentina, Mexico and Brazil. Currency-related items were unfavorable, net of the adjustment for extreme pricing in Argentina, due to currency translation rate changes. Unfavorable currency translation impacts were primarily due to the strength of the U.S. dollar relative to several currencies in the region, primarily the Argentinean peso and Chilean peso, partially offset by the strength of several currencies relative to the U.S. dollar, primarily the Mexican peso and Colombian peso. Unfavorable volume/mix reflected consumer softness, primarily in Mexico. Overall, unfavorable volume/mix was driven by declines in chocolate, cheese &amp; grocery, candy, biscuits &amp; baked snacks and gum, partially offset by a gain in refreshment beverages.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$28 million (10.3%), primarily due to higher net pricing, lower other selling, general and administrative expenses, lower remeasurement loss on net monetary position and lower manufacturing costs driven by productivity. These favorable items were partially offset by higher raw material costs, unfavorable currency-related items, unfavorable volume/mix, higher advertising and consumer promotion costs and higher acquisition integration costs.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49935"/>
                <wp:effectExtent l="0" t="0" r="0" b="0"/>
                <wp:wrapNone/>
                <wp:docPr id="132" name="Frame4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9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AMEA</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$22 million (1.4%), due to unfavorable currency translation rate changes (5.6 pp) and unfavorable volume/mix (1.8 pp), partially offset by higher net pricing (6.0 pp). Unfavorable currency translation impacts were due to the strength of the U.S. dollar relative to most currencies in the region, including the Nigerian naira, Egyptian pound and Chinese yuan. Overall, unfavorable volume/mix was impacted by geopolitical events in the Middle East and Southeast Asia. Unfavorable volume/mix was driven by declines in refreshment beverages, chocolate, cheese &amp; grocery and candy, partially offset by gains in gum and biscuits &amp; baked snacks. Higher net pricing, driven by input cost-driven pricing actions, was reflected across all categories.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$83 million (40.1%), primarily due to higher net pricing, lower manufacturing costs driven by productivity and lower other selling, general and administrative expenses. These favorable items were partially offset by higher raw material costs, unfavorable currency translation rate changes, unfavorable volume/mix and higher advertising and consumer promotion costs.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$11 million (0.3%), due to unfavorable currency translation rate changes (5.5 pp) and unfavorable volume/mix (0.9 pp), mostly offset by higher net pricing (6.1 pp). Unfavorable currency translation impacts were due to the strength of the U.S. dollar relative to most currencies in the region, including the Nigerian naira, Chinese yuan, Egyptian pound and Australian dollar. Overall, unfavorable volume/mix was impacted by geopolitical events in the Middle East and Southeast Asia. Unfavorable volume/mix was driven by declines in refreshment beverages, biscuits &amp; baked snacks, cheese &amp; grocery and chocolate, partially offset by gains in gum and candy. Higher net pricing, driven by input cost-driven pricing actions, was reflected across all categories.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$134 million (23.6%), primarily due to higher net pricing and lower manufacturing costs driven by productivity. These favorable items were partially offset by higher raw material costs, unfavorable currency translation rate changes, higher advertising and consumer promotion costs and unfavorable volume/mix.</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49935"/>
                <wp:effectExtent l="0" t="0" r="0" b="0"/>
                <wp:wrapNone/>
                <wp:docPr id="135" name="Frame4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Europe</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$52 million (1.8%), due to unfavorable volume/mix (3.1 pp), unfavorable currency translation rate changes (2.5 pp) and the impact of divestitures (2.0 pp), partially offset by higher net pricing (5.8 pp). Overall, unfavorable volume/mix reflected volume declines due to the impact from customer price negotiation disruptions, partially offset by favorable product mix. Unfavorable volume/mix was driven by declines in biscuits &amp; baked snacks, chocolate, candy, gum, and refreshment beverages, partially offset by a gain in cheese &amp; grocery. Unfavorable currency translation rate changes reflected the strength of the U.S. dollar relative to most currencies across the region, including the Russian ruble, Turkish lira and euro, partially offset by the strength of a few currencies relative to the U.S. dollar, including the British pound sterling and Polish zloty. The impact of our 2023 divestiture of the developed market gum business resulted in a year-over-year reduction in net revenues of $59 million. Higher net pricing, driven by input cost-driven pricing actions, was reflected across all categories except cheese &amp; grocery.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$101 million (22.5%), primarily due to higher net pricing, lower raw material costs including the benefit of realized gains from our forward purchasing and hedging contracts, lower remeasurement loss on net monetary position and lower divestiture-related costs. These favorable items were partially offset by higher other selling, general and administrative expenses, higher advertising and consumer promotion costs, unfavorable volume/mix, lapping prior-year operating results from the developed market gum business divested in 2023, unfavorable currency translation rate changes, higher manufacturing costs and higher costs incurred for the Simplify to Grow Program.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Net revenues increased $9 million (0.1%), due to higher net pricing (6.9 pp), and the impact from short-term distributor agreements (0.4 pp</w:t>
      </w:r>
      <w:r>
        <w:rPr>
          <w:rFonts w:ascii="Times New Roman;sans-serif" w:hAnsi="Times New Roman;sans-serif"/>
          <w:b w:val="false"/>
          <w:color w:val="000000"/>
          <w:sz w:val="20"/>
        </w:rPr>
        <w:t>)</w:t>
      </w:r>
      <w:r>
        <w:rPr>
          <w:rFonts w:ascii="Arial;sans-serif" w:hAnsi="Arial;sans-serif"/>
          <w:b w:val="false"/>
          <w:color w:val="000000"/>
          <w:sz w:val="20"/>
        </w:rPr>
        <w:t>, partially offset by unfavorable volume/mix (3.3 pp</w:t>
      </w:r>
      <w:r>
        <w:rPr>
          <w:rFonts w:ascii="Times New Roman;sans-serif" w:hAnsi="Times New Roman;sans-serif"/>
          <w:b w:val="false"/>
          <w:color w:val="000000"/>
          <w:sz w:val="20"/>
        </w:rPr>
        <w:t>)</w:t>
      </w:r>
      <w:r>
        <w:rPr>
          <w:rFonts w:ascii="Arial;sans-serif" w:hAnsi="Arial;sans-serif"/>
          <w:b w:val="false"/>
          <w:color w:val="000000"/>
          <w:sz w:val="20"/>
        </w:rPr>
        <w:t>, unfavorable currency translation rate changes (2.0 pp) and the impact of divestitures (1.9 pp</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 xml:space="preserve">Higher net pricing, driven by input cost-driven pricing actions, was reflected across all categories except cheese &amp; grocery. The short-term distributor agreement related to the October 1, 2023 sale of our developed market gum business added incremental net revenues of $25 million. Overall, unfavorable volume/mix reflected volume declines due to the impact from customer price negotiation disruptions, partially offset by favorable product mix. Unfavorable volume/mix was driven by declines in biscuits &amp; baked snacks, chocolate, candy, gum and refreshment beverages, partially offset by a gain in cheese &amp; grocery. Unfavorable currency translation rate changes reflected the strength of the U.S. dollar relative to several currencies across the region, including the Russian ruble and Turkish lira, partially offset by the strength of a few currencies relative to the U.S. dollar, including the British pound sterling and Polish zloty. The impact of our 2023 divestiture of the developed market gum business resulted in a year-over-year reduction in net revenues of $114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Segment operating income increased $185 million (19.4%), primarily due to higher net pricing, lower divestiture-related costs, lower manufacturing costs driven by productivity, lower remeasurement loss on net monetary position and lower acquisition integration costs. These favorable items were partially offset by higher other selling,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49935"/>
                <wp:effectExtent l="0" t="0" r="0" b="0"/>
                <wp:wrapNone/>
                <wp:docPr id="138" name="Frame4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administrative expenses, unfavorable volume/mix, higher advertising and consumer promotion costs, lapping prior-year operating results from the developed market gum business divested in 2023, unfavorable currency translation rate changes, higher costs incurred for the Simplify to Grow Program, higher incremental costs due to the war in Ukraine and higher raw material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North America</w:t>
      </w:r>
    </w:p>
    <w:tbl>
      <w:tblPr>
        <w:tblW w:w="740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1"/>
        <w:gridCol w:w="541"/>
        <w:gridCol w:w="109"/>
        <w:gridCol w:w="109"/>
        <w:gridCol w:w="109"/>
        <w:gridCol w:w="109"/>
        <w:gridCol w:w="248"/>
        <w:gridCol w:w="248"/>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$94 million (3.4%), due to the impact of divestitures (3.6 pp), unfavorable volume/mix (1.2 pp) and unfavorable currency translation rate changes (0.1 pp), partially offset by higher net pricing (1.5 pp). The impact of our 2023 divestiture of the developed market gum business resulted in a year-over-year reduction in net revenues of $98 million. Overall, unfavorable volume/mix reflected consumer softness in the U.S. Unfavorable volume/mix was driven by declines in biscuits &amp; baked snacks and candy, partially offset by a gain in chocolate. Unfavorable currency translation rate changes were due to the strength of the U.S. dollar relative to the Canadian dollar. Higher net pricing, driven by input cost-driven pricing actions, was reflected across all categories.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$35 million (6.0%), primarily due to lapping prior-year operating results from the developed market gum business divested in 2023, higher raw material costs, higher advertising and consumer promotion costs, higher acquisition integration costs and contingent consideration adjustments and unfavorable volume/mix. These unfavorable items were partially offset by higher net pricing, lower manufacturing costs due to productivity, lower other selling, general and administrative expenses and lower divestiture-related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$150 million (2.8%), due to the impact of divestitures (3.6 pp) and unfavorable volume/mix (1.6 pp), partially offset by higher net pricing (2.4 pp). The impact of our 2023 divestiture of the developed market gum business resulted in a year-over-year reduction in net revenues of $190 million. Overall, unfavorable volume/mix reflected consumer softness in the U.S. Unfavorable volume/mix was driven by declines in biscuits &amp; baked snacks and candy, partially offset by a gain in chocolate. Higher net pricing, driven by input cost-driven pricing actions, was reflected across all categories.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$52 million (4.5%), primarily due to lapping prior-year operating results from the developed market gum business divested in 2023, higher raw material costs, higher advertising and consumer promotion costs and unfavorable volume/mix. These unfavorable items were partially offset by higher net pricing, lower manufacturing costs due to productivity, lower other selling, general and administrative expenses, lower fixed asset impairment charges and lower divestiture-related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49935"/>
                <wp:effectExtent l="0" t="0" r="0" b="0"/>
                <wp:wrapNone/>
                <wp:docPr id="141" name="Frame4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 in JDE Peet's provides us additional flexibility. Overall, we do not expect negative effects to our funding sources that would have a material effect on our liquidity, and we continue to monitor our global operations including the impact of ongoing or new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Long-term cash requirements primarily relate to funding long-term debt repayments (refer to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our U.S. tax reform transition tax liability and deferred taxes (refer to Note 16,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in our Annual Report on Form 10-K for the year ended December 31, 2023), our long-term benefit plan obligations (refer to Note 10, </w:t>
      </w:r>
      <w:r>
        <w:rPr>
          <w:rFonts w:ascii="Arial;sans-serif" w:hAnsi="Arial;sans-serif"/>
          <w:b w:val="false"/>
          <w:i/>
          <w:color w:val="000000"/>
          <w:sz w:val="20"/>
        </w:rPr>
        <w:t xml:space="preserve">Benefit Plans,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11</w:t>
      </w:r>
      <w:r>
        <w:rPr>
          <w:rFonts w:ascii="Arial;sans-serif" w:hAnsi="Arial;sans-serif"/>
          <w:b w:val="false"/>
          <w:i/>
          <w:color w:val="000000"/>
          <w:sz w:val="20"/>
        </w:rPr>
        <w:t>, Benefit Plans,</w:t>
      </w:r>
      <w:r>
        <w:rPr>
          <w:color w:val="000000"/>
        </w:rPr>
        <w:t xml:space="preserve"> </w:t>
      </w:r>
      <w:r>
        <w:rPr>
          <w:rFonts w:ascii="Arial;sans-serif" w:hAnsi="Arial;sans-serif"/>
          <w:b w:val="false"/>
          <w:color w:val="000000"/>
          <w:sz w:val="20"/>
        </w:rPr>
        <w:t xml:space="preserve">in our Annual report on Form 10-K for the year ended December 31, 2023) and commodity-related purchase commitments and derivative contracts (refer to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generally fund short- and long-term cash requirements with cash from operating activities as well as cash proceeds from short- and long-term debt financing (refer to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below). We generally do not use equity to fund our ongoing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pStyle w:val="TextBody"/>
        <w:bidi w:val="0"/>
        <w:spacing w:before="0" w:after="0"/>
        <w:jc w:val="both"/>
        <w:rPr/>
      </w:pPr>
      <w:r>
        <w:rPr/>
      </w:r>
    </w:p>
    <w:tbl>
      <w:tblPr>
        <w:tblW w:w="5300" w:type="dxa"/>
        <w:jc w:val="left"/>
        <w:tblInd w:w="0" w:type="dxa"/>
        <w:tblLayout w:type="fixed"/>
        <w:tblCellMar>
          <w:top w:w="28" w:type="dxa"/>
          <w:left w:w="28" w:type="dxa"/>
          <w:bottom w:w="28" w:type="dxa"/>
          <w:right w:w="28" w:type="dxa"/>
        </w:tblCellMar>
      </w:tblPr>
      <w:tblGrid>
        <w:gridCol w:w="1035"/>
        <w:gridCol w:w="909"/>
        <w:gridCol w:w="915"/>
        <w:gridCol w:w="211"/>
        <w:gridCol w:w="646"/>
        <w:gridCol w:w="109"/>
        <w:gridCol w:w="109"/>
        <w:gridCol w:w="109"/>
        <w:gridCol w:w="109"/>
        <w:gridCol w:w="239"/>
        <w:gridCol w:w="732"/>
        <w:gridCol w:w="177"/>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3"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3" w:before="0" w:after="0"/>
              <w:ind w:left="0" w:right="0" w:firstLine="637"/>
              <w:jc w:val="center"/>
              <w:rPr>
                <w:rFonts w:ascii="Arial;sans-serif" w:hAnsi="Arial;sans-serif"/>
                <w:b/>
                <w:color w:val="000000"/>
                <w:sz w:val="16"/>
              </w:rPr>
            </w:pPr>
            <w:r>
              <w:rPr>
                <w:rFonts w:ascii="Arial;sans-serif" w:hAnsi="Arial;sans-serif"/>
                <w:b/>
                <w:color w:val="000000"/>
                <w:sz w:val="16"/>
              </w:rPr>
              <w:t>2023</w:t>
            </w:r>
          </w:p>
        </w:tc>
      </w:tr>
      <w:tr>
        <w:trPr/>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5"/>
              <w:jc w:val="left"/>
              <w:rPr>
                <w:rFonts w:ascii="Arial;sans-serif" w:hAnsi="Arial;sans-serif"/>
                <w:b w:val="false"/>
                <w:color w:val="000000"/>
                <w:sz w:val="20"/>
              </w:rPr>
            </w:pPr>
            <w:r>
              <w:rPr>
                <w:rFonts w:ascii="Arial;sans-serif" w:hAnsi="Arial;sans-serif"/>
                <w:b w:val="false"/>
                <w:color w:val="000000"/>
                <w:sz w:val="20"/>
              </w:rPr>
              <w:t>Net cash provided by/(used in):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increase in net cash provided by operating activities was primarily due to an increase in cash-basis net earnings, largely due to operating gains, partially offset by unfavorable year-over-year working capital movements.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in)/Provided by Investing Activities</w:t>
      </w:r>
    </w:p>
    <w:p>
      <w:pPr>
        <w:pStyle w:val="TextBody"/>
        <w:bidi w:val="0"/>
        <w:spacing w:lineRule="auto" w:line="288" w:before="0" w:after="0"/>
        <w:jc w:val="both"/>
        <w:rPr/>
      </w:pPr>
      <w:r>
        <w:rPr>
          <w:rFonts w:ascii="Arial;sans-serif" w:hAnsi="Arial;sans-serif"/>
          <w:b w:val="false"/>
          <w:color w:val="000000"/>
          <w:sz w:val="20"/>
        </w:rPr>
        <w:t xml:space="preserve">The reduction in net cash used in/provided by investing activities was largely driven by lapping prior year proceeds from the KDP and JDEP share sales (refer to Note 6, </w:t>
      </w:r>
      <w:r>
        <w:rPr>
          <w:rFonts w:ascii="Arial;sans-serif" w:hAnsi="Arial;sans-serif"/>
          <w:b w:val="false"/>
          <w:i/>
          <w:color w:val="000000"/>
          <w:sz w:val="20"/>
        </w:rPr>
        <w:t>Investments</w:t>
      </w:r>
      <w:r>
        <w:rPr>
          <w:rFonts w:ascii="Arial;sans-serif" w:hAnsi="Arial;sans-serif"/>
          <w:b w:val="false"/>
          <w:color w:val="000000"/>
          <w:sz w:val="20"/>
        </w:rPr>
        <w:t>) combined with higher capital expenditures. We continue to make capital expenditures primarily to modernize manufacturing facilities, implement new product manufacturing and support productivity initiatives. We expect 2024 capital expenditures to be up to $1.5 billion, including capital expenditures in connection with our Simplify to Grow Program and for funding our strategic priorities. We expect to continue to fund these expenditures with cash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49935"/>
                <wp:effectExtent l="0" t="0" r="0" b="0"/>
                <wp:wrapNone/>
                <wp:docPr id="144" name="Frame4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Financing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cash used in financing activities was primarily due to higher debt proceeds combined with lower debt repayments, partially offset by higher share repurchases and higher dividends paid in the first six months of 2024 compared to the same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paid dividends of $1,151 million in the first six months of 2024 and $1,055 million in the first six months of 2023. The second quarter 2024 dividend of $0.425 per share, declared on May 22, 2024 for shareholders of record as of June 28, 2024, was paid on July 12, 2024. On July 30, 2024, the Audit Committee, with authorization delegated from our Board of Directors, declared a quarterly cash dividend of $0.470 per share of Class A Common Stock, an increase of 11 percent. This dividend is payable on October 14, 2024, to shareholders of record as of September 30, 2024.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the 2024 distributions will be characterized as dividends under U.S. federal income tax rules. The final determination will be made on an IRS Form 1099–DIV issued in early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0"/>
        <w:jc w:val="both"/>
        <w:rPr/>
      </w:pPr>
      <w:r>
        <w:rPr>
          <w:rFonts w:ascii="Arial;sans-serif" w:hAnsi="Arial;sans-serif"/>
          <w:b w:val="false"/>
          <w:color w:val="000000"/>
          <w:sz w:val="20"/>
        </w:rPr>
        <w:t xml:space="preserve">As discussed in Note 12, </w:t>
      </w:r>
      <w:r>
        <w:rPr>
          <w:rFonts w:ascii="Arial;sans-serif" w:hAnsi="Arial;sans-serif"/>
          <w:b w:val="false"/>
          <w:i/>
          <w:color w:val="000000"/>
          <w:sz w:val="20"/>
        </w:rPr>
        <w:t>Commitments and Contingencies</w:t>
      </w:r>
      <w:r>
        <w:rPr>
          <w:rFonts w:ascii="Arial;sans-serif" w:hAnsi="Arial;sans-serif"/>
          <w:b w:val="false"/>
          <w:color w:val="000000"/>
          <w:sz w:val="20"/>
        </w:rPr>
        <w:t>, we enter into third-party guarantees primarily to cover the long-term obligations of our vendors. As part of these transactions, we guarantee that third parties will make contractual payments or achieve performance measures. As of June 30, 2024 and December 31, 2023, we had no material third-party guarantees recorded on our condensed consolidated balance sheet. Guarantees do not have, and we do not expect them to have, a material effect on our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its December 2023 meeting, our Board of Directors approved a new $2 billion long-term financing authorization that replaced the prior long-term financing authorization of $2 billion. As of June 30, 2024, $1.45 billion of the long-term financing authorization remained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total debt was $19.8 billion as of June 30, 2024 and $19.4 billion as of December 31, 2023. Our debt-to-capitalization ratio was 0.42 at June 30, 2024 and 0.41 at December 31, 2023. At June 30, 2024, the weighted-average term of our outstanding long-term debt was 7.4 years. Our average daily commercial paper borrowings outstanding were $0.9 billion in the first six months of 2024 and $3 billion in the first six months of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of our subsidiaries, Mondelez International Holdings Netherlands B.V. (“MIHN”), has outstanding debt. The operations held by MIHN generated approximately 72.7% (or $12.8 billion) of the $17.6 billion of consolidated net revenue for the six months ended June 30, 2024. The operations held by MIHN represented approximately 78.7% (or $21.8 billion) of the $27.7 billion of net assets as of June 30,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8, </w:t>
      </w:r>
      <w:r>
        <w:rPr>
          <w:rFonts w:ascii="Arial;sans-serif" w:hAnsi="Arial;sans-serif"/>
          <w:b w:val="false"/>
          <w:i/>
          <w:color w:val="000000"/>
          <w:sz w:val="20"/>
        </w:rPr>
        <w:t xml:space="preserve">Debt and Borrowing Arrangements, </w:t>
      </w:r>
      <w:r>
        <w:rPr>
          <w:rFonts w:ascii="Arial;sans-serif" w:hAnsi="Arial;sans-serif"/>
          <w:b w:val="false"/>
          <w:color w:val="000000"/>
          <w:sz w:val="20"/>
        </w:rPr>
        <w:t>for additional information on our debt and debt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Commodity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monitor worldwide supply, commodity cost and currency trends so we can cost-effectively secure ingredients, packaging and fuel required for production. During the first six months of 2024, the primary drivers of the increase in our aggregate commodity costs were higher cocoa, sugar, nuts, and other ingredient costs, as well as unfavorable year-over-year currency exchange transaction costs on imported materials, partially offset by lower, dairy, energy, edible oils, grains and packaging costs. While the costs of our principal raw materials fluctuate, generally we believe there will continue to be an adequate supply of the raw materials we use and that they will broadly remain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number of external factors such as the current macroeconomic environment, including global inflation, effects of geopolitical uncertainty, climate and weather conditions, commodity, transportation and labor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49935"/>
                <wp:effectExtent l="0" t="0" r="0" b="0"/>
                <wp:wrapNone/>
                <wp:docPr id="147" name="Frame5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9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10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exchange rate volatility and the effects of local and global regulations, governmental agricultural or other programs affect the availability and cost of raw materials and agricultural materials used in our products. In particular, the supply of cocoa is exposed to many of these factors, including climate change and weather events,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six months of 2024,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we expect to face higher cocoa costs in the near- and medium-term due to these factors. For example, the market price for cocoa beans on the Intercontinental Exchange in London was 175% higher on the last trading day of the second quarter of 2024 compared to the same day in the second quarter of 2023 and it is likely that prices will remain elevated for some time. It is possible that we may not be able to increase prices sufficiently to fully cover the incremental costs of cocoa prices in this environment and/or our hedging strategies may not protect us from increases in cocoa costs, which could result in a significant impact on our profitability.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sans-serif" w:hAnsi="Arial;sans-serif"/>
          <w:b w:val="false"/>
          <w:i/>
          <w:color w:val="000000"/>
          <w:sz w:val="20"/>
        </w:rPr>
        <w:t xml:space="preserve">Management’s Discussion and Analysis of Financial Condition and Results of Operations, </w:t>
      </w:r>
      <w:r>
        <w:rPr>
          <w:rFonts w:ascii="Arial;sans-serif" w:hAnsi="Arial;sans-serif"/>
          <w:b w:val="false"/>
          <w:color w:val="000000"/>
          <w:sz w:val="20"/>
        </w:rPr>
        <w:t xml:space="preserve">respectively, in our Annual Report on Form 10-K for the year ended December 31, 2023. Also refer to Note 1, </w:t>
      </w:r>
      <w:r>
        <w:rPr>
          <w:rFonts w:ascii="Arial;sans-serif" w:hAnsi="Arial;sans-serif"/>
          <w:b w:val="false"/>
          <w:i/>
          <w:color w:val="000000"/>
          <w:sz w:val="20"/>
        </w:rPr>
        <w:t>Basis of Presentation</w:t>
      </w:r>
      <w:r>
        <w:rPr>
          <w:rFonts w:ascii="Arial;sans-serif" w:hAnsi="Arial;sans-serif"/>
          <w:b w:val="false"/>
          <w:color w:val="000000"/>
          <w:sz w:val="20"/>
        </w:rPr>
        <w:t>,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49935"/>
                <wp:effectExtent l="0" t="0" r="0" b="0"/>
                <wp:wrapNone/>
                <wp:docPr id="150" name="Frame5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0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0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could cause our actual results or performance to differ materially from those contained in or implied by our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weakness in macroeconomic conditions in our markets, including as a result of inflation (and related monetary policy actions by governments in response to inflation) and the instability of certain financial institutions;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commodity and other input costs and availability of commodities, including but not limited to cocoa;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competition and our response to channel shifts and pricing and other competitive pressures;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pricing actions and customer and consumer responses to such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promotion and protection of our reputation and brand image;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weakness in consumer spending and/or changes in consumer preferences and demand and our ability to predict, identify, interpret and meet these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risks from operating globally, including in emerging markets, such as political, economic and regulatory risks;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outcome and effects on us of legal and tax proceedings and government investigations, including the European Commission legal matter;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use of information technology and third party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unanticipated disruptions to our business, such as malware incidents, cyberattacks or other security breaches, and supply, commodity, labor and transportation constraints;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identify, complete, implement, manage and realize the full extent of the benefits, cost savings, efficiencies and/or synergies presented by strategic transactions and initiatives, such as our ERP System Implementation program;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investments and our ownership interests in those investments, including JDE Peet's;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restructuring program and our other transformation initiatives not yielding the anticipated benefits;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the assumptions on which the restructuring program is based;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impact of climate change on our supply chain and operations;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or regional health pandemics or epidemics;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consolidation of retail customers and competition with retailer and other economy brands;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our relationships with customers, suppliers or distributors;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management of our workforce and shifts in labor availability or labor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compliance with legal, regulatory, tax and benefit laws and related changes, claims or actions;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perceived or actual product quality issues or product recalls;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failure to maintain effective internal control over financial reporting or disclosure controls and procedures;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protect our intellectual property and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tax matters including changes in tax laws and rates, disagreements with taxing authorities and imposition of new taxes;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currency exchange rates, controls and restrictions;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and access to capital or other markets, rising interest rates, the effectiveness of our cash management programs and our liquidity;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pension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changes in valuation factors that may adversely affect our impairment testing of goodwill and intangible assets;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and uncertainties, as they may be amended from time to time, set forth in our filings with the U.S. Securities and Exchange Commission, including our Annual Report on Form 10-K for the year ended December 31, 2023 and subsequent Quarterly Reports on Form 10-Q.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49935"/>
                <wp:effectExtent l="0" t="0" r="0" b="0"/>
                <wp:wrapNone/>
                <wp:docPr id="153" name="Frame5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2" descr=""/>
                                          <pic:cNvPicPr>
                                            <a:picLocks noChangeAspect="1" noChangeArrowheads="1"/>
                                          </pic:cNvPicPr>
                                        </pic:nvPicPr>
                                        <pic:blipFill>
                                          <a:blip r:embed="rId10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along with a discussion of our underlying GAAP results throughout our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in this Form 10-Q.</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sans-serif" w:hAnsi="Arial;sans-serif"/>
          <w:b w:val="false"/>
          <w:color w:val="000000"/>
          <w:sz w:val="12"/>
        </w:rPr>
        <w:t>(1)</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is defined as net revenues (the most comparable U.S. GAAP financial measure) excluding the impacts of acquisitions, divestitures </w:t>
      </w:r>
      <w:r>
        <w:rPr>
          <w:rFonts w:ascii="Arial;sans-serif" w:hAnsi="Arial;sans-serif"/>
          <w:b w:val="false"/>
          <w:color w:val="000000"/>
          <w:sz w:val="13"/>
        </w:rPr>
        <w:t>(2)</w:t>
      </w:r>
      <w:r>
        <w:rPr>
          <w:rFonts w:ascii="Arial;sans-serif" w:hAnsi="Arial;sans-serif"/>
          <w:b w:val="false"/>
          <w:color w:val="000000"/>
          <w:sz w:val="20"/>
        </w:rPr>
        <w:t xml:space="preserve">, short-term distributor agreements related to the sale of business </w:t>
      </w:r>
      <w:r>
        <w:rPr>
          <w:rFonts w:ascii="Arial;sans-serif" w:hAnsi="Arial;sans-serif"/>
          <w:b w:val="false"/>
          <w:color w:val="000000"/>
          <w:sz w:val="13"/>
        </w:rPr>
        <w:t xml:space="preserve">(3) </w:t>
      </w:r>
      <w:r>
        <w:rPr>
          <w:rFonts w:ascii="Arial;sans-serif" w:hAnsi="Arial;sans-serif"/>
          <w:b w:val="false"/>
          <w:color w:val="000000"/>
          <w:sz w:val="20"/>
        </w:rPr>
        <w:t xml:space="preserve">and currency rate fluctuations </w:t>
      </w:r>
      <w:r>
        <w:rPr>
          <w:rFonts w:ascii="Arial;sans-serif" w:hAnsi="Arial;sans-serif"/>
          <w:b w:val="false"/>
          <w:color w:val="000000"/>
          <w:sz w:val="13"/>
        </w:rPr>
        <w:t>(4)</w:t>
      </w:r>
      <w:r>
        <w:rPr>
          <w:rFonts w:ascii="Arial;sans-serif" w:hAnsi="Arial;sans-serif"/>
          <w:b w:val="false"/>
          <w:color w:val="000000"/>
          <w:sz w:val="20"/>
        </w:rPr>
        <w:t xml:space="preserve">. We believe that 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developed markets include the entire North America region, the Europe region excluding the countries included in the emerging markets definition, and Australia, New Zealand and Japan from the AMEA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Income” is defined as operating income (the most comparable U.S. GAAP financial measure) excluding the impacts of the Simplify to Grow Program </w:t>
      </w:r>
      <w:r>
        <w:rPr>
          <w:rFonts w:ascii="Arial;sans-serif" w:hAnsi="Arial;sans-serif"/>
          <w:b w:val="false"/>
          <w:color w:val="000000"/>
          <w:sz w:val="13"/>
        </w:rPr>
        <w:t>(5)</w:t>
      </w:r>
      <w:r>
        <w:rPr>
          <w:rFonts w:ascii="Arial;sans-serif" w:hAnsi="Arial;sans-serif"/>
          <w:b w:val="false"/>
          <w:color w:val="000000"/>
          <w:sz w:val="20"/>
        </w:rPr>
        <w:t>; gains or losses (including non-cash impairment charges) on goodwill and intangible assets; divestiture </w:t>
      </w:r>
      <w:r>
        <w:rPr>
          <w:rFonts w:ascii="Arial;sans-serif" w:hAnsi="Arial;sans-serif"/>
          <w:b w:val="false"/>
          <w:color w:val="000000"/>
          <w:sz w:val="13"/>
        </w:rPr>
        <w:t>(2)</w:t>
      </w:r>
      <w:r>
        <w:rPr>
          <w:color w:val="000000"/>
        </w:rPr>
        <w:t> </w:t>
      </w:r>
      <w:r>
        <w:rPr>
          <w:rFonts w:ascii="Arial;sans-serif" w:hAnsi="Arial;sans-serif"/>
          <w:b w:val="false"/>
          <w:color w:val="000000"/>
          <w:sz w:val="20"/>
        </w:rPr>
        <w:t xml:space="preserve">or acquisition gains or losses, divestiture-related costs </w:t>
      </w:r>
      <w:r>
        <w:rPr>
          <w:rFonts w:ascii="Arial;sans-serif" w:hAnsi="Arial;sans-serif"/>
          <w:b w:val="false"/>
          <w:color w:val="000000"/>
          <w:sz w:val="13"/>
        </w:rPr>
        <w:t>(6)</w:t>
      </w:r>
      <w:r>
        <w:rPr>
          <w:rFonts w:ascii="Arial;sans-serif" w:hAnsi="Arial;sans-serif"/>
          <w:b w:val="false"/>
          <w:color w:val="000000"/>
          <w:sz w:val="20"/>
        </w:rPr>
        <w:t xml:space="preserve">, acquisition-related costs </w:t>
      </w:r>
      <w:r>
        <w:rPr>
          <w:rFonts w:ascii="Arial;sans-serif" w:hAnsi="Arial;sans-serif"/>
          <w:b w:val="false"/>
          <w:color w:val="000000"/>
          <w:sz w:val="13"/>
        </w:rPr>
        <w:t>(7)</w:t>
      </w:r>
      <w:r>
        <w:rPr>
          <w:rFonts w:ascii="Arial;sans-serif" w:hAnsi="Arial;sans-serif"/>
          <w:b w:val="false"/>
          <w:color w:val="000000"/>
          <w:sz w:val="20"/>
        </w:rPr>
        <w:t xml:space="preserve">, and acquisition integration costs and contingent consideration adjustments </w:t>
      </w:r>
      <w:r>
        <w:rPr>
          <w:rFonts w:ascii="Arial;sans-serif" w:hAnsi="Arial;sans-serif"/>
          <w:b w:val="false"/>
          <w:color w:val="000000"/>
          <w:sz w:val="13"/>
        </w:rPr>
        <w:t>(8)</w:t>
      </w:r>
      <w:r>
        <w:rPr>
          <w:rFonts w:ascii="Arial;sans-serif" w:hAnsi="Arial;sans-serif"/>
          <w:b w:val="false"/>
          <w:color w:val="000000"/>
          <w:sz w:val="20"/>
        </w:rPr>
        <w:t xml:space="preserve">; inventory step-up charges </w:t>
      </w:r>
      <w:r>
        <w:rPr>
          <w:rFonts w:ascii="Arial;sans-serif" w:hAnsi="Arial;sans-serif"/>
          <w:b w:val="false"/>
          <w:color w:val="000000"/>
          <w:sz w:val="13"/>
        </w:rPr>
        <w:t>(9)</w:t>
      </w:r>
      <w:r>
        <w:rPr>
          <w:rFonts w:ascii="Arial;sans-serif" w:hAnsi="Arial;sans-serif"/>
          <w:b w:val="false"/>
          <w:color w:val="000000"/>
          <w:sz w:val="20"/>
        </w:rPr>
        <w:t xml:space="preserve">; the operating results of divestitures </w:t>
      </w:r>
      <w:r>
        <w:rPr>
          <w:rFonts w:ascii="Arial;sans-serif" w:hAnsi="Arial;sans-serif"/>
          <w:b w:val="false"/>
          <w:color w:val="000000"/>
          <w:sz w:val="13"/>
        </w:rPr>
        <w:t>(2)</w:t>
      </w:r>
      <w:r>
        <w:rPr>
          <w:rFonts w:ascii="Arial;sans-serif" w:hAnsi="Arial;sans-serif"/>
          <w:b w:val="false"/>
          <w:color w:val="000000"/>
          <w:sz w:val="20"/>
        </w:rPr>
        <w:t xml:space="preserve">; operating results from short-term distributor agreements related to the sale of a business </w:t>
      </w:r>
      <w:r>
        <w:rPr>
          <w:rFonts w:ascii="Arial;sans-serif" w:hAnsi="Arial;sans-serif"/>
          <w:b w:val="false"/>
          <w:color w:val="000000"/>
          <w:sz w:val="13"/>
        </w:rPr>
        <w:t>(3)</w:t>
      </w:r>
      <w:r>
        <w:rPr>
          <w:rFonts w:ascii="Arial;sans-serif" w:hAnsi="Arial;sans-serif"/>
          <w:b w:val="false"/>
          <w:color w:val="000000"/>
          <w:sz w:val="20"/>
        </w:rPr>
        <w:t xml:space="preserve">; remeasurement of net monetary position </w:t>
      </w:r>
      <w:r>
        <w:rPr>
          <w:rFonts w:ascii="Arial;sans-serif" w:hAnsi="Arial;sans-serif"/>
          <w:b w:val="false"/>
          <w:color w:val="000000"/>
          <w:sz w:val="13"/>
        </w:rPr>
        <w:t>(10)</w:t>
      </w:r>
      <w:r>
        <w:rPr>
          <w:rFonts w:ascii="Arial;sans-serif" w:hAnsi="Arial;sans-serif"/>
          <w:b w:val="false"/>
          <w:color w:val="000000"/>
          <w:sz w:val="20"/>
        </w:rPr>
        <w:t xml:space="preserve">; mark-to-market impacts from commodity, forecasted currency and equity method investment transaction derivative contracts </w:t>
      </w:r>
      <w:r>
        <w:rPr>
          <w:rFonts w:ascii="Arial;sans-serif" w:hAnsi="Arial;sans-serif"/>
          <w:b w:val="false"/>
          <w:color w:val="000000"/>
          <w:sz w:val="13"/>
        </w:rPr>
        <w:t>(11)</w:t>
      </w:r>
      <w:r>
        <w:rPr>
          <w:rFonts w:ascii="Arial;sans-serif" w:hAnsi="Arial;sans-serif"/>
          <w:b w:val="false"/>
          <w:color w:val="000000"/>
          <w:sz w:val="20"/>
        </w:rPr>
        <w:t xml:space="preserve">; impact from resolution of tax matters </w:t>
      </w:r>
      <w:r>
        <w:rPr>
          <w:rFonts w:ascii="Arial;sans-serif" w:hAnsi="Arial;sans-serif"/>
          <w:b w:val="false"/>
          <w:color w:val="000000"/>
          <w:sz w:val="13"/>
        </w:rPr>
        <w:t>(12)</w:t>
      </w:r>
      <w:r>
        <w:rPr>
          <w:rFonts w:ascii="Arial;sans-serif" w:hAnsi="Arial;sans-serif"/>
          <w:b w:val="false"/>
          <w:color w:val="000000"/>
          <w:sz w:val="20"/>
        </w:rPr>
        <w:t xml:space="preserve">; 2017 malware incident net recoveries; incremental costs due to the war in Ukraine </w:t>
      </w:r>
      <w:r>
        <w:rPr>
          <w:rFonts w:ascii="Arial;sans-serif" w:hAnsi="Arial;sans-serif"/>
          <w:b w:val="false"/>
          <w:color w:val="000000"/>
          <w:sz w:val="13"/>
        </w:rPr>
        <w:t>(13)</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impact from the European Commission legal matter </w:t>
      </w:r>
      <w:r>
        <w:rPr>
          <w:rFonts w:ascii="Arial;sans-serif" w:hAnsi="Arial;sans-serif"/>
          <w:b w:val="false"/>
          <w:color w:val="000000"/>
          <w:sz w:val="13"/>
        </w:rPr>
        <w:t>(14)</w:t>
      </w:r>
      <w:r>
        <w:rPr>
          <w:rFonts w:ascii="Arial;sans-serif" w:hAnsi="Arial;sans-serif"/>
          <w:b w:val="false"/>
          <w:color w:val="000000"/>
          <w:sz w:val="20"/>
        </w:rPr>
        <w:t xml:space="preserve">; the impact from pension participation changes </w:t>
      </w:r>
      <w:r>
        <w:rPr>
          <w:rFonts w:ascii="Arial;sans-serif" w:hAnsi="Arial;sans-serif"/>
          <w:b w:val="false"/>
          <w:color w:val="000000"/>
          <w:sz w:val="13"/>
        </w:rPr>
        <w:t>(15)</w:t>
      </w:r>
      <w:r>
        <w:rPr>
          <w:rFonts w:ascii="Arial;sans-serif" w:hAnsi="Arial;sans-serif"/>
          <w:b w:val="false"/>
          <w:color w:val="000000"/>
          <w:sz w:val="20"/>
        </w:rPr>
        <w:t xml:space="preserve">; and operating costs from the ERP System Implementation program </w:t>
      </w:r>
      <w:r>
        <w:rPr>
          <w:rFonts w:ascii="Arial;sans-serif" w:hAnsi="Arial;sans-serif"/>
          <w:b w:val="false"/>
          <w:color w:val="000000"/>
          <w:sz w:val="13"/>
        </w:rPr>
        <w:t>(16)</w:t>
      </w:r>
      <w:r>
        <w:rPr>
          <w:rFonts w:ascii="Arial;sans-serif" w:hAnsi="Arial;sans-serif"/>
          <w:b w:val="false"/>
          <w:color w:val="000000"/>
          <w:sz w:val="20"/>
        </w:rPr>
        <w:t xml:space="preserve">. We also present “Adjusted Operating Income margin,” which is subject to the same adjustments as Adjusted Operating Income. We also evaluate growth in our Adjusted Operating Income on a constant currency basis </w:t>
      </w:r>
      <w:r>
        <w:rPr>
          <w:rFonts w:ascii="Arial;sans-serif" w:hAnsi="Arial;sans-serif"/>
          <w:b w:val="false"/>
          <w:color w:val="000000"/>
          <w:sz w:val="13"/>
        </w:rPr>
        <w:t>(4)</w:t>
      </w:r>
      <w:r>
        <w:rPr>
          <w:rFonts w:ascii="Arial;sans-serif" w:hAnsi="Arial;sans-serif"/>
          <w:b w:val="false"/>
          <w:color w:val="000000"/>
          <w:sz w:val="20"/>
        </w:rPr>
        <w:t>. We believe these measures provide improved comparability of underlying operating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mark-to-market unrealized gains or losses and realized gains or losses from marketable securities </w:t>
      </w:r>
      <w:r>
        <w:rPr>
          <w:rFonts w:ascii="Arial;sans-serif" w:hAnsi="Arial;sans-serif"/>
          <w:b w:val="false"/>
          <w:color w:val="000000"/>
          <w:sz w:val="13"/>
        </w:rPr>
        <w:t>(17)</w:t>
      </w:r>
      <w:r>
        <w:rPr>
          <w:rFonts w:ascii="Arial;sans-serif" w:hAnsi="Arial;sans-serif"/>
          <w:b w:val="false"/>
          <w:color w:val="000000"/>
          <w:sz w:val="20"/>
        </w:rPr>
        <w:t xml:space="preserve">; initial impacts from enacted tax law changes </w:t>
      </w:r>
      <w:r>
        <w:rPr>
          <w:rFonts w:ascii="Arial;sans-serif" w:hAnsi="Arial;sans-serif"/>
          <w:b w:val="false"/>
          <w:color w:val="000000"/>
          <w:sz w:val="13"/>
        </w:rPr>
        <w:t>(18)</w:t>
      </w:r>
      <w:r>
        <w:rPr>
          <w:rFonts w:ascii="Arial;sans-serif" w:hAnsi="Arial;sans-serif"/>
          <w:b w:val="false"/>
          <w:color w:val="000000"/>
          <w:sz w:val="20"/>
        </w:rPr>
        <w:t xml:space="preserve">; and gains or losses on equity method investment transactions including impairments. Similarly, within Adjusted EPS, our equity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49935"/>
                <wp:effectExtent l="0" t="0" r="0" b="0"/>
                <wp:wrapNone/>
                <wp:docPr id="156" name="Frame5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10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3" descr=""/>
                                          <pic:cNvPicPr>
                                            <a:picLocks noChangeAspect="1" noChangeArrowheads="1"/>
                                          </pic:cNvPicPr>
                                        </pic:nvPicPr>
                                        <pic:blipFill>
                                          <a:blip r:embed="rId10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investment net earnings exclude our proportionate share of our investee's significant operating and non-operating items </w:t>
      </w:r>
      <w:r>
        <w:rPr>
          <w:rFonts w:ascii="Arial;sans-serif" w:hAnsi="Arial;sans-serif"/>
          <w:b w:val="false"/>
          <w:color w:val="000000"/>
          <w:sz w:val="13"/>
        </w:rPr>
        <w:t>(19)</w:t>
      </w:r>
      <w:r>
        <w:rPr>
          <w:rFonts w:ascii="Arial;sans-serif" w:hAnsi="Arial;sans-serif"/>
          <w:b w:val="false"/>
          <w:color w:val="000000"/>
          <w:sz w:val="20"/>
        </w:rPr>
        <w:t xml:space="preserve">. We also evaluate growth in our Adjusted EPS on a constant currency basis </w:t>
      </w:r>
      <w:r>
        <w:rPr>
          <w:rFonts w:ascii="Arial;sans-serif" w:hAnsi="Arial;sans-serif"/>
          <w:b w:val="false"/>
          <w:color w:val="000000"/>
          <w:sz w:val="13"/>
        </w:rPr>
        <w:t>(4)</w:t>
      </w:r>
      <w:r>
        <w:rPr>
          <w:rFonts w:ascii="Arial;sans-serif" w:hAnsi="Arial;sans-serif"/>
          <w:b w:val="false"/>
          <w:color w:val="000000"/>
          <w:sz w:val="20"/>
        </w:rPr>
        <w:t>. We believe Adjusted EPS provides improved comparability of underlying operating results.</w:t>
      </w:r>
    </w:p>
    <w:p>
      <w:pPr>
        <w:pStyle w:val="TextBody"/>
        <w:bidi w:val="0"/>
        <w:spacing w:before="0" w:after="0"/>
        <w:jc w:val="both"/>
        <w:rPr/>
      </w:pPr>
      <w:r>
        <w:rPr/>
      </w:r>
    </w:p>
    <w:p>
      <w:pPr>
        <w:pStyle w:val="TextBody"/>
        <w:bidi w:val="0"/>
        <w:spacing w:lineRule="auto" w:line="256" w:before="0" w:after="0"/>
        <w:ind w:left="0" w:right="0" w:hanging="360"/>
        <w:jc w:val="both"/>
        <w:rPr>
          <w:rFonts w:ascii="Arial;sans-serif" w:hAnsi="Arial;sans-serif"/>
          <w:b w:val="false"/>
          <w:color w:val="000000"/>
          <w:sz w:val="16"/>
        </w:rPr>
      </w:pPr>
      <w:r>
        <w:rPr>
          <w:rFonts w:ascii="Arial;sans-serif" w:hAnsi="Arial;sans-serif"/>
          <w:b w:val="false"/>
          <w:color w:val="000000"/>
          <w:sz w:val="16"/>
        </w:rPr>
        <w:t>(1)When items no longer impact our current or future presentation of non-GAAP operating results, we remove these items from our non-GAAP definitions. Beginning in Q1 2024, due to a significant devaluation of the Argentinean peso that occurred in December 2023 and the resulting distortion it would cause on our non-GAAP constant currency growth rate measures, we now exclude the impact of pricing in excess of 26% year-over-year ("extreme pricing") in Argentina, which is the level at which hyperinflation generally occurs cumulatively over a 3-year period. We have excluded the impact of extreme pricing in Argentina from our calculation of Organic Net Revenue, Organic Net Revenue growth and other non-GAAP financial constant currency growth measures with a corresponding adjustment to changes in currency exchange rates. We made this change on a prospective basis due to the distorting effect expected in the current period and future periods following the Argentinian peso devaluation that occurred in December 2023 and did not revise our historical non-GAAP constant currency growth measures. Beginning in Q2 2024, we added to the non-GAAP definitions the exclusion of operating expenses associated with the ERP System Implementation program as they represent incremental transformational costs above the normal ongoing level of spending on information technology to support operations (see footnote (16) below).</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(3)In the fourth quarter of 2023, we began to exclude the operating results from short-term distributor agreements that have been executed in conjunction with the sale of a business. We exclude this item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 Beginning in the first quarter of 2024, we also now include within our currency-related impacts a corresponding adjustment associated with the impact of extreme pricing in Argentina.</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(6)Divestiture-related costs, which includes costs incurred in relation to the preparation and completion (including one-time costs such as severance related to elimination of stranded costs) of our divestitures as defined in footnote (2), also includes costs incurred associated with our publicly announced processes to sell businesses.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(7)Acquisition-related costs, which includes transaction costs such as third party advisor, investment banking and legal fees, also includes one-time compensation expense related to the buyout of non-vested ESOP shares and realized gains or losses from hedging activities associated with acquisition funds.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recurring employee compensation expense.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pStyle w:val="TextBody"/>
        <w:bidi w:val="0"/>
        <w:spacing w:lineRule="auto" w:line="288" w:before="0" w:after="0"/>
        <w:ind w:left="0" w:right="0" w:hanging="360"/>
        <w:jc w:val="both"/>
        <w:rPr/>
      </w:pPr>
      <w:r>
        <w:rPr>
          <w:rFonts w:ascii="Arial;sans-serif" w:hAnsi="Arial;sans-serif"/>
          <w:b w:val="false"/>
          <w:color w:val="000000"/>
          <w:sz w:val="16"/>
        </w:rPr>
        <w:t xml:space="preserve">(10)In connection with our applying highly inflationary accounting (refer to Note 1, </w:t>
      </w:r>
      <w:r>
        <w:rPr>
          <w:rFonts w:ascii="Arial;sans-serif" w:hAnsi="Arial;sans-serif"/>
          <w:b w:val="false"/>
          <w:i/>
          <w:color w:val="000000"/>
          <w:sz w:val="16"/>
        </w:rPr>
        <w:t>Basis of Presentation</w:t>
      </w:r>
      <w:r>
        <w:rPr>
          <w:rFonts w:ascii="Arial;sans-serif" w:hAnsi="Arial;sans-serif"/>
          <w:b w:val="false"/>
          <w:color w:val="000000"/>
          <w:sz w:val="16"/>
        </w:rPr>
        <w:t>)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 and the realized gains and losses from derivatives that mitigate the foreign currency volatility related to the remeasurement of the respective net monetary assets or liabilities during the periods presented.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(11)We exclude unrealized gains and losses (mark-to-market impacts) from outstanding commodity and forecasted currency and equity method investment transaction derivatives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(12)See Note 12, </w:t>
      </w:r>
      <w:r>
        <w:rPr>
          <w:rFonts w:ascii="Arial;sans-serif" w:hAnsi="Arial;sans-serif"/>
          <w:b w:val="false"/>
          <w:i/>
          <w:color w:val="000000"/>
          <w:sz w:val="16"/>
        </w:rPr>
        <w:t>Commitments and Contingencies</w:t>
      </w:r>
      <w:r>
        <w:rPr>
          <w:rFonts w:ascii="Arial;sans-serif" w:hAnsi="Arial;sans-serif"/>
          <w:b w:val="false"/>
          <w:color w:val="000000"/>
          <w:sz w:val="16"/>
        </w:rPr>
        <w:t>, in this report,</w:t>
      </w:r>
      <w:r>
        <w:rPr>
          <w:color w:val="000000"/>
        </w:rPr>
        <w:t xml:space="preserve"> </w:t>
      </w:r>
      <w:r>
        <w:rPr>
          <w:rFonts w:ascii="Arial;sans-serif" w:hAnsi="Arial;sans-serif"/>
          <w:b w:val="false"/>
          <w:color w:val="000000"/>
          <w:sz w:val="16"/>
        </w:rPr>
        <w:t xml:space="preserve">and Note 14, </w:t>
      </w:r>
      <w:r>
        <w:rPr>
          <w:rFonts w:ascii="Arial;sans-serif" w:hAnsi="Arial;sans-serif"/>
          <w:b w:val="false"/>
          <w:i/>
          <w:color w:val="000000"/>
          <w:sz w:val="16"/>
        </w:rPr>
        <w:t>Commitments and Contingencies</w:t>
      </w:r>
      <w:r>
        <w:rPr>
          <w:rFonts w:ascii="Arial;sans-serif" w:hAnsi="Arial;sans-serif"/>
          <w:b w:val="false"/>
          <w:color w:val="000000"/>
          <w:sz w:val="16"/>
        </w:rPr>
        <w:t xml:space="preserve">, in our Annual Report on Form 10-K for the year ended December 31, 2023.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(13)In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(14)In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49935"/>
                <wp:effectExtent l="0" t="0" r="0" b="0"/>
                <wp:wrapNone/>
                <wp:docPr id="159" name="Frame5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0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10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16"/>
        </w:rPr>
        <w:t xml:space="preserve">unusual and therefore exclude it to better facilitate comparisons of our underlying operating performance across periods. Refer to Note 12, </w:t>
      </w:r>
      <w:r>
        <w:rPr>
          <w:rFonts w:ascii="Arial;sans-serif" w:hAnsi="Arial;sans-serif"/>
          <w:b w:val="false"/>
          <w:i/>
          <w:color w:val="000000"/>
          <w:sz w:val="16"/>
        </w:rPr>
        <w:t xml:space="preserve">Commitments and Contingencies,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(15)The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sans-serif" w:hAnsi="Arial;sans-serif"/>
          <w:b w:val="false"/>
          <w:i/>
          <w:color w:val="000000"/>
          <w:sz w:val="16"/>
        </w:rPr>
        <w:t>Benefit Plans</w:t>
      </w:r>
      <w:r>
        <w:rPr>
          <w:rFonts w:ascii="Arial;sans-serif" w:hAnsi="Arial;sans-serif"/>
          <w:b w:val="false"/>
          <w:color w:val="000000"/>
          <w:sz w:val="16"/>
        </w:rPr>
        <w:t>, for additional information on the multiemployer pension plan withdrawal.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(16)In July 2024, our Board of Directors approved funding of $1.2 billion for a multi-year systems transformation program to upgrade our global ERP and supply chain systems (the “ERP System Implementation”), which is comprised of both capital expenditures and operating expenses, of which a majority is expected to be operating expenses. The ERP System Implementation program will be implemented in several phases with spending occurring over the next five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 These operating expenses will be excluded from our non-GAAP financial measures as they are nonrecurring and excluding those costs will better facilitate comparisons of our underlying operating performance across periods. Costs incurred in the second quarter represent preliminary planning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(17)In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(18)We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(19)We have excluded our proportionate share of our equity method investees’ significant operating and non-operating items such as acquisition and divestiture-related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10-Q, which can be found above under </w:t>
      </w:r>
      <w:r>
        <w:rPr>
          <w:rFonts w:ascii="Arial;sans-serif" w:hAnsi="Arial;sans-serif"/>
          <w:b w:val="false"/>
          <w:i/>
          <w:color w:val="000000"/>
          <w:sz w:val="20"/>
        </w:rPr>
        <w:t>Consolidated Results of Operations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49935"/>
                <wp:effectExtent l="0" t="0" r="0" b="0"/>
                <wp:wrapNone/>
                <wp:docPr id="162" name="Frame5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5" descr=""/>
                                                <pic:cNvPicPr>
                                                  <a:picLocks noChangeAspect="1" noChangeArrowheads="1"/>
                                                </pic:cNvPicPr>
                                              </pic:nvPicPr>
                                              <pic:blipFill>
                                                <a:blip r:embed="rId10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11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9,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for additional information on our debt activity, see Note 8, </w:t>
      </w:r>
      <w:r>
        <w:rPr>
          <w:rFonts w:ascii="Arial;sans-serif" w:hAnsi="Arial;sans-serif"/>
          <w:b w:val="false"/>
          <w:i/>
          <w:color w:val="000000"/>
          <w:sz w:val="20"/>
        </w:rPr>
        <w:t>Debt and Borrowing Arrangements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additional information on our strategies, policies and practices on an ongoing basis, refer to our Annual Report on Form 10-K 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2024. Based on this evaluation, the CEO and CFO concluded that our disclosure controls and procedures were effective as of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together with our CEO and CFO, evaluated the changes in our internal control over financial reporting during the quarter ended June 30, 2024. There were no material changes in our internal control over financial reporting during the quarter ended June 30, 2024, that have materially affected, or are reasonably likely to materially affect, our internal control over financial reporting.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49935"/>
                <wp:effectExtent l="0" t="0" r="0" b="0"/>
                <wp:wrapNone/>
                <wp:docPr id="165" name="Frame5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6" descr=""/>
                                                <pic:cNvPicPr>
                                                  <a:picLocks noChangeAspect="1" noChangeArrowheads="1"/>
                                                </pic:cNvPicPr>
                                              </pic:nvPicPr>
                                              <pic:blipFill>
                                                <a:blip r:embed="rId11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11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legal proceedings is available in Note 12, </w:t>
      </w:r>
      <w:r>
        <w:rPr>
          <w:rFonts w:ascii="Arial;sans-serif" w:hAnsi="Arial;sans-serif"/>
          <w:b w:val="false"/>
          <w:i/>
          <w:color w:val="000000"/>
          <w:sz w:val="20"/>
        </w:rPr>
        <w:t>Commitments and Contingencies</w:t>
      </w:r>
      <w:r>
        <w:rPr>
          <w:rFonts w:ascii="Arial;sans-serif" w:hAnsi="Arial;sans-serif"/>
          <w:b w:val="false"/>
          <w:color w:val="000000"/>
          <w:sz w:val="20"/>
        </w:rPr>
        <w:t>, to the condensed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material changes to the risk factors disclosed in our Annual Report on Form 10-K for the year ended December 31,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 repurchase activity for each of the three months in the quarter ended June 30, 2024 was:</w:t>
      </w:r>
    </w:p>
    <w:tbl>
      <w:tblPr>
        <w:tblW w:w="10205" w:type="dxa"/>
        <w:jc w:val="left"/>
        <w:tblInd w:w="0" w:type="dxa"/>
        <w:tblLayout w:type="fixed"/>
        <w:tblCellMar>
          <w:top w:w="28" w:type="dxa"/>
          <w:left w:w="28" w:type="dxa"/>
          <w:bottom w:w="28" w:type="dxa"/>
          <w:right w:w="28" w:type="dxa"/>
        </w:tblCellMar>
      </w:tblPr>
      <w:tblGrid>
        <w:gridCol w:w="702"/>
        <w:gridCol w:w="620"/>
        <w:gridCol w:w="566"/>
        <w:gridCol w:w="510"/>
        <w:gridCol w:w="511"/>
        <w:gridCol w:w="328"/>
        <w:gridCol w:w="109"/>
        <w:gridCol w:w="109"/>
        <w:gridCol w:w="109"/>
        <w:gridCol w:w="217"/>
        <w:gridCol w:w="666"/>
        <w:gridCol w:w="113"/>
        <w:gridCol w:w="109"/>
        <w:gridCol w:w="109"/>
        <w:gridCol w:w="109"/>
        <w:gridCol w:w="510"/>
        <w:gridCol w:w="511"/>
        <w:gridCol w:w="511"/>
        <w:gridCol w:w="109"/>
        <w:gridCol w:w="109"/>
        <w:gridCol w:w="109"/>
        <w:gridCol w:w="720"/>
        <w:gridCol w:w="2206"/>
        <w:gridCol w:w="533"/>
      </w:tblGrid>
      <w:tr>
        <w:trPr/>
        <w:tc>
          <w:tcPr>
            <w:tcW w:w="7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Period</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40" w:before="0" w:after="0"/>
              <w:jc w:val="center"/>
              <w:rPr/>
            </w:pPr>
            <w:r>
              <w:rPr>
                <w:rFonts w:ascii="Arial;sans-serif" w:hAnsi="Arial;sans-serif"/>
                <w:b/>
                <w:color w:val="000000"/>
                <w:sz w:val="16"/>
              </w:rPr>
              <w:t xml:space="preserve">Purchased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Part of Publicly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Announced Plans</w:t>
            </w:r>
          </w:p>
          <w:p>
            <w:pPr>
              <w:pStyle w:val="TableContents"/>
              <w:bidi w:val="0"/>
              <w:spacing w:lineRule="auto" w:line="240" w:before="0" w:after="0"/>
              <w:jc w:val="center"/>
              <w:rPr/>
            </w:pPr>
            <w:r>
              <w:rPr>
                <w:rFonts w:ascii="Arial;sans-serif" w:hAnsi="Arial;sans-serif"/>
                <w:b/>
                <w:color w:val="000000"/>
                <w:sz w:val="16"/>
              </w:rPr>
              <w:t xml:space="preserve">or Programs </w:t>
            </w:r>
            <w:r>
              <w:rPr>
                <w:rFonts w:ascii="Arial;sans-serif" w:hAnsi="Arial;sans-serif"/>
                <w:b/>
                <w:color w:val="000000"/>
                <w:sz w:val="10"/>
              </w:rPr>
              <w:t>(2)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of Shares That May Yet Be Purchased Under the Plans or Programs </w:t>
            </w:r>
            <w:r>
              <w:rPr>
                <w:rFonts w:ascii="Arial;sans-serif" w:hAnsi="Arial;sans-serif"/>
                <w:b/>
                <w:color w:val="000000"/>
                <w:sz w:val="10"/>
              </w:rPr>
              <w:t>(2)</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1-30,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2,699,861 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2,693,987 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3,688 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1-31, 2024</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2,266,220 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2,265,694 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1-30, 2024</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2,337,068 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2,336,723 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 Ended June 30, 2024</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7,303,149 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7,296,404 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5,874 shares, 526 shares and 345 shares for the fiscal months of April, May and June 2024, respectively.</w:t>
      </w:r>
    </w:p>
    <w:p>
      <w:pPr>
        <w:pStyle w:val="TextBody"/>
        <w:bidi w:val="0"/>
        <w:spacing w:lineRule="auto" w:line="288" w:before="0" w:after="0"/>
        <w:ind w:left="0" w:right="0" w:hanging="360"/>
        <w:jc w:val="both"/>
        <w:rPr/>
      </w:pPr>
      <w:r>
        <w:rPr>
          <w:rFonts w:ascii="Arial;sans-serif" w:hAnsi="Arial;sans-serif"/>
          <w:b w:val="false"/>
          <w:color w:val="000000"/>
          <w:sz w:val="16"/>
        </w:rPr>
        <w:t xml:space="preserve">(2)Dollar values stated in millions. Effective January 1, 2023, our Board of Directors authorized a program for the repurchase of $6.0 billion of our Common Stock through December 31, 2025, excluding excise tax. During the year ended December 31, 2023, we repurchased approximately $1.6 billion of Common Stock pursuant to this authorization. During the six months ended June 30, 2024, we repurchased $1.0 billion, and as of June 30, 2024, we had approximately $3.4 billion share repurchase authorization remaining. See related information in Note 11, </w:t>
      </w:r>
      <w:r>
        <w:rPr>
          <w:rFonts w:ascii="Arial;sans-serif" w:hAnsi="Arial;sans-serif"/>
          <w:b w:val="false"/>
          <w:i/>
          <w:color w:val="000000"/>
          <w:sz w:val="16"/>
        </w:rPr>
        <w:t>Stock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 Insider Trading Arrangements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June 30, 2024, no such plans or other arrangements were adopted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49935"/>
                <wp:effectExtent l="0" t="0" r="0" b="0"/>
                <wp:wrapNone/>
                <wp:docPr id="168" name="Frame5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7" descr=""/>
                                                <pic:cNvPicPr>
                                                  <a:picLocks noChangeAspect="1" noChangeArrowheads="1"/>
                                                </pic:cNvPicPr>
                                              </pic:nvPicPr>
                                              <pic:blipFill>
                                                <a:blip r:embed="rId11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7" descr=""/>
                                          <pic:cNvPicPr>
                                            <a:picLocks noChangeAspect="1" noChangeArrowheads="1"/>
                                          </pic:cNvPicPr>
                                        </pic:nvPicPr>
                                        <pic:blipFill>
                                          <a:blip r:embed="rId11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832"/>
        <w:gridCol w:w="2579"/>
        <w:gridCol w:w="367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Registrant agrees to furnish to the SEC upon request copies of any instruments defining the rights of holders of long-term debt of the Registrant and its consolidated subsidiaries that does not exceed 10 percent of the total assets of the Registrant and its consolidated subsidiaries.</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_63024.htm">
              <w:r>
                <w:rPr>
                  <w:rStyle w:val="InternetLink"/>
                  <w:rFonts w:ascii="Arial;sans-serif" w:hAnsi="Arial;sans-serif"/>
                  <w:b w:val="false"/>
                  <w:color w:val="000080"/>
                  <w:sz w:val="20"/>
                  <w:u w:val="single"/>
                </w:rPr>
                <w:t xml:space="preserve">First Amendment of the </w:t>
              </w:r>
            </w:hyperlink>
            <w:hyperlink w:anchor="ex101_63024.htm">
              <w:r>
                <w:rPr>
                  <w:rStyle w:val="InternetLink"/>
                  <w:rFonts w:ascii="Arial;sans-serif" w:hAnsi="Arial;sans-serif"/>
                  <w:b w:val="false"/>
                  <w:color w:val="000080"/>
                  <w:sz w:val="20"/>
                  <w:u w:val="single"/>
                </w:rPr>
                <w:t>Mondelēz International, Inc. Amended and Restated 2005 Performance Incentive Plan</w:t>
              </w:r>
            </w:hyperlink>
            <w:hyperlink w:anchor="ex101_63024.htm">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_63024.htm">
              <w:r>
                <w:rPr>
                  <w:rStyle w:val="InternetLink"/>
                  <w:rFonts w:ascii="Arial;sans-serif" w:hAnsi="Arial;sans-serif"/>
                  <w:b w:val="false"/>
                  <w:color w:val="0000FF"/>
                  <w:sz w:val="20"/>
                  <w:u w:val="single"/>
                </w:rPr>
                <w:t>Mondelēz International, Inc. 2024 Performance Incentive Plan</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_63024.htm">
              <w:r>
                <w:rPr>
                  <w:rStyle w:val="InternetLink"/>
                  <w:rFonts w:ascii="Arial;sans-serif" w:hAnsi="Arial;sans-serif"/>
                  <w:b w:val="false"/>
                  <w:color w:val="000080"/>
                  <w:sz w:val="20"/>
                  <w:u w:val="single"/>
                </w:rPr>
                <w:t>2024 Form of Mondelēz International, Inc.</w:t>
              </w:r>
            </w:hyperlink>
            <w:hyperlink w:anchor="ex103_63024.htm">
              <w:r>
                <w:rPr>
                  <w:rStyle w:val="InternetLink"/>
                  <w:rFonts w:ascii="Arial;sans-serif" w:hAnsi="Arial;sans-serif"/>
                  <w:b w:val="false"/>
                  <w:color w:val="000080"/>
                  <w:sz w:val="20"/>
                  <w:u w:val="single"/>
                </w:rPr>
                <w:t xml:space="preserve"> </w:t>
              </w:r>
            </w:hyperlink>
            <w:hyperlink w:anchor="ex103_63024.htm">
              <w:r>
                <w:rPr>
                  <w:rStyle w:val="InternetLink"/>
                  <w:rFonts w:ascii="Arial;sans-serif" w:hAnsi="Arial;sans-serif"/>
                  <w:b w:val="false"/>
                  <w:color w:val="000080"/>
                  <w:sz w:val="20"/>
                  <w:u w:val="single"/>
                </w:rPr>
                <w:t>2024</w:t>
              </w:r>
            </w:hyperlink>
            <w:hyperlink w:anchor="ex103_63024.htm">
              <w:r>
                <w:rPr>
                  <w:rStyle w:val="InternetLink"/>
                  <w:rFonts w:ascii="Arial;sans-serif" w:hAnsi="Arial;sans-serif"/>
                  <w:b w:val="false"/>
                  <w:color w:val="000080"/>
                  <w:sz w:val="20"/>
                  <w:u w:val="single"/>
                </w:rPr>
                <w:t xml:space="preserve"> Performance Incentive Plan Non-Qualified Global Stock Options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4_63024.htm">
              <w:r>
                <w:rPr>
                  <w:rStyle w:val="InternetLink"/>
                  <w:rFonts w:ascii="Arial;sans-serif" w:hAnsi="Arial;sans-serif"/>
                  <w:b w:val="false"/>
                  <w:color w:val="000080"/>
                  <w:sz w:val="20"/>
                  <w:u w:val="single"/>
                </w:rPr>
                <w:t>2024 Form of Mondelēz International, Inc. 2024 Performance Incentive Plan Non-Qualified Global Stock Options Agreement</w:t>
              </w:r>
            </w:hyperlink>
            <w:hyperlink w:anchor="ex104_63024.htm">
              <w:r>
                <w:rPr>
                  <w:rStyle w:val="InternetLink"/>
                  <w:rFonts w:ascii="Arial;sans-serif" w:hAnsi="Arial;sans-serif"/>
                  <w:b w:val="false"/>
                  <w:color w:val="000080"/>
                  <w:sz w:val="20"/>
                  <w:u w:val="single"/>
                </w:rPr>
                <w:t xml:space="preserve"> (California Agreement)</w:t>
              </w:r>
            </w:hyperlink>
            <w:hyperlink w:anchor="ex104_63024.htm">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5_63024.htm">
              <w:r>
                <w:rPr>
                  <w:rStyle w:val="InternetLink"/>
                  <w:rFonts w:ascii="Arial;sans-serif" w:hAnsi="Arial;sans-serif"/>
                  <w:b w:val="false"/>
                  <w:color w:val="000080"/>
                  <w:sz w:val="20"/>
                  <w:u w:val="single"/>
                </w:rPr>
                <w:t xml:space="preserve">2024 Form of Mondelēz International, Inc. 2024 Performance Incentive </w:t>
              </w:r>
            </w:hyperlink>
            <w:hyperlink w:anchor="ex105_63024.htm">
              <w:r>
                <w:rPr>
                  <w:rStyle w:val="InternetLink"/>
                  <w:rFonts w:ascii="Arial;sans-serif" w:hAnsi="Arial;sans-serif"/>
                  <w:b w:val="false"/>
                  <w:color w:val="000080"/>
                  <w:sz w:val="20"/>
                  <w:u w:val="single"/>
                </w:rPr>
                <w:t xml:space="preserve">Plan </w:t>
              </w:r>
            </w:hyperlink>
            <w:hyperlink w:anchor="ex105_63024.htm">
              <w:r>
                <w:rPr>
                  <w:rStyle w:val="InternetLink"/>
                  <w:rFonts w:ascii="Arial;sans-serif" w:hAnsi="Arial;sans-serif"/>
                  <w:b w:val="false"/>
                  <w:color w:val="000080"/>
                  <w:sz w:val="20"/>
                  <w:u w:val="single"/>
                </w:rPr>
                <w:t>Global Long</w:t>
              </w:r>
            </w:hyperlink>
            <w:hyperlink w:anchor="ex105_63024.htm">
              <w:r>
                <w:rPr>
                  <w:rStyle w:val="InternetLink"/>
                  <w:rFonts w:ascii="Arial;sans-serif" w:hAnsi="Arial;sans-serif"/>
                  <w:b w:val="false"/>
                  <w:color w:val="000080"/>
                  <w:sz w:val="20"/>
                  <w:u w:val="single"/>
                </w:rPr>
                <w:t>-</w:t>
              </w:r>
            </w:hyperlink>
            <w:hyperlink w:anchor="ex105_63024.htm">
              <w:r>
                <w:rPr>
                  <w:rStyle w:val="InternetLink"/>
                  <w:rFonts w:ascii="Arial;sans-serif" w:hAnsi="Arial;sans-serif"/>
                  <w:b w:val="false"/>
                  <w:color w:val="000080"/>
                  <w:sz w:val="20"/>
                  <w:u w:val="single"/>
                </w:rPr>
                <w:t>Term Incentiv</w:t>
              </w:r>
            </w:hyperlink>
            <w:hyperlink w:anchor="ex105_63024.htm">
              <w:r>
                <w:rPr>
                  <w:rStyle w:val="InternetLink"/>
                  <w:rFonts w:ascii="Arial;sans-serif" w:hAnsi="Arial;sans-serif"/>
                  <w:b w:val="false"/>
                  <w:color w:val="000080"/>
                  <w:sz w:val="20"/>
                  <w:u w:val="single"/>
                </w:rPr>
                <w:t>e Grant</w:t>
              </w:r>
            </w:hyperlink>
            <w:hyperlink w:anchor="ex105_63024.htm">
              <w:r>
                <w:rPr>
                  <w:rStyle w:val="InternetLink"/>
                  <w:rFonts w:ascii="Arial;sans-serif" w:hAnsi="Arial;sans-serif"/>
                  <w:b w:val="false"/>
                  <w:color w:val="000080"/>
                  <w:sz w:val="20"/>
                  <w:u w:val="single"/>
                </w:rPr>
                <w:t xml:space="preserve"> </w:t>
              </w:r>
            </w:hyperlink>
            <w:hyperlink w:anchor="ex105_63024.htm">
              <w:r>
                <w:rPr>
                  <w:rStyle w:val="InternetLink"/>
                  <w:rFonts w:ascii="Arial;sans-serif" w:hAnsi="Arial;sans-serif"/>
                  <w:b w:val="false"/>
                  <w:color w:val="000080"/>
                  <w:sz w:val="20"/>
                  <w:u w:val="single"/>
                </w:rPr>
                <w:t>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6_63024.htm">
              <w:r>
                <w:rPr>
                  <w:rStyle w:val="InternetLink"/>
                  <w:rFonts w:ascii="Arial;sans-serif" w:hAnsi="Arial;sans-serif"/>
                  <w:b w:val="false"/>
                  <w:color w:val="000080"/>
                  <w:sz w:val="20"/>
                  <w:u w:val="single"/>
                </w:rPr>
                <w:t>2024 Form of Mondelēz International, Inc. 2024 Performance Incentive Plan Global Long-Term Incentive Grant Agreement.</w:t>
              </w:r>
            </w:hyperlink>
            <w:hyperlink w:anchor="ex106_63024.htm">
              <w:r>
                <w:rPr>
                  <w:rStyle w:val="InternetLink"/>
                  <w:rFonts w:ascii="Arial;sans-serif" w:hAnsi="Arial;sans-serif"/>
                  <w:b w:val="false"/>
                  <w:color w:val="000080"/>
                  <w:sz w:val="20"/>
                  <w:u w:val="single"/>
                </w:rPr>
                <w:t xml:space="preserve"> (California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7_63024.htm">
              <w:r>
                <w:rPr>
                  <w:rStyle w:val="InternetLink"/>
                  <w:rFonts w:ascii="Arial;sans-serif" w:hAnsi="Arial;sans-serif"/>
                  <w:b w:val="false"/>
                  <w:color w:val="000080"/>
                  <w:sz w:val="20"/>
                  <w:u w:val="single"/>
                </w:rPr>
                <w:t xml:space="preserve">2024 Form of Mondelēz International, Inc. 2024 Performance Incentive Plan Global </w:t>
              </w:r>
            </w:hyperlink>
            <w:hyperlink w:anchor="ex107_63024.htm">
              <w:r>
                <w:rPr>
                  <w:rStyle w:val="InternetLink"/>
                  <w:rFonts w:ascii="Arial;sans-serif" w:hAnsi="Arial;sans-serif"/>
                  <w:b w:val="false"/>
                  <w:color w:val="000080"/>
                  <w:sz w:val="20"/>
                  <w:u w:val="single"/>
                </w:rPr>
                <w:t>Def</w:t>
              </w:r>
            </w:hyperlink>
            <w:hyperlink w:anchor="ex107_63024.htm">
              <w:r>
                <w:rPr>
                  <w:rStyle w:val="InternetLink"/>
                  <w:rFonts w:ascii="Arial;sans-serif" w:hAnsi="Arial;sans-serif"/>
                  <w:b w:val="false"/>
                  <w:color w:val="000080"/>
                  <w:sz w:val="20"/>
                  <w:u w:val="single"/>
                </w:rPr>
                <w:t>erred Stock Unit</w:t>
              </w:r>
            </w:hyperlink>
            <w:hyperlink w:anchor="ex107_63024.htm">
              <w:r>
                <w:rPr>
                  <w:rStyle w:val="InternetLink"/>
                  <w:rFonts w:ascii="Arial;sans-serif" w:hAnsi="Arial;sans-serif"/>
                  <w:b w:val="false"/>
                  <w:color w:val="000080"/>
                  <w:sz w:val="20"/>
                  <w:u w:val="single"/>
                </w:rPr>
                <w:t xml:space="preserve">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8_63024.htm">
              <w:r>
                <w:rPr>
                  <w:rStyle w:val="InternetLink"/>
                  <w:rFonts w:ascii="Arial;sans-serif" w:hAnsi="Arial;sans-serif"/>
                  <w:b w:val="false"/>
                  <w:color w:val="000080"/>
                  <w:sz w:val="20"/>
                  <w:u w:val="single"/>
                </w:rPr>
                <w:t xml:space="preserve">2024 Form of Mondelēz International, Inc. 2024 Performance Incentive Plan Global </w:t>
              </w:r>
            </w:hyperlink>
            <w:hyperlink w:anchor="ex108_63024.htm">
              <w:r>
                <w:rPr>
                  <w:rStyle w:val="InternetLink"/>
                  <w:rFonts w:ascii="Arial;sans-serif" w:hAnsi="Arial;sans-serif"/>
                  <w:b w:val="false"/>
                  <w:color w:val="000080"/>
                  <w:sz w:val="20"/>
                  <w:u w:val="single"/>
                </w:rPr>
                <w:t xml:space="preserve">Deferred </w:t>
              </w:r>
            </w:hyperlink>
            <w:hyperlink w:anchor="ex108_63024.htm">
              <w:r>
                <w:rPr>
                  <w:rStyle w:val="InternetLink"/>
                  <w:rFonts w:ascii="Arial;sans-serif" w:hAnsi="Arial;sans-serif"/>
                  <w:b w:val="false"/>
                  <w:color w:val="000080"/>
                  <w:sz w:val="20"/>
                  <w:u w:val="single"/>
                </w:rPr>
                <w:t>S</w:t>
              </w:r>
            </w:hyperlink>
            <w:hyperlink w:anchor="ex108_63024.htm">
              <w:r>
                <w:rPr>
                  <w:rStyle w:val="InternetLink"/>
                  <w:rFonts w:ascii="Arial;sans-serif" w:hAnsi="Arial;sans-serif"/>
                  <w:b w:val="false"/>
                  <w:color w:val="000080"/>
                  <w:sz w:val="20"/>
                  <w:u w:val="single"/>
                </w:rPr>
                <w:t xml:space="preserve">tock Unit </w:t>
              </w:r>
            </w:hyperlink>
            <w:hyperlink w:anchor="ex108_63024.htm">
              <w:r>
                <w:rPr>
                  <w:rStyle w:val="InternetLink"/>
                  <w:rFonts w:ascii="Arial;sans-serif" w:hAnsi="Arial;sans-serif"/>
                  <w:b w:val="false"/>
                  <w:color w:val="000080"/>
                  <w:sz w:val="20"/>
                  <w:u w:val="single"/>
                </w:rPr>
                <w:t>Agreement</w:t>
              </w:r>
            </w:hyperlink>
            <w:hyperlink w:anchor="ex108_63024.htm">
              <w:r>
                <w:rPr>
                  <w:rStyle w:val="InternetLink"/>
                  <w:rFonts w:ascii="Arial;sans-serif" w:hAnsi="Arial;sans-serif"/>
                  <w:b w:val="false"/>
                  <w:color w:val="000080"/>
                  <w:sz w:val="20"/>
                  <w:u w:val="single"/>
                </w:rPr>
                <w:t xml:space="preserve"> (California Agreement)</w:t>
              </w:r>
            </w:hyperlink>
            <w:hyperlink w:anchor="ex108_63024.htm">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9_63024.htm">
              <w:r>
                <w:rPr>
                  <w:rStyle w:val="InternetLink"/>
                  <w:rFonts w:ascii="Arial;sans-serif" w:hAnsi="Arial;sans-serif"/>
                  <w:b w:val="false"/>
                  <w:color w:val="000080"/>
                  <w:sz w:val="20"/>
                  <w:u w:val="single"/>
                </w:rPr>
                <w:t>Mondelēz International, Inc.</w:t>
              </w:r>
            </w:hyperlink>
            <w:hyperlink w:anchor="ex109_63024.htm">
              <w:r>
                <w:rPr>
                  <w:rStyle w:val="InternetLink"/>
                  <w:rFonts w:ascii="Arial;sans-serif" w:hAnsi="Arial;sans-serif"/>
                  <w:b w:val="false"/>
                  <w:color w:val="000080"/>
                  <w:sz w:val="20"/>
                  <w:u w:val="single"/>
                </w:rPr>
                <w:t xml:space="preserve"> Change in Control Plan for Key Executives</w:t>
              </w:r>
            </w:hyperlink>
            <w:hyperlink w:anchor="ex109_63024.htm">
              <w:r>
                <w:rPr>
                  <w:rStyle w:val="InternetLink"/>
                  <w:rFonts w:ascii="Arial;sans-serif" w:hAnsi="Arial;sans-serif"/>
                  <w:b w:val="false"/>
                  <w:color w:val="000080"/>
                  <w:sz w:val="20"/>
                  <w:u w:val="single"/>
                </w:rPr>
                <w:t>, am</w:t>
              </w:r>
            </w:hyperlink>
            <w:hyperlink w:anchor="ex109_63024.htm">
              <w:r>
                <w:rPr>
                  <w:rStyle w:val="InternetLink"/>
                  <w:rFonts w:ascii="Arial;sans-serif" w:hAnsi="Arial;sans-serif"/>
                  <w:b w:val="false"/>
                  <w:color w:val="000080"/>
                  <w:sz w:val="20"/>
                  <w:u w:val="single"/>
                </w:rPr>
                <w:t>ended May 21, 2024</w:t>
              </w:r>
            </w:hyperlink>
            <w:hyperlink w:anchor="ex109_63024.htm">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63024.htm">
              <w:r>
                <w:rPr>
                  <w:rStyle w:val="InternetLink"/>
                  <w:rFonts w:ascii="Arial;sans-serif" w:hAnsi="Arial;sans-serif"/>
                  <w:b w:val="false"/>
                  <w:color w:val="0000FF"/>
                  <w:sz w:val="20"/>
                  <w:u w:val="single"/>
                </w:rPr>
                <w:t>Certification of Chief Executive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63024.htm">
              <w:r>
                <w:rPr>
                  <w:rStyle w:val="InternetLink"/>
                  <w:rFonts w:ascii="Arial;sans-serif" w:hAnsi="Arial;sans-serif"/>
                  <w:b w:val="false"/>
                  <w:color w:val="0000FF"/>
                  <w:sz w:val="20"/>
                  <w:u w:val="single"/>
                </w:rPr>
                <w:t>Certification of Chief Financial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63024.htm">
              <w:r>
                <w:rPr>
                  <w:rStyle w:val="InternetLink"/>
                  <w:rFonts w:ascii="Arial;sans-serif" w:hAnsi="Arial;sans-serif"/>
                  <w:b w:val="false"/>
                  <w:color w:val="0000FF"/>
                  <w:sz w:val="20"/>
                  <w:u w:val="single"/>
                </w:rPr>
                <w:t>Certifications of Chief Executive Officer and Chief Financial Officer pursuant to 18 U.S.C. 1350, as adopted pursuant to Section 906 of the Sarbanes-Oxley Act of 2002.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The following materials from Mondelēz International’s Quarterly Report on Form 10-Q for the quarter ended June 30, 2024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 </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from Mondelēz International’s Quarterly Report on Form 10-Q for the quarter ended June 30, 2024, formatted in Inline XBRL (included as Exhibit 101).</w:t>
            </w:r>
          </w:p>
        </w:tc>
      </w:tr>
    </w:tbl>
    <w:p>
      <w:pPr>
        <w:pStyle w:val="TextBody"/>
        <w:bidi w:val="0"/>
        <w:spacing w:before="100" w:after="283"/>
        <w:jc w:val="left"/>
        <w:rPr/>
      </w:pPr>
      <w:r>
        <w:rPr/>
      </w:r>
    </w:p>
    <w:p>
      <w:pPr>
        <w:pStyle w:val="TextBody"/>
        <w:bidi w:val="0"/>
        <w:spacing w:lineRule="auto" w:line="288" w:before="0" w:after="0"/>
        <w:ind w:left="0" w:right="0" w:firstLine="1440"/>
        <w:jc w:val="center"/>
        <w:rPr>
          <w:rFonts w:ascii="Arial;sans-serif" w:hAnsi="Arial;sans-serif"/>
          <w:b w:val="false"/>
          <w:i/>
          <w:color w:val="000000"/>
          <w:sz w:val="20"/>
        </w:rPr>
      </w:pPr>
      <w:r>
        <w:rPr>
          <w:rFonts w:ascii="Arial;sans-serif" w:hAnsi="Arial;sans-serif"/>
          <w:b w:val="false"/>
          <w:i/>
          <w:color w:val="000000"/>
          <w:sz w:val="20"/>
        </w:rPr>
        <w:t>+ Indicates a management contract or compensatory plan or arrangement.</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49935"/>
                <wp:effectExtent l="0" t="0" r="0" b="0"/>
                <wp:wrapNone/>
                <wp:docPr id="171" name="Frame5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8" descr=""/>
                                                <pic:cNvPicPr>
                                                  <a:picLocks noChangeAspect="1" noChangeArrowheads="1"/>
                                                </pic:cNvPicPr>
                                              </pic:nvPicPr>
                                              <pic:blipFill>
                                                <a:blip r:embed="rId11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8" descr=""/>
                                          <pic:cNvPicPr>
                                            <a:picLocks noChangeAspect="1" noChangeArrowheads="1"/>
                                          </pic:cNvPicPr>
                                        </pic:nvPicPr>
                                        <pic:blipFill>
                                          <a:blip r:embed="rId11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1226da0293548ea8aab3be9cc11fe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76" w:type="dxa"/>
        <w:jc w:val="left"/>
        <w:tblInd w:w="0" w:type="dxa"/>
        <w:tblLayout w:type="fixed"/>
        <w:tblCellMar>
          <w:top w:w="28" w:type="dxa"/>
          <w:left w:w="28" w:type="dxa"/>
          <w:bottom w:w="28" w:type="dxa"/>
          <w:right w:w="28" w:type="dxa"/>
        </w:tblCellMar>
      </w:tblPr>
      <w:tblGrid>
        <w:gridCol w:w="1081"/>
        <w:gridCol w:w="950"/>
        <w:gridCol w:w="134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MONDELĒZ INTERNATIONAL, INC.</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LUCA ZARAMELLA</w:t>
            </w:r>
          </w:p>
        </w:tc>
      </w:tr>
      <w:tr>
        <w:trPr/>
        <w:tc>
          <w:tcPr>
            <w:tcW w:w="3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(Duly Authorized Officer)</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30, 2024</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49935"/>
                <wp:effectExtent l="0" t="0" r="0" b="0"/>
                <wp:wrapNone/>
                <wp:docPr id="174" name="Frame5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9" descr=""/>
                                                <pic:cNvPicPr>
                                                  <a:picLocks noChangeAspect="1" noChangeArrowheads="1"/>
                                                </pic:cNvPicPr>
                                              </pic:nvPicPr>
                                              <pic:blipFill>
                                                <a:blip r:embed="rId11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427.6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9" descr=""/>
                                          <pic:cNvPicPr>
                                            <a:picLocks noChangeAspect="1" noChangeArrowheads="1"/>
                                          </pic:cNvPicPr>
                                        </pic:nvPicPr>
                                        <pic:blipFill>
                                          <a:blip r:embed="rId11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FIRST AMENDMENT TO THE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Amended and Restated as of February 3, 2017)</w:t>
      </w:r>
    </w:p>
    <w:p>
      <w:pPr>
        <w:pStyle w:val="TextBody"/>
        <w:bidi w:val="0"/>
        <w:spacing w:before="0" w:after="160"/>
        <w:jc w:val="center"/>
        <w:rPr/>
      </w:pPr>
      <w:r>
        <w:rPr/>
      </w:r>
    </w:p>
    <w:p>
      <w:pPr>
        <w:pStyle w:val="TextBody"/>
        <w:bidi w:val="0"/>
        <w:spacing w:lineRule="auto" w:line="288" w:before="0" w:after="160"/>
        <w:ind w:left="0" w:right="0" w:firstLine="36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Mondelēz International, Inc., a corporation organized under the laws of the Commonwealth of Virginia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maintains the Mondelēz International, Inc. 2005 Performance Incentive Plan, as amended and restated as of February 3, 2017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160"/>
        <w:ind w:left="0" w:right="0" w:firstLine="36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Section 7(a) of the Plan, the Company’s Board of Directors (the “</w:t>
      </w:r>
      <w:r>
        <w:rPr>
          <w:rFonts w:ascii="Times New Roman;sans-serif" w:hAnsi="Times New Roman;sans-serif"/>
          <w:b w:val="false"/>
          <w:color w:val="000000"/>
          <w:sz w:val="22"/>
          <w:u w:val="single"/>
        </w:rPr>
        <w:t>Board</w:t>
      </w:r>
      <w:r>
        <w:rPr>
          <w:color w:val="000000"/>
        </w:rPr>
        <w:t>”</w:t>
      </w:r>
      <w:r>
        <w:rPr>
          <w:rFonts w:ascii="Times New Roman;sans-serif" w:hAnsi="Times New Roman;sans-serif"/>
          <w:b w:val="false"/>
          <w:color w:val="000000"/>
          <w:sz w:val="22"/>
        </w:rPr>
        <w:t>) may amend the Plan at any time, provided that any amendment which (i) would materially increase the benefits accruing to the participants, (ii) would materially increase the number of securities that may be issued under the Plan, (iii) would materially modify the requirements for participation in the Plan or (iv) must otherwise be approved by the shareholders of the Company in order to comply with applicable law or the rules of the NASDAQ Global Select Market, then such amendment shall be subject to approval by the Company’s shareholders; and</w:t>
      </w:r>
    </w:p>
    <w:p>
      <w:pPr>
        <w:pStyle w:val="TextBody"/>
        <w:bidi w:val="0"/>
        <w:spacing w:lineRule="auto" w:line="288" w:before="0" w:after="160"/>
        <w:ind w:left="0" w:right="0" w:firstLine="36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Board has determined it is advisable and in the best interests of the Company and its shareholders to amend the Plan to clarify the effect of a Change in Control on outstanding equity awards under the Plan, and determined such amendment does not require shareholder approval under the Plan.</w:t>
      </w:r>
    </w:p>
    <w:p>
      <w:pPr>
        <w:pStyle w:val="TextBody"/>
        <w:bidi w:val="0"/>
        <w:spacing w:lineRule="auto" w:line="288" w:before="0" w:after="160"/>
        <w:ind w:left="0" w:right="0" w:firstLine="36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pursuant to Section 7(a) of the Plan, the Plan is hereby amended as follows, effective as of May 22, 2024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1.Section 6(a) of the Plan is hereby amended and restated to read as follows: </w:t>
      </w:r>
    </w:p>
    <w:p>
      <w:pPr>
        <w:pStyle w:val="TextBody"/>
        <w:bidi w:val="0"/>
        <w:spacing w:before="0" w:after="0"/>
        <w:jc w:val="left"/>
        <w:rPr/>
      </w:pPr>
      <w:r>
        <w:rPr/>
      </w:r>
    </w:p>
    <w:p>
      <w:pPr>
        <w:pStyle w:val="TextBody"/>
        <w:bidi w:val="0"/>
        <w:spacing w:lineRule="auto" w:line="288" w:before="0" w:after="160"/>
        <w:ind w:left="0" w:right="0" w:firstLine="360"/>
        <w:jc w:val="both"/>
        <w:rPr>
          <w:color w:val="000000"/>
        </w:rPr>
      </w:pPr>
      <w:r>
        <w:rPr>
          <w:color w:val="000000"/>
        </w:rPr>
        <w:t>“</w:t>
      </w:r>
      <w:r>
        <w:rPr>
          <w:rFonts w:ascii="Times New Roman;sans-serif" w:hAnsi="Times New Roman;sans-serif"/>
          <w:b w:val="false"/>
          <w:color w:val="000000"/>
          <w:sz w:val="22"/>
        </w:rPr>
        <w:t>(a)    Impact of Event. Notwithstanding any other provision of the Plan to the contrary, in the event of a Change in Control (as defined below in Section 6(b)):</w:t>
      </w:r>
    </w:p>
    <w:p>
      <w:pPr>
        <w:pStyle w:val="TextBody"/>
        <w:bidi w:val="0"/>
        <w:spacing w:lineRule="auto" w:line="288" w:before="0" w:after="160"/>
        <w:ind w:left="0" w:right="0" w:firstLine="360"/>
        <w:jc w:val="both"/>
        <w:rPr>
          <w:color w:val="000000"/>
        </w:rPr>
      </w:pPr>
      <w:r>
        <w:rPr>
          <w:color w:val="000000"/>
        </w:rPr>
        <w:t>    </w:t>
      </w:r>
      <w:r>
        <w:rPr>
          <w:rFonts w:ascii="Times New Roman;sans-serif" w:hAnsi="Times New Roman;sans-serif"/>
          <w:b w:val="false"/>
          <w:color w:val="000000"/>
          <w:sz w:val="22"/>
        </w:rPr>
        <w:t>(i)    Any outstanding Long-Term Incentive Grants will be automatically converted into time-based Deferred Stock Units (“Converted DSUs”) based on the higher of (A) the target level of achievement of the applicable performance goals, and (B) the actual level of achievement of the applicable performance goals as of the latest practicable date prior to the Change in Control (with such actual level determined by the Committee prior to the Change in Control), which Converted DSUs shall have a scheduled vesting date that is the last day of the Performance Cycle of the corresponding Long-Term Incentive Grant.</w:t>
      </w:r>
    </w:p>
    <w:p>
      <w:pPr>
        <w:pStyle w:val="TextBody"/>
        <w:bidi w:val="0"/>
        <w:spacing w:lineRule="auto" w:line="288" w:before="0" w:after="160"/>
        <w:ind w:left="0" w:right="0" w:firstLine="360"/>
        <w:jc w:val="both"/>
        <w:rPr>
          <w:color w:val="000000"/>
        </w:rPr>
      </w:pPr>
      <w:r>
        <w:rPr>
          <w:color w:val="000000"/>
        </w:rPr>
        <w:t>    </w:t>
      </w:r>
      <w:r>
        <w:rPr>
          <w:rFonts w:ascii="Times New Roman;sans-serif" w:hAnsi="Times New Roman;sans-serif"/>
          <w:b w:val="false"/>
          <w:color w:val="000000"/>
          <w:sz w:val="22"/>
        </w:rPr>
        <w:t>(ii)    If, and to the extent, that an outstanding Grant (including any Grant of Converted DSUs), other than a cash Annual Incentive Award, under the Plan (A) is assumed or continued by the Company or by the successor or parent corporation (or affiliate thereof) in the Change in Control or (B) is replaced by the successor or parent corporation (or affiliate thereof) in the Change in Control with an equity grant that reflects the existing value of the Grant at the time of the Change in Control and provides for a vesting schedule that is the same or more favorable to the Participant than the vesting schedule applicable to the Grant (each such assumed or continued Grant or replacement grant, a “Replacement Grant”), then such Replacement Grant will remain outstanding and be governed by its terms and the provisions of the Plan. The Committee shall have the sole discretion to determine whether a proposed grant meets the requirements of a Replacement Grant pursuant to this Section 6(a)(ii).</w:t>
      </w:r>
    </w:p>
    <w:p>
      <w:pPr>
        <w:pStyle w:val="TextBody"/>
        <w:bidi w:val="0"/>
        <w:spacing w:before="0" w:after="16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7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color w:val="000000"/>
        </w:rPr>
      </w:pPr>
      <w:r>
        <w:rPr>
          <w:color w:val="000000"/>
        </w:rPr>
        <w:t>    </w:t>
      </w:r>
      <w:r>
        <w:rPr>
          <w:rFonts w:ascii="Times New Roman;sans-serif" w:hAnsi="Times New Roman;sans-serif"/>
          <w:b w:val="false"/>
          <w:color w:val="000000"/>
          <w:sz w:val="22"/>
        </w:rPr>
        <w:t>(iii)    If, and to the extent, that an outstanding Grant (including any Grant of Converted DSUs), other than cash Annual Incentive Award, under the Plan is not assumed or replaced in accordance with Section 6(a)(ii) above, then upon the Change in Control, such Grant will immediately vest in full (to the extent not previously vested) and become free of all restrictions and, if such Grant is in the form of a Stock Option or SAR, will immediately become fully exercisable (to the extent not previously exercisable) and will remain exercisable until the expiration of the original full term of the Stock Option or SAR. The Board or the Committee may, in its sole discretion, provide for cancellation of such outstanding and vested Grant at the time of the Change in Control, in exchange for a payment of cash, property or a combination thereof that is determined by the Board or the Committee in its sole discretion and that is at least equal in value, for each share of Common Stock subject to the Grant (if applicable), to the excess (if any) of the value of the consideration that would be received in such Change in Control by the holder of a share of Common Stock over the per share exercise price (if any) for such Grant.</w:t>
      </w:r>
    </w:p>
    <w:p>
      <w:pPr>
        <w:pStyle w:val="TextBody"/>
        <w:bidi w:val="0"/>
        <w:spacing w:lineRule="auto" w:line="288" w:before="0" w:after="160"/>
        <w:ind w:left="0" w:right="0" w:firstLine="360"/>
        <w:jc w:val="both"/>
        <w:rPr>
          <w:color w:val="000000"/>
        </w:rPr>
      </w:pPr>
      <w:r>
        <w:rPr>
          <w:color w:val="000000"/>
        </w:rPr>
        <w:t>    </w:t>
      </w:r>
      <w:r>
        <w:rPr>
          <w:rFonts w:ascii="Times New Roman;sans-serif" w:hAnsi="Times New Roman;sans-serif"/>
          <w:b w:val="false"/>
          <w:color w:val="000000"/>
          <w:sz w:val="22"/>
        </w:rPr>
        <w:t>(iv)    With respect to each Replacement Grant, if (A) other than with respect to a Non-Management Director, the Participant’s employment with, or performance of services for, the Mondelēz Group is terminated by the Mondelēz Group for any reason other than Cause or, by such Participant for Good Reason, in each case, within the two-year period commencing on the Change in Control, or (B) with respect to a Non-Management Director, such Non-Management Director’s service as a member of the Board ceases for any reason within the one-year period commencing on the Change in Control, then, as of the date of such Participant’s termination, the Replacement Grant will immediately vest in full and become free of all restrictions and, if such Replacement Grant is in the form of a Stock Option or SAR, will immediately become fully exercisable (to the extent not previously exercisable) and will remain exercisable until the expiration of the original full term of the corresponding Stock Option or SAR.</w:t>
      </w:r>
    </w:p>
    <w:p>
      <w:pPr>
        <w:pStyle w:val="TextBody"/>
        <w:bidi w:val="0"/>
        <w:spacing w:lineRule="auto" w:line="288" w:before="0" w:after="160"/>
        <w:ind w:left="0" w:right="0" w:firstLine="360"/>
        <w:jc w:val="both"/>
        <w:rPr>
          <w:color w:val="000000"/>
        </w:rPr>
      </w:pPr>
      <w:r>
        <w:rPr>
          <w:color w:val="000000"/>
        </w:rPr>
        <w:t>    </w:t>
      </w:r>
      <w:r>
        <w:rPr>
          <w:rFonts w:ascii="Times New Roman;sans-serif" w:hAnsi="Times New Roman;sans-serif"/>
          <w:b w:val="false"/>
          <w:color w:val="000000"/>
          <w:sz w:val="22"/>
        </w:rPr>
        <w:t>(v)    Except as otherwise specified in a Grant agreement, any of the foregoing Change in Control provisions that change the timing of payment of an Award will only apply to a Grant subject to Section 409A of the Code to the extent that such change is permissible under and consistent with Section 409A of the Code without the imposition of additional taxes and penalties under Section 409A of the Code. For the avoidance of doubt, the foregoing applies to all Grants made under the Plan regardless of when made.”</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2.This amendment shall be governed by and construed in accordance with the laws of the Commonwealth of Virginia, excluding any conflicts or choice of law rule or principle that might otherwise refer construction or interpretation of this amendment to the substantive law of another jurisdiction.</w:t>
      </w:r>
    </w:p>
    <w:p>
      <w:pPr>
        <w:pStyle w:val="TextBody"/>
        <w:bidi w:val="0"/>
        <w:spacing w:before="0" w:after="0"/>
        <w:jc w:val="both"/>
        <w:rPr/>
      </w:pPr>
      <w:r>
        <w:rPr/>
      </w:r>
    </w:p>
    <w:p>
      <w:pPr>
        <w:pStyle w:val="TextBody"/>
        <w:bidi w:val="0"/>
        <w:spacing w:lineRule="auto" w:line="288" w:before="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3.All capitalized terms used but not otherwise defined herein shall have the meaning assigned to them in the Plan. Except as expressly amended hereby, the Plan shall remain in full force and effect in accordance with its terms.</w:t>
      </w:r>
    </w:p>
    <w:p>
      <w:pPr>
        <w:pStyle w:val="TextBody"/>
        <w:bidi w:val="0"/>
        <w:spacing w:lineRule="auto" w:line="288" w:before="0" w:after="16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16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78"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undersigned has executed this amendment, effective as of the Amendment Effective Date.</w:t>
      </w:r>
    </w:p>
    <w:p>
      <w:pPr>
        <w:pStyle w:val="TextBody"/>
        <w:bidi w:val="0"/>
        <w:spacing w:lineRule="auto" w:line="288" w:before="480" w:after="283"/>
        <w:jc w:val="left"/>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288" w:before="7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Laura Stein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Vice President, Corporate &amp; Legal Affairs,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General Counsel and Corporate Secretary</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9"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MONDELĒZ INTERNATIONAL, INC.</w:t>
        <w:br/>
        <w:t>2024 PERFORMANCE INCENTIVE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(Effective May 22, 2024)</w:t>
      </w:r>
    </w:p>
    <w:p>
      <w:pPr>
        <w:pStyle w:val="TextBody"/>
        <w:bidi w:val="0"/>
        <w:spacing w:lineRule="auto" w:line="288" w:before="0" w:after="120"/>
        <w:jc w:val="left"/>
        <w:rPr/>
      </w:pPr>
      <w:r>
        <w:rPr>
          <w:rFonts w:ascii="Times New Roman;sans-serif" w:hAnsi="Times New Roman;sans-serif"/>
          <w:b/>
          <w:color w:val="000000"/>
          <w:sz w:val="20"/>
        </w:rPr>
        <w:t>Section 1.</w:t>
      </w:r>
      <w:r>
        <w:rPr>
          <w:rFonts w:ascii="Times New Roman;sans-serif" w:hAnsi="Times New Roman;sans-serif"/>
          <w:b/>
          <w:color w:val="000000"/>
          <w:sz w:val="20"/>
        </w:rPr>
        <w:t>Purpose; Definitions.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Plan supports the Company’s ongoing efforts to increase shareholder value by allowing the Company to offer its senior leaders compensation opportunities intended to incent high performance and retention.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below are defined as follows for Plan purposes:</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w:t>
      </w:r>
      <w:r>
        <w:rPr>
          <w:color w:val="000000"/>
        </w:rPr>
        <w:t>“</w:t>
      </w:r>
      <w:r>
        <w:rPr>
          <w:rFonts w:ascii="Times New Roman;sans-serif" w:hAnsi="Times New Roman;sans-serif"/>
          <w:b w:val="false"/>
          <w:color w:val="000000"/>
          <w:sz w:val="20"/>
        </w:rPr>
        <w:t>Annual Incentive Award” means an Incentive Award made pursuant to Section 5(a)(vi) with a Performance Cycle of one year or less.</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0"/>
        </w:rPr>
        <w:t>Award” means the cash or equity earned by a Participant pursuant to a Grant.</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(c)</w:t>
      </w:r>
      <w:r>
        <w:rPr>
          <w:color w:val="000000"/>
        </w:rPr>
        <w:t>“</w:t>
      </w:r>
      <w:r>
        <w:rPr>
          <w:rFonts w:ascii="Times New Roman;sans-serif" w:hAnsi="Times New Roman;sans-serif"/>
          <w:b w:val="false"/>
          <w:color w:val="000000"/>
          <w:sz w:val="20"/>
        </w:rPr>
        <w:t>Board” means the Board of Directors of the Company.</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0"/>
        </w:rPr>
        <w:t>Cause” means: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(i)Continued failure to substantially perform the Participant’s job’s duties (other than resulting from incapacity due to disability);</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(ii)Gross negligence, dishonesty, or violation of any reasonable rule or regulation of the Mondelēz Group where the violation results in significant damage to the Mondelēz Group; or</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(iii)Engaging in other conduct which adversely reflects on the Mondelēz Group in any material respect;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(iv)provided that if a Participant is a party to an employment or severance plan or agreement with the Company that defines the term “Cause” then, with respect to such Participant, “Cause” shall have the meaning set forth in such employment or severance plan or agreement.</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(e)</w:t>
      </w:r>
      <w:r>
        <w:rPr>
          <w:color w:val="000000"/>
        </w:rPr>
        <w:t>“</w:t>
      </w:r>
      <w:r>
        <w:rPr>
          <w:rFonts w:ascii="Times New Roman;sans-serif" w:hAnsi="Times New Roman;sans-serif"/>
          <w:b w:val="false"/>
          <w:color w:val="000000"/>
          <w:sz w:val="20"/>
        </w:rPr>
        <w:t>Change in Control” has the meaning stated in Section 6.</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(f)</w:t>
      </w:r>
      <w:r>
        <w:rPr>
          <w:color w:val="000000"/>
        </w:rPr>
        <w:t>“</w:t>
      </w:r>
      <w:r>
        <w:rPr>
          <w:rFonts w:ascii="Times New Roman;sans-serif" w:hAnsi="Times New Roman;sans-serif"/>
          <w:b w:val="false"/>
          <w:color w:val="000000"/>
          <w:sz w:val="20"/>
        </w:rPr>
        <w:t>Code” means the U.S. Internal Revenue Code.</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(g)</w:t>
      </w:r>
      <w:r>
        <w:rPr>
          <w:color w:val="000000"/>
        </w:rPr>
        <w:t>“</w:t>
      </w:r>
      <w:r>
        <w:rPr>
          <w:rFonts w:ascii="Times New Roman;sans-serif" w:hAnsi="Times New Roman;sans-serif"/>
          <w:b w:val="false"/>
          <w:color w:val="000000"/>
          <w:sz w:val="20"/>
        </w:rPr>
        <w:t>Commission” means the U.S. Securities and Exchange Commission or any successor agency.</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(h)</w:t>
      </w:r>
      <w:r>
        <w:rPr>
          <w:color w:val="000000"/>
        </w:rPr>
        <w:t>“</w:t>
      </w:r>
      <w:r>
        <w:rPr>
          <w:rFonts w:ascii="Times New Roman;sans-serif" w:hAnsi="Times New Roman;sans-serif"/>
          <w:b w:val="false"/>
          <w:color w:val="000000"/>
          <w:sz w:val="20"/>
        </w:rPr>
        <w:t>Committee” means the People and Compensation Committee of the Board, any successor or such other committee or subcommittee as may be designated by the Board to administer the Plan.</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(i)</w:t>
      </w:r>
      <w:r>
        <w:rPr>
          <w:color w:val="000000"/>
        </w:rPr>
        <w:t>“</w:t>
      </w:r>
      <w:r>
        <w:rPr>
          <w:rFonts w:ascii="Times New Roman;sans-serif" w:hAnsi="Times New Roman;sans-serif"/>
          <w:b w:val="false"/>
          <w:color w:val="000000"/>
          <w:sz w:val="20"/>
        </w:rPr>
        <w:t>Common Stock” or “Stock” means the Class A Common Stock of the Company.</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(j)</w:t>
      </w:r>
      <w:r>
        <w:rPr>
          <w:color w:val="000000"/>
        </w:rPr>
        <w:t>“</w:t>
      </w:r>
      <w:r>
        <w:rPr>
          <w:rFonts w:ascii="Times New Roman;sans-serif" w:hAnsi="Times New Roman;sans-serif"/>
          <w:b w:val="false"/>
          <w:color w:val="000000"/>
          <w:sz w:val="20"/>
        </w:rPr>
        <w:t>Company” means Mondelēz International, Inc., a corporation organized under the laws of the Commonwealth of Virginia, or any successor.</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(k)</w:t>
      </w:r>
      <w:r>
        <w:rPr>
          <w:color w:val="000000"/>
        </w:rPr>
        <w:t>“</w:t>
      </w:r>
      <w:r>
        <w:rPr>
          <w:rFonts w:ascii="Times New Roman;sans-serif" w:hAnsi="Times New Roman;sans-serif"/>
          <w:b w:val="false"/>
          <w:color w:val="000000"/>
          <w:sz w:val="20"/>
        </w:rPr>
        <w:t>Deferred Stock Unit” means the Grant of that name described in Section 5(a)(v).</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(l)</w:t>
      </w:r>
      <w:r>
        <w:rPr>
          <w:color w:val="000000"/>
        </w:rPr>
        <w:t>“</w:t>
      </w:r>
      <w:r>
        <w:rPr>
          <w:rFonts w:ascii="Times New Roman;sans-serif" w:hAnsi="Times New Roman;sans-serif"/>
          <w:b w:val="false"/>
          <w:color w:val="000000"/>
          <w:sz w:val="20"/>
        </w:rPr>
        <w:t>Effective Date” means the date the Plan was approved by shareholders of the Company.</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(m)</w:t>
      </w:r>
      <w:r>
        <w:rPr>
          <w:color w:val="000000"/>
        </w:rPr>
        <w:t>“</w:t>
      </w:r>
      <w:r>
        <w:rPr>
          <w:rFonts w:ascii="Times New Roman;sans-serif" w:hAnsi="Times New Roman;sans-serif"/>
          <w:b w:val="false"/>
          <w:color w:val="000000"/>
          <w:sz w:val="20"/>
        </w:rPr>
        <w:t>Exchange Act” means the Securities Exchange Act of 1934.</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(n)</w:t>
      </w:r>
      <w:r>
        <w:rPr>
          <w:color w:val="000000"/>
        </w:rPr>
        <w:t>“</w:t>
      </w:r>
      <w:r>
        <w:rPr>
          <w:rFonts w:ascii="Times New Roman;sans-serif" w:hAnsi="Times New Roman;sans-serif"/>
          <w:b w:val="false"/>
          <w:color w:val="000000"/>
          <w:sz w:val="20"/>
        </w:rPr>
        <w:t>Fair Market Value” means, as applied to a specific date, the closing price of a share of Stock (unless determined otherwise by the Committee to be based on the opening, actual, high, low or average selling prices of a share of Stock) reported on any established stock exchange or national market system including without limitation the NASDAQ Global Select Market and the National Market System of the National Association of Securities Dealers, Inc. Automated Quotation System on the applicable date (or, if there were no sales on such date, on the most recent date on which shares of Stock were publicly traded before the applicable date). In the absence of an established market for the Stock, the Fair Market Value means the value determined in good faith by the Committee by the reasonable application of a reasonable valuation method, taking into account factors consistent with Treas. Reg. § 409A-1(b)(5)(iv)(B) as the Committee deems appropriate.</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8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(o)</w:t>
      </w:r>
      <w:r>
        <w:rPr>
          <w:color w:val="000000"/>
        </w:rPr>
        <w:t>“</w:t>
      </w:r>
      <w:r>
        <w:rPr>
          <w:rFonts w:ascii="Times New Roman;sans-serif" w:hAnsi="Times New Roman;sans-serif"/>
          <w:b w:val="false"/>
          <w:color w:val="000000"/>
          <w:sz w:val="20"/>
        </w:rPr>
        <w:t>Grant” means a grant made under the Plan or, to the extent relevant, under any Prior Plan.</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(p)</w:t>
      </w:r>
      <w:r>
        <w:rPr>
          <w:color w:val="000000"/>
        </w:rPr>
        <w:t>“</w:t>
      </w:r>
      <w:r>
        <w:rPr>
          <w:rFonts w:ascii="Times New Roman;sans-serif" w:hAnsi="Times New Roman;sans-serif"/>
          <w:b w:val="false"/>
          <w:color w:val="000000"/>
          <w:sz w:val="20"/>
        </w:rPr>
        <w:t>Good Reason” means: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 an isolated, insubstantial and inadvertent action not taken in bad faith and that is remedied by the Mondelēz Group promptly after receipt of notice thereof given by the Participant;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(ii)any material reduction in the Participant’s base salary, annual incentive or long-term incentive opportunity as in effect immediately prior to the Change in Control;</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(iii)the Mondelēz Group’s requiring the Participant to be based at any office or location other than any other location which does not extend the Participant’s home to work location commute as of the time of the Change in Control by more than 50 miles; or</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would be required to perform it if no such succession had taken place, as and to the extent required by Section 6 of the Plan;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(v)provided that if a Participant is a party to an employment or severance plan or agreement with the Company that defines the term “Good Reason” then, with respect to such Participant, “Good Reason” shall have the meaning set forth in such employment or severance plan or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Participant must notify the Company of any event purporting to constitute Good Reason within 45 days following the Participant’s knowledge of its existence, and the Company shall have 30 days in which to correct or remove such Good Reason, or such event shall not constitute Good Reason.</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(q)</w:t>
      </w:r>
      <w:r>
        <w:rPr>
          <w:color w:val="000000"/>
        </w:rPr>
        <w:t>“</w:t>
      </w:r>
      <w:r>
        <w:rPr>
          <w:rFonts w:ascii="Times New Roman;sans-serif" w:hAnsi="Times New Roman;sans-serif"/>
          <w:b w:val="false"/>
          <w:color w:val="000000"/>
          <w:sz w:val="20"/>
        </w:rPr>
        <w:t>Incentive Award” means any Award that is either an Annual Incentive Award or awarded pursuant to a Long-Term Incentive Grant.</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(r)</w:t>
      </w:r>
      <w:r>
        <w:rPr>
          <w:color w:val="000000"/>
        </w:rPr>
        <w:t>“</w:t>
      </w:r>
      <w:r>
        <w:rPr>
          <w:rFonts w:ascii="Times New Roman;sans-serif" w:hAnsi="Times New Roman;sans-serif"/>
          <w:b w:val="false"/>
          <w:color w:val="000000"/>
          <w:sz w:val="20"/>
        </w:rPr>
        <w:t>Incentive Stock Option” means any Stock Option that is designated as intending to qualify as an Incentive Stock Option under Section 422 of the Code.</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(s)</w:t>
      </w:r>
      <w:r>
        <w:rPr>
          <w:color w:val="000000"/>
        </w:rPr>
        <w:t>“</w:t>
      </w:r>
      <w:r>
        <w:rPr>
          <w:rFonts w:ascii="Times New Roman;sans-serif" w:hAnsi="Times New Roman;sans-serif"/>
          <w:b w:val="false"/>
          <w:color w:val="000000"/>
          <w:sz w:val="20"/>
        </w:rPr>
        <w:t>Long-Term Incentive Grant” means a Grant made pursuant to Section 5(a)(vi) with a Performance Cycle of more than one year.</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(t)</w:t>
      </w:r>
      <w:r>
        <w:rPr>
          <w:color w:val="000000"/>
        </w:rPr>
        <w:t>“</w:t>
      </w:r>
      <w:r>
        <w:rPr>
          <w:rFonts w:ascii="Times New Roman;sans-serif" w:hAnsi="Times New Roman;sans-serif"/>
          <w:b w:val="false"/>
          <w:color w:val="000000"/>
          <w:sz w:val="20"/>
        </w:rPr>
        <w:t>Mondelēz Group” means the Company and each of its subsidiaries and affiliates.</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(u)</w:t>
      </w:r>
      <w:r>
        <w:rPr>
          <w:color w:val="000000"/>
        </w:rPr>
        <w:t>“</w:t>
      </w:r>
      <w:r>
        <w:rPr>
          <w:rFonts w:ascii="Times New Roman;sans-serif" w:hAnsi="Times New Roman;sans-serif"/>
          <w:b w:val="false"/>
          <w:color w:val="000000"/>
          <w:sz w:val="20"/>
        </w:rPr>
        <w:t>Non-Management Director” means a member of the Board who is not an employee of the Mondelēz Group.</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(v)</w:t>
      </w:r>
      <w:r>
        <w:rPr>
          <w:color w:val="000000"/>
        </w:rPr>
        <w:t>“</w:t>
      </w:r>
      <w:r>
        <w:rPr>
          <w:rFonts w:ascii="Times New Roman;sans-serif" w:hAnsi="Times New Roman;sans-serif"/>
          <w:b w:val="false"/>
          <w:color w:val="000000"/>
          <w:sz w:val="20"/>
        </w:rPr>
        <w:t>Nonqualified Stock Option” means any Stock Option that is not an Incentive Stock Option.</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(w)</w:t>
      </w:r>
      <w:r>
        <w:rPr>
          <w:color w:val="000000"/>
        </w:rPr>
        <w:t>“</w:t>
      </w:r>
      <w:r>
        <w:rPr>
          <w:rFonts w:ascii="Times New Roman;sans-serif" w:hAnsi="Times New Roman;sans-serif"/>
          <w:b w:val="false"/>
          <w:color w:val="000000"/>
          <w:sz w:val="20"/>
        </w:rPr>
        <w:t>Other Stock-Based Grant” means a Grant made pursuant to Section 5(a)(iii).</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(x)</w:t>
      </w:r>
      <w:r>
        <w:rPr>
          <w:color w:val="000000"/>
        </w:rPr>
        <w:t>“</w:t>
      </w:r>
      <w:r>
        <w:rPr>
          <w:rFonts w:ascii="Times New Roman;sans-serif" w:hAnsi="Times New Roman;sans-serif"/>
          <w:b w:val="false"/>
          <w:color w:val="000000"/>
          <w:sz w:val="20"/>
        </w:rPr>
        <w:t>Participant” means any eligible individual as set forth in Section 3 to whom a Grant is made.</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(y)</w:t>
      </w:r>
      <w:r>
        <w:rPr>
          <w:color w:val="000000"/>
        </w:rPr>
        <w:t>“</w:t>
      </w:r>
      <w:r>
        <w:rPr>
          <w:rFonts w:ascii="Times New Roman;sans-serif" w:hAnsi="Times New Roman;sans-serif"/>
          <w:b w:val="false"/>
          <w:color w:val="000000"/>
          <w:sz w:val="20"/>
        </w:rPr>
        <w:t>Performance Cycle” means the period selected by the Committee during which the performance of the Company or any organizational unit of the Mondelēz Group or any individual is measured for the purpose of determining the extent to which a Grant or compensation subject to Performance Goals has been earned.</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(z)</w:t>
      </w:r>
      <w:r>
        <w:rPr>
          <w:color w:val="000000"/>
        </w:rPr>
        <w:t>“</w:t>
      </w:r>
      <w:r>
        <w:rPr>
          <w:rFonts w:ascii="Times New Roman;sans-serif" w:hAnsi="Times New Roman;sans-serif"/>
          <w:b w:val="false"/>
          <w:color w:val="000000"/>
          <w:sz w:val="20"/>
        </w:rPr>
        <w:t xml:space="preserve">Performance Goals” mean any one or more performance objectives for the Company or any organizational unit of the Mondelēz Group or any individual that may be established by the Committee for a Performance Cycle with respect to any performance-based Grants under the Plan. Performance Goals may be provided in absolute terms, or in relation to the Company’s peer group. The Company’s peer group will be determined by the Committee, in its sole discretion.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8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(aa)</w:t>
      </w:r>
      <w:r>
        <w:rPr>
          <w:color w:val="000000"/>
        </w:rPr>
        <w:t>“</w:t>
      </w:r>
      <w:r>
        <w:rPr>
          <w:rFonts w:ascii="Times New Roman;sans-serif" w:hAnsi="Times New Roman;sans-serif"/>
          <w:b w:val="false"/>
          <w:color w:val="000000"/>
          <w:sz w:val="20"/>
        </w:rPr>
        <w:t>Plan” means this Mondelēz International, Inc. 2024 Performance Incentive Plan, as may be amended from time to time.</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(ab)</w:t>
      </w:r>
      <w:r>
        <w:rPr>
          <w:color w:val="000000"/>
        </w:rPr>
        <w:t>“</w:t>
      </w:r>
      <w:r>
        <w:rPr>
          <w:rFonts w:ascii="Times New Roman;sans-serif" w:hAnsi="Times New Roman;sans-serif"/>
          <w:b w:val="false"/>
          <w:color w:val="000000"/>
          <w:sz w:val="20"/>
        </w:rPr>
        <w:t>Prior Plan” means the Mondelēz International, Inc. Amended and Restated 2006 Stock Compensation Plan for Non-Employee Directors and the Mondelēz International, Inc. 2005 Performance Incentive Plan.</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(ac)</w:t>
      </w:r>
      <w:r>
        <w:rPr>
          <w:color w:val="000000"/>
        </w:rPr>
        <w:t>“</w:t>
      </w:r>
      <w:r>
        <w:rPr>
          <w:rFonts w:ascii="Times New Roman;sans-serif" w:hAnsi="Times New Roman;sans-serif"/>
          <w:b w:val="false"/>
          <w:color w:val="000000"/>
          <w:sz w:val="20"/>
        </w:rPr>
        <w:t>Restricted Period” means the period during which a Grant may not be sold, assigned, transferred, pledged or otherwise encumbered.</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(ad)</w:t>
      </w:r>
      <w:r>
        <w:rPr>
          <w:color w:val="000000"/>
        </w:rPr>
        <w:t>“</w:t>
      </w:r>
      <w:r>
        <w:rPr>
          <w:rFonts w:ascii="Times New Roman;sans-serif" w:hAnsi="Times New Roman;sans-serif"/>
          <w:b w:val="false"/>
          <w:color w:val="000000"/>
          <w:sz w:val="20"/>
        </w:rPr>
        <w:t>Restricted Stock” means a Grant of shares of Common Stock pursuant to Section 5(a)(iv).</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(ae)</w:t>
      </w:r>
      <w:r>
        <w:rPr>
          <w:color w:val="000000"/>
        </w:rPr>
        <w:t>“</w:t>
      </w:r>
      <w:r>
        <w:rPr>
          <w:rFonts w:ascii="Times New Roman;sans-serif" w:hAnsi="Times New Roman;sans-serif"/>
          <w:b w:val="false"/>
          <w:color w:val="000000"/>
          <w:sz w:val="20"/>
        </w:rPr>
        <w:t>Restricted Stock Unit” means a Grant of that name described in Section 5(a)(v).</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(af)</w:t>
      </w:r>
      <w:r>
        <w:rPr>
          <w:color w:val="000000"/>
        </w:rPr>
        <w:t>“</w:t>
      </w:r>
      <w:r>
        <w:rPr>
          <w:rFonts w:ascii="Times New Roman;sans-serif" w:hAnsi="Times New Roman;sans-serif"/>
          <w:b w:val="false"/>
          <w:color w:val="000000"/>
          <w:sz w:val="20"/>
        </w:rPr>
        <w:t>Spread Value” means, with respect to a share of Common Stock subject to a Grant, an amount equal to the excess of the Fair Market Value, on the date such value is determined, over the Grant’s exercise or strike price, if any.</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(ag)</w:t>
      </w:r>
      <w:r>
        <w:rPr>
          <w:color w:val="000000"/>
        </w:rPr>
        <w:t>“</w:t>
      </w:r>
      <w:r>
        <w:rPr>
          <w:rFonts w:ascii="Times New Roman;sans-serif" w:hAnsi="Times New Roman;sans-serif"/>
          <w:b w:val="false"/>
          <w:color w:val="000000"/>
          <w:sz w:val="20"/>
        </w:rPr>
        <w:t>Stock Appreciation Right” or “SAR” means a Grant described in Section 5(a)(ii).</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(ah)</w:t>
      </w:r>
      <w:r>
        <w:rPr>
          <w:color w:val="000000"/>
        </w:rPr>
        <w:t>“</w:t>
      </w:r>
      <w:r>
        <w:rPr>
          <w:rFonts w:ascii="Times New Roman;sans-serif" w:hAnsi="Times New Roman;sans-serif"/>
          <w:b w:val="false"/>
          <w:color w:val="000000"/>
          <w:sz w:val="20"/>
        </w:rPr>
        <w:t>Stock Option” means an Incentive Stock Option or a Nonqualified Stock Option granted pursuant to Section 5(a)(i).</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these definitions, any reference to a statute also refers to any regulations promulgated with respect to the statute and any successor or amendment to the statute, regulation or legal standard.</w:t>
      </w:r>
    </w:p>
    <w:p>
      <w:pPr>
        <w:pStyle w:val="TextBody"/>
        <w:bidi w:val="0"/>
        <w:spacing w:lineRule="auto" w:line="288" w:before="0" w:after="120"/>
        <w:jc w:val="left"/>
        <w:rPr/>
      </w:pPr>
      <w:r>
        <w:rPr>
          <w:rFonts w:ascii="Times New Roman;sans-serif" w:hAnsi="Times New Roman;sans-serif"/>
          <w:b/>
          <w:color w:val="000000"/>
          <w:sz w:val="20"/>
        </w:rPr>
        <w:t>Section 2.</w:t>
      </w:r>
      <w:r>
        <w:rPr>
          <w:rFonts w:ascii="Times New Roman;sans-serif" w:hAnsi="Times New Roman;sans-serif"/>
          <w:b/>
          <w:color w:val="000000"/>
          <w:sz w:val="20"/>
        </w:rPr>
        <w:t>Administration.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Plan is administered by the Committee, which has the power to interpret the Plan and to adopt such rules and guidelines for carrying out the Plan as it may deem appropriate. The Committee has the authority to adopt such modifications, procedures and subplans as may be necessary or desirable to comply with the laws, regulations, compensation practices and tax and accounting principles of the countries in which the Mondelēz Group may operate to assure the viability of the benefits of Grants made to individuals employed in such countries and to meet the objectives of the Plan.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Plan, the Committee has the authority to determine those individuals eligible to receive Grants and Awards and the amount, type and terms of each Grant or Award and to establish and administer any Performance Goals applicable to such Grants or Awards. Subject to the terms of the Plan, the Committee has the authority to recommend to the Board those Non-Management Directors eligible to receive Grants or Awards and the amount, type and terms of each Grant or Award. The Committee may delegate its authority and power under the Plan to one or more officers of the Company, subject to guidelines prescribed by the Committee and applicable law, but only with respect to Participants who are not Non-Management Directors or executive officers of the Company and/or otherwise subject to either Section 16 of the Exchange Act.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Any determination made by the Committee or by one or more officers pursuant to delegated authority in accordance with the provisions of the Plan with respect to any Grant or Award is made in the sole discretion of the Committee or such delegate, and all decisions made by the Committee or any appropriately designated officer pursuant to the provisions of the Plan are final and binding on all persons, including the Company and Plan Participants.</w:t>
      </w:r>
    </w:p>
    <w:p>
      <w:pPr>
        <w:pStyle w:val="TextBody"/>
        <w:bidi w:val="0"/>
        <w:spacing w:lineRule="auto" w:line="288" w:before="0" w:after="120"/>
        <w:jc w:val="left"/>
        <w:rPr/>
      </w:pPr>
      <w:r>
        <w:rPr>
          <w:rFonts w:ascii="Times New Roman;sans-serif" w:hAnsi="Times New Roman;sans-serif"/>
          <w:b/>
          <w:color w:val="000000"/>
          <w:sz w:val="20"/>
        </w:rPr>
        <w:t>Section 3.</w:t>
      </w:r>
      <w:r>
        <w:rPr>
          <w:rFonts w:ascii="Times New Roman;sans-serif" w:hAnsi="Times New Roman;sans-serif"/>
          <w:b/>
          <w:color w:val="000000"/>
          <w:sz w:val="20"/>
        </w:rPr>
        <w:t>Eligibility.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Salaried employees of the Mondelēz Group who are responsible for or contribute to the management, growth and profitability of the business of the Mondelēz Group are eligible for Grants and Awards under the Plan. Non- Management Directors are also eligible for Grants and Awards under the Plan. Stock Options intending to qualify as Incentive Stock Options may only be granted to employees of the Company and its subsidiaries, within the meaning of the Code, as selected by the Committee.</w:t>
      </w:r>
    </w:p>
    <w:p>
      <w:pPr>
        <w:pStyle w:val="TextBody"/>
        <w:bidi w:val="0"/>
        <w:spacing w:lineRule="auto" w:line="288" w:before="0" w:after="120"/>
        <w:jc w:val="left"/>
        <w:rPr/>
      </w:pPr>
      <w:r>
        <w:rPr>
          <w:rFonts w:ascii="Times New Roman;sans-serif" w:hAnsi="Times New Roman;sans-serif"/>
          <w:b/>
          <w:color w:val="000000"/>
          <w:sz w:val="20"/>
        </w:rPr>
        <w:t>Section 4.</w:t>
      </w:r>
      <w:r>
        <w:rPr>
          <w:rFonts w:ascii="Times New Roman;sans-serif" w:hAnsi="Times New Roman;sans-serif"/>
          <w:b/>
          <w:color w:val="000000"/>
          <w:sz w:val="20"/>
        </w:rPr>
        <w:t>Common Stock Subject to the Plan.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(a)Common Stock Available. The total number of shares of Common Stock reserved and available for distribution pursuant to the Plan is (i) 13,500,000 shares, plus (ii) the number of shares that remain available for issuance under the Prior Plan as of the Effective Date, plus (iii) the number of shares of Common Stock subject to any award outstanding under the Prior Plan as of the Effective Date that after the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8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Date are not issued because such award is forfeited, canceled, terminates, expires or otherwise lapses without being exercised (to the extent applicable), or is settled in cash. An amount not to exceed 50% of the shares of Common Stock issuable under the Plan may be issued pursuant to Grants of Restricted Stock, Restricted Stock Units, Deferred Stock Units or Other Stock-Based Grants, and Incentive Awards, except that Other Stock- Based Grants with values based on Spread Values are not included in this limitation. The maximum number of shares of Common Stock that may be issued in respect of Incentive Stock Options shall not exceed 13,500,000 shares. Except as otherwise provided in this Plan, any Grant made under the Prior Plan continues to be subject to the terms and conditions of the Prior Plan and the applicable Grant agreement. To the extent any Grant under this Plan is exercised, cashed out, terminates, expires or is forfeited without a payment being made to the Participant in the form of Common Stock, the shares subject to the Grant that were not used will be available for distribution in connection with Grants under this Plan. If a SAR or similar Grant based on Spread Value with respect to shares of Common Stock is exercised, the full number of shares of Common Stock with respect to which the Grant is measured will nonetheless be deemed distributed for purposes of determining the maximum number of shares remaining available for delivery under the Plan. Similarly, any shares of Common Stock that are withheld by the Company or tendered by a Participant (1) as full or partial payment of withholding or other taxes owed by the Participant related to an outstanding Stock Option or SAR or (2) as payment for the exercise or conversion price of a Stock Option, SAR or similar Grant based on Spread Value under the Plan will be deemed distributed for purposes of determining the maximum number of shares remaining available for delivery under the Plan.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(b)Adjustments for Certain Corporate Transactions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(i)In the event of any merger, share exchange, reorganization, consolidation, recapitalization, reclassification, distribution, stock dividend, stock split, reverse stock split, split-up, spin-off, issuance of rights or warrants or other similar transaction or event affecting the Common Stock in any case after adoption of the Plan by the Board, the Committee will make any adjustments or substitutions with respect to Grants made under the Plan and the Prior Plan as it deems appropriate to reflect the occurrence of such event, including, but not limited to, adjustments (A) to the aggregate number and kind of securities reserved for issuance under the Plan, (B) to the limits set forth in Section 5, (C) to the Performance Goals or Performance Cycles of any outstanding Grants, and (D) to the number and kind of securities subject to outstanding Grants and, if applicable, the grant or exercise price or Spread Value of outstanding Grants. In addition, the Committee may make a Grant in substitution for incentive awards, stock grants, stock options or similar grants made to an individual who is, previously was, or becomes an employee of the Mondelēz Group in connection with a transaction described in this Section 4(b)(i). Notwithstanding any provision of the Plan (other than the limitation set forth in Section 4(a)), the Committee has full discretion to determine the terms of any Grants made in substitution.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(ii)Specific Adjustments.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 connection with any of the events described in Section 4(b)(i), the Committee has the authority with respect to Grants made under the Plan and the Prior Plan (x) to issue Grants (including Stock Options, SARs, and Other Stock-Based Grants) with a grant price that is less than Fair Market Value on the date of grant in order to preserve existing gain under any similar type of previous grant made by the Company or another entity to the extent that the existing gain would otherwise be diminished without payment of adequate compensation to the holder of the grant for such diminution, and (y) except as may otherwise be required under an applicable Grant agreement, to cancel or adjust the terms of an outstanding Grant as appropriate to reflect the substitution for the outstanding grant of equivalent value made by another entity.</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(B)In connection with a spin-off or similar corporate transaction, the Committee also has the authority with respect to Grants made under the Plan and the Prior Plan to make adjustments described in this Section 4(b) that may include, but are not limited to, (x) the imposition of restrictions on any distribution with respect to Restricted Stock or similar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8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Grants and (y) the substitution of comparable Stock Options to purchase the stock of another entity or SARs, Restricted Stock Units, Deferred Stock Units or Other Stock-Based Grants denominated in the securities of another entity, which may be settled in the form of cash, Common Stock, stock of such other entity, or other securities or property, as determined by the Committee; and, in the event of such a substitution, references in this Plan and the Prior Plan and in the applicable Grant agreements thereunder to “Common Stock” or “Stock” will be deemed to also refer to the securities of the other entity where appropriate.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(iii)In connection with any of the events described in Section 4(b)(i), with respect to Grants made under the Plan and the Prior Plan, the Committee is also authorized to provide for the payment of any outstanding Grants in cash, including, but not limited to, payment of cash in lieu of any fractional shares, provided that no such payment fails to comply with the requirements of Section 409A of the Code to the extent that law applies to the recipient of the cash payment.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(iv)In the event of any conflict between this Section 4(b) and other provisions of the Plan or the Prior Plan, the provisions of this section control. Each Participant who receives a Grant under the Plan is deemed to acknowledge and consent to the Committee’s ability to adjust Grants under the Prior Plan in a manner consistent with this Section 4(b).</w:t>
      </w:r>
    </w:p>
    <w:p>
      <w:pPr>
        <w:pStyle w:val="TextBody"/>
        <w:bidi w:val="0"/>
        <w:spacing w:lineRule="auto" w:line="288" w:before="0" w:after="120"/>
        <w:jc w:val="left"/>
        <w:rPr/>
      </w:pPr>
      <w:r>
        <w:rPr>
          <w:rFonts w:ascii="Times New Roman;sans-serif" w:hAnsi="Times New Roman;sans-serif"/>
          <w:b/>
          <w:color w:val="000000"/>
          <w:sz w:val="20"/>
        </w:rPr>
        <w:t>Section 5.</w:t>
      </w:r>
      <w:r>
        <w:rPr>
          <w:rFonts w:ascii="Times New Roman;sans-serif" w:hAnsi="Times New Roman;sans-serif"/>
          <w:b/>
          <w:color w:val="000000"/>
          <w:sz w:val="20"/>
        </w:rPr>
        <w:t>Grants and Awards.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(a)General. The types of Grants and Awards that may be made under the Plan are described below. Grants and Awards may be made singly, in combination or in tandem with other Grants and/or Awards. All Grant agreements are incorporated in and constitute part of the Plan.</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Stock Options</w:t>
      </w:r>
      <w:r>
        <w:rPr>
          <w:rFonts w:ascii="Times New Roman;sans-serif" w:hAnsi="Times New Roman;sans-serif"/>
          <w:b w:val="false"/>
          <w:color w:val="000000"/>
          <w:sz w:val="20"/>
        </w:rPr>
        <w:t>. A Grant of a Stock Option represents the right to purchase a share of Stock at a predetermined grant price. Stock Options granted under the Plan may be in the form of Incentive Stock Options or Nonqualified Stock Options, as specified in the Grant agreement but no Stock Option designated as an Incentive Stock Option will be invalid in the event that it fails to qualify as an Incentive Stock Option (and such Stock Option will be deemed a Nonqualified Stock Option). The term of each Stock Option will be stated in the Grant agreement, but no Stock Option will be exercisable more than ten years after the grant date. The grant price per share of Common Stock purchasable under a Stock Option may not be less than 100% of the Fair Market Value on the date of grant, except as permitted by Section 4(b)(ii)(A). Subject to the applicable Grant agreement, Stock Options may only be exercised, in whole or in part, by following the administrative procedures applicable to the exercise of Stock Options as are periodically communicated to Participants. If the exercise requires payment for the shares exercised (as well as applicable taxes), payment must be received in accordance with applicable payment requirements. Unless otherwise determined by the Committee, payment in full or in part may also be made in the form of Common Stock already owned by the Participant valued at Fair Market Value on the day preceding the date of exercise or shares of Common Stock otherwise issuable upon such exercise. Notwithstanding the foregoing, if an Incentive Stock Option is granted to an employee who, at the time of grant, owns stock possessing more than 10% of the total combined voting power of all classes of stock of the Company (or its parent or subsidiary corporations within the meaning of Section 422 of the Code), the exercise price shall be at least 110% of the Fair Market Value of the Stock on the grant date and the Incentive Stock Option shall not be exercisable more than five years after the grant date.</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Stock Appreciation Right</w:t>
      </w:r>
      <w:r>
        <w:rPr>
          <w:rFonts w:ascii="Times New Roman;sans-serif" w:hAnsi="Times New Roman;sans-serif"/>
          <w:b w:val="false"/>
          <w:color w:val="000000"/>
          <w:sz w:val="20"/>
        </w:rPr>
        <w:t>. A Grant of a SAR represents the right to receive a cash payment, a share of Common Stock, or both (as determined by the Committee), with a value equal to the Spread Value on the date the SAR is exercised. The grant price of a SAR will be stated in the applicable Grant agreement and will not be less than 100% of the Fair Market Value on the date of grant, except as permitted by Section 4(b)(ii)(A). Subject to the terms of the applicable Grant agreement, a SAR will be exercisable, in whole or in part, by following the administrative procedures applicable to the exercise of SARs as are periodically communicated to Participants, but no SAR may be exercisable more than ten years after the Grant date.</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8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Other Stock-Based Grant</w:t>
      </w:r>
      <w:r>
        <w:rPr>
          <w:rFonts w:ascii="Times New Roman;sans-serif" w:hAnsi="Times New Roman;sans-serif"/>
          <w:b w:val="false"/>
          <w:color w:val="000000"/>
          <w:sz w:val="20"/>
        </w:rPr>
        <w:t>. An Other Stock-Based Grant is a Grant, other than a Stock Option, SAR, Restricted Stock, Restricted Stock Units, or Deferred Stock Unit, that is denominated in, valued in whole or in part by reference to, or otherwise based on or related to, Common Stock. The grant, purchase, exercise, exchange or conversion of Other Stock-Based Grants made under this subsection (iii) will be on such terms and conditions and by such methods as may be specified by the Committee. Where the value of an Other Stock-Based Grant is based on the Spread Value, the grant price for such a Grant will not be less than 100% of the Fair Market Value on the date of Grant.</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Restricted Stock</w:t>
      </w:r>
      <w:r>
        <w:rPr>
          <w:rFonts w:ascii="Times New Roman;sans-serif" w:hAnsi="Times New Roman;sans-serif"/>
          <w:b w:val="false"/>
          <w:color w:val="000000"/>
          <w:sz w:val="20"/>
        </w:rPr>
        <w:t>. A Grant of Restricted Stock is a share of Common Stock that is subject to forfeiture during the Restricted Period upon such conditions as may be stated in the applicable Grant agreement. Except as may be provided in the applicable Grant agreement, during the Restricted Period: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(A)Restricted Stock may not be sold, assigned, transferred, pledged or otherwise encumbered;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 Participant will have all the rights of a holder of Common Stock with respect to the Restricted Stock (subject to Section 9 with respect to dividends).</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(v)</w:t>
      </w:r>
      <w:r>
        <w:rPr>
          <w:rFonts w:ascii="Times New Roman;sans-serif" w:hAnsi="Times New Roman;sans-serif"/>
          <w:b w:val="false"/>
          <w:color w:val="000000"/>
          <w:sz w:val="20"/>
          <w:u w:val="single"/>
        </w:rPr>
        <w:t>Restricted Stock Unit or Deferred Stock Unit</w:t>
      </w:r>
      <w:r>
        <w:rPr>
          <w:rFonts w:ascii="Times New Roman;sans-serif" w:hAnsi="Times New Roman;sans-serif"/>
          <w:b w:val="false"/>
          <w:color w:val="000000"/>
          <w:sz w:val="20"/>
        </w:rPr>
        <w:t>. A Grant of a Restricted Stock Unit or a Deferred Stock Unit represents the right to receive a share of Common Stock, cash, or both (as determined by the Committee) upon satisfaction of such conditions as may be set forth in the applicable Grant agreement. Except as may be provided in the applicable Grant agreement, neither Restricted Stock Units nor Deferred Stock Units may be sold, assigned, transferred, pledged or otherwise encumbered during the Restricted Period. Except as may be provided in the applicable Grant agreement, a Participant will not have any of the rights of a holder of Common Stock with respect to Restricted Stock Units or Deferred Stock Units unless and until shares of Common Stock are actually delivered in satisfaction of the restrictions and other conditions of such Restricted Stock Units or Deferred Stock Units.</w:t>
      </w:r>
    </w:p>
    <w:p>
      <w:pPr>
        <w:pStyle w:val="TextBody"/>
        <w:bidi w:val="0"/>
        <w:spacing w:lineRule="auto" w:line="288" w:before="0" w:after="120"/>
        <w:ind w:left="0" w:right="0" w:hanging="720"/>
        <w:jc w:val="left"/>
        <w:rPr/>
      </w:pPr>
      <w:r>
        <w:rPr>
          <w:rFonts w:ascii="Times New Roman;sans-serif" w:hAnsi="Times New Roman;sans-serif"/>
          <w:b w:val="false"/>
          <w:color w:val="000000"/>
          <w:sz w:val="20"/>
        </w:rPr>
        <w:t>(vi)</w:t>
      </w:r>
      <w:r>
        <w:rPr>
          <w:rFonts w:ascii="Times New Roman;sans-serif" w:hAnsi="Times New Roman;sans-serif"/>
          <w:b w:val="false"/>
          <w:color w:val="000000"/>
          <w:sz w:val="20"/>
          <w:u w:val="single"/>
        </w:rPr>
        <w:t>Incentive Awards</w:t>
      </w:r>
      <w:r>
        <w:rPr>
          <w:rFonts w:ascii="Times New Roman;sans-serif" w:hAnsi="Times New Roman;sans-serif"/>
          <w:b w:val="false"/>
          <w:color w:val="000000"/>
          <w:sz w:val="20"/>
        </w:rPr>
        <w:t>. An Incentive Award is a performance-based Award that is expressed in U.S. or other local currency or Common Stock or any combination of the two. Incentive Awards may either be Annual Incentive Awards or Long-Term Incentive Grants.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(b)Non-Management Director Compensation Limit. The maximum Fair Market Value on the date of Grant, as determined by the Committee, of the shares of Common Stock subject to Grants made to any Non-Management Director plus any other cash or other compensation provided to such Non-Management Director in any calendar year may not exceed $750,000; provided that in any calendar year in which a Non-Management Director first joins the Board or during any calendar year in which a Non-Management Director is designated as Chair or Lead Director, such limit shall instead by $1,000,000.</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(c)Performance-Based Grants. Grants made under the Plan may be performance-based through the application of Performance Goals and Performance Cycles.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(d)Adjustment of Performance-Based Compensation. The Committee retains the discretion to adjust the determinations of the degree of attainment of the preestablished performance objectives for performance-based Awards upward or downward, either on a formulaic or discretionary basis or any combination, as the Committee determines, in its sole discretion.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(e)Evaluation of Performance. The Committee may provide in any Grant that any evaluation of performance under the applicable Performance Goal(s) may include or exclude the impact, if any, on reported financial results of any of the following events, or any other events determined by the Committee, that occurs during a Performance Cycle: (a) asset write-downs; (b) litigation or claim judgments or settlements; (c) changes in tax laws, accounting principles or other laws or provisions; reorganization or restructuring programs; (e) acquisitions or divestitures; (f) foreign exchange gains and losses; and (g) gains and losses that are treated as extraordinary items under Financial Accounting Standard No. 145 (Accounting Standards Codification 225).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8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(f)Vesting. Grants made under the Plan will vest at such time or times as may be determined by the Committee; provided, however, that no condition relating to the vesting of a Grant and/or Award that is based upon Performance Goals may be based on a Performance Cycle of less than one year, and no condition that is based upon continued employment or the passage of time alone may provide for vesting of a Grant prior to the first anniversary of the date the Grant is made, except (i) upon the death, disability or retirement of the Participant, in each case as specified in the Grant agreement (ii) upon a Change in Control, as specified in Section 6 of the Plan, (iii) for any Award paid in cash, (iv) for any Grants made to Non-Management Directors which may vest on the date of the Company’s next annual shareholders meeting that is at least 50 weeks from the date the Grant is made, and (v) up to 5% of the amount of shares of Common Stock subject to the Plan may be subject to Grants without any minimum vesting period.</w:t>
      </w:r>
    </w:p>
    <w:p>
      <w:pPr>
        <w:pStyle w:val="TextBody"/>
        <w:bidi w:val="0"/>
        <w:spacing w:lineRule="auto" w:line="288" w:before="0" w:after="120"/>
        <w:jc w:val="left"/>
        <w:rPr/>
      </w:pPr>
      <w:r>
        <w:rPr>
          <w:rFonts w:ascii="Times New Roman;sans-serif" w:hAnsi="Times New Roman;sans-serif"/>
          <w:b/>
          <w:color w:val="000000"/>
          <w:sz w:val="20"/>
        </w:rPr>
        <w:t>Section 6.</w:t>
      </w:r>
      <w:r>
        <w:rPr>
          <w:rFonts w:ascii="Times New Roman;sans-serif" w:hAnsi="Times New Roman;sans-serif"/>
          <w:b/>
          <w:color w:val="000000"/>
          <w:sz w:val="20"/>
        </w:rPr>
        <w:t>Change in Control Provisions.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(a)Impact of Event. Notwithstanding any other provision of the Plan to the contrary, in the event of a Change in Control (as defined below in Section 6(b)):</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(i)Any outstanding Long-Term Incentive Grants will be automatically converted into time-based Deferred Stock Units (“Converted DSUs”) based on the higher of (A) the target level of achievement of the applicable performance goals, and (B) the actual level of achievement of the applicable performance goals as of the latest practicable date prior to the Change in Control (with such actual level determined by the Committee prior to the Change in Control), which Converted DSUs shall have a scheduled vesting date that is the last day of the Performance Cycle of the corresponding Long-Term Incentive Grant.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(ii)If, and to the extent, that an outstanding Grant (including any Grant of Converted DSUs), other than a cash Annual Incentive Award, under the Plan (A) is assumed or continued by the Company or by the successor or parent corporation (or affiliate thereof) in the Change in Control or (B) is replaced by the successor or parent corporation (or affiliate thereof) in the Change in Control with an equity grant that reflects the existing value of the Grant at the time of the Change in Control and provides for a vesting schedule that is the same or more favorable to the Participant than the vesting schedule applicable to the Grant (each such assumed or continued Grant or replacement grant, a “Replacement Grant”), then such Replacement Grant will remain outstanding and be governed by its terms and the provisions of the Plan. The Committee shall have the sole discretion to determine whether a proposed grant meets the requirements of a Replacement Grant pursuant to this Section 6(a)(ii).</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(iii)If, and to the extent, that an outstanding Grant (including any Grant of Converted DSUs), other than cash Annual Incentive Award, under the Plan is not assumed or replaced in accordance with Section 6(a)(ii) above, then upon the Change in Control, such Grant will immediately vest in full (to the extent not previously vested) and become free of all restrictions and, if such Grant is in the form of a Stock Option or SAR, will immediately become fully exercisable (to the extent not previously exercisable) and will remain exercisable until the expiration of the original full term of the Stock Option or SAR. The Board or the Committee may, in its sole discretion, provide for cancellation of such outstanding and vested Grant at the time of the Change in Control, in exchange for a payment of cash, property or a combination thereof that is determined by the Board or the Committee in its sole discretion and that is at least equal in value, for each share of Common Stock subject to the Grant (if applicable), to the excess (if any) of the value of the consideration that would be received in such Change in Control by the holder of a share of Common Stock over the per share exercise price (if any) for such Grant.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(iv)With respect to each Replacement Grant, if (A) other than with respect to a Non-Management Director, the Participant’s employment with, or performance of services for, the Mondelēz Group is terminated by the Mondelēz Group for any reason other than Cause or, by such Participant for Good Reason, in each case, within the two-year period commencing on the Change in Control, or (B) with respect to a Non-Management Director, such Non-Management Director’s service as a member of the Board ceases for any reason within the one-year period commencing on the Change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8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Control, then, as of the date of such Participant’s termination, the Replacement Grant will immediately vest in full and become free of all restrictions and, if such Replacement Grant is in the form of a Stock Option or SAR, will immediately become fully exercisable (to the extent not previously exercisable) and will remain exercisable until the expiration of the original full term of the corresponding Stock Option or SAR.</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(v)Except as otherwise specified in a Grant agreement, any of the foregoing Change in Control provisions that change the timing of payment of an Award will only apply to a Grant subject to Section 409A of the Code to the extent that such change is permissible under and consistent with Section 409A of the Code without the imposition of additional taxes and penalties under Section 409A of the Code. For the avoidance of doubt, the foregoing applies to all Grants made under the Plan regardless of when made.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(b)Definition of Change in Control. “Change in Control” means the occurrence of any of the following events: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(i)Acquisition of 20% or more of the outstanding voting securities of the Company by another entity or group; excluding, however, the following:</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(A)any acquisition by the Company or any of its Affiliates;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acquisition by an employee benefit plan or related trust sponsored or maintained by any entity within the Mondelēz Group;</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(C)any acquisition pursuant to a merger or consolidation described in Section 6(b)(iii); or</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(D)any acquisition directly from the Company;</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(ii)During any consecutive 24-month period, persons who constitute the Board at the beginning of such period cease to constitute at least 50% of the Board; provided that each new Board member who is approved by a majority of the directors who began such 24 month period will be deemed to have been a member of the Board at the beginning of such 24 month period;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(iii)The consummation of a reorganization, merger, statutory share exchange or consolidation or other material transaction involving the Company or any of its subsidiaries;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p>
      <w:pPr>
        <w:pStyle w:val="TextBody"/>
        <w:bidi w:val="0"/>
        <w:spacing w:lineRule="auto" w:line="288" w:before="0" w:after="240"/>
        <w:jc w:val="left"/>
        <w:rPr/>
      </w:pPr>
      <w:r>
        <w:rPr>
          <w:rFonts w:ascii="Times New Roman;sans-serif" w:hAnsi="Times New Roman;sans-serif"/>
          <w:b/>
          <w:color w:val="000000"/>
          <w:sz w:val="20"/>
        </w:rPr>
        <w:t>Section 7.</w:t>
      </w:r>
      <w:r>
        <w:rPr>
          <w:rFonts w:ascii="Times New Roman;sans-serif" w:hAnsi="Times New Roman;sans-serif"/>
          <w:b/>
          <w:color w:val="000000"/>
          <w:sz w:val="20"/>
        </w:rPr>
        <w:t>Plan Amendment and Termination.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Board may at any time and from time to time amend the Plan in whole or in part; provided, however, that if an amendment to the Plan (i) would materially increase the benefits accruing to the Participants, (ii) would increase the number of securities that may be issued under the Plan, (iii) would materially modify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8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for participation in the Plan or (iv) must otherwise be approved by the shareholders of the Company in order to comply with applicable law or the rules of the NASDAQ Global Select Market or, if the shares of Common Stock are not traded on the NASDAQ Global Select Market, the principal national securities exchange upon which the shares of Common Stock are traded or quoted, then such amendment will be subject to shareholder approval and will not be effective unless and until such approval has been obtained.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(b)Except in connection with a corporate transaction or event described in Section 4(b) of the Plan, (i) the terms of outstanding Grants may not be amended to reduce the exercise price of outstanding Stock Options or the base price of outstanding SARs (or similar Grants based upon Spread Value), (ii) at any time when the exercise price or base price of a Stock Option or SAR or other similar Grant based upon Spread Value is above the Fair Market Value of a share of Common Stock, cancel outstanding Stock Options or SARs (or similar Grants based upon Spread Value) in exchange for cash, other Grants, Awards, Stock Options or SARs (or similar Grants based upon Spread Value) with an exercise price or base price, as applicable, that is less than the exercise price of the original Stock Option or base price of the original SAR (or similar Grant based upon Spread Value), as applicable, or (iii) otherwise take any other action that is treated as a “repricing” with respect to such Stock Options or SAR (or similar Grants based upon Spread Value) under generally accepted accounting principles, without shareholder approval.</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(c)Subject to Section 7(b), the Board may amend the terms of any Grant under the Plan prospectively or retroactively, but subject to Section 4(b) of the Plan, no amendment may impair the rights of any Participant without his or her consent. The Board may, in its discretion, terminate the Plan at any time. Termination of the Plan will not affect the rights of Participants or their successors under any Grants outstanding and not exercised in full on the date of termination.</w:t>
      </w:r>
    </w:p>
    <w:p>
      <w:pPr>
        <w:pStyle w:val="TextBody"/>
        <w:bidi w:val="0"/>
        <w:spacing w:lineRule="auto" w:line="288" w:before="0" w:after="120"/>
        <w:jc w:val="left"/>
        <w:rPr/>
      </w:pPr>
      <w:r>
        <w:rPr>
          <w:rFonts w:ascii="Times New Roman;sans-serif" w:hAnsi="Times New Roman;sans-serif"/>
          <w:b/>
          <w:color w:val="000000"/>
          <w:sz w:val="20"/>
        </w:rPr>
        <w:t>Section 8.</w:t>
      </w:r>
      <w:r>
        <w:rPr>
          <w:rFonts w:ascii="Times New Roman;sans-serif" w:hAnsi="Times New Roman;sans-serif"/>
          <w:b/>
          <w:color w:val="000000"/>
          <w:sz w:val="20"/>
        </w:rPr>
        <w:t>Payments and Payment Deferrals.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Awards may be paid in cash, Common Stock, Grants or combinations thereof as the Committee may determine and with such restrictions as it may impose. The Committee, either at the time of grant or by subsequent amendment, may require or permit deferral of the payment of Awards under such rules and procedures as it may establish; provided, however, that any Stock Options, SARs, and similar Other Stock-Based Grants based upon Spread Value that are not otherwise subject to Section 409A of the Code but would be subject to Section 409A of the Code if a deferral were permitted may not be deferred. The Committee also may provide that deferred settlements include the payment or crediting of interest or other earnings on the deferred amounts, or the payment or crediting of dividend equivalents where the deferred amounts are denominated in Common Stock equivalents. Any deferral and related terms and conditions shall comply with Section 409A of the Code.</w:t>
      </w:r>
    </w:p>
    <w:p>
      <w:pPr>
        <w:pStyle w:val="TextBody"/>
        <w:bidi w:val="0"/>
        <w:spacing w:lineRule="auto" w:line="288" w:before="0" w:after="120"/>
        <w:jc w:val="left"/>
        <w:rPr/>
      </w:pPr>
      <w:r>
        <w:rPr>
          <w:rFonts w:ascii="Times New Roman;sans-serif" w:hAnsi="Times New Roman;sans-serif"/>
          <w:b/>
          <w:color w:val="000000"/>
          <w:sz w:val="20"/>
        </w:rPr>
        <w:t>Section 9.</w:t>
      </w:r>
      <w:r>
        <w:rPr>
          <w:rFonts w:ascii="Times New Roman;sans-serif" w:hAnsi="Times New Roman;sans-serif"/>
          <w:b/>
          <w:color w:val="000000"/>
          <w:sz w:val="20"/>
        </w:rPr>
        <w:t>Dividends and Dividend Equivalents.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may provide that any Grants under the Plan, other than Stock Options or SARs, earn dividends or dividend equivalents. Such dividends or dividend equivalents may be paid currently or may be credited to a Participant’s Plan account, provided that for all unvested Grants, the payment of dividends or dividend equivalents shall be subject to the same vesting conditions as applicable to the underlying Grant. Any crediting of dividends or dividend equivalents may be subject to such additional restrictions and conditions as the Committee may establish, including reinvestment in additional shares of Common Stock or Common Stock equivalents.</w:t>
      </w:r>
    </w:p>
    <w:p>
      <w:pPr>
        <w:pStyle w:val="TextBody"/>
        <w:bidi w:val="0"/>
        <w:spacing w:lineRule="auto" w:line="288" w:before="0" w:after="120"/>
        <w:jc w:val="left"/>
        <w:rPr/>
      </w:pPr>
      <w:r>
        <w:rPr>
          <w:rFonts w:ascii="Times New Roman;sans-serif" w:hAnsi="Times New Roman;sans-serif"/>
          <w:b/>
          <w:color w:val="000000"/>
          <w:sz w:val="20"/>
        </w:rPr>
        <w:t>Section 10.</w:t>
      </w:r>
      <w:r>
        <w:rPr>
          <w:rFonts w:ascii="Times New Roman;sans-serif" w:hAnsi="Times New Roman;sans-serif"/>
          <w:b/>
          <w:color w:val="000000"/>
          <w:sz w:val="20"/>
        </w:rPr>
        <w:t>Transferability.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provided in the applicable Grant agreement or otherwise required by law, Grants and other rights to receive Awards are not transferable or assignable other than by will or the laws of descent and distribution. In no event may any Grant or right to receive an Award be transferred in exchange for consideration.</w:t>
      </w:r>
    </w:p>
    <w:p>
      <w:pPr>
        <w:pStyle w:val="TextBody"/>
        <w:bidi w:val="0"/>
        <w:spacing w:lineRule="auto" w:line="288" w:before="0" w:after="120"/>
        <w:jc w:val="left"/>
        <w:rPr/>
      </w:pPr>
      <w:r>
        <w:rPr>
          <w:rFonts w:ascii="Times New Roman;sans-serif" w:hAnsi="Times New Roman;sans-serif"/>
          <w:b/>
          <w:color w:val="000000"/>
          <w:sz w:val="20"/>
        </w:rPr>
        <w:t>Section 11.</w:t>
      </w:r>
      <w:r>
        <w:rPr>
          <w:rFonts w:ascii="Times New Roman;sans-serif" w:hAnsi="Times New Roman;sans-serif"/>
          <w:b/>
          <w:color w:val="000000"/>
          <w:sz w:val="20"/>
        </w:rPr>
        <w:t>Grant Agreements.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Grant under the Plan must be evidenced by a written agreement (which may be electronic and need not be signed by the recipient unless otherwise specified by the Committee) that establishes the terms, conditions and limitations for each Grant. Such terms may include, but are not limited to, the term of the Grant, vesting and forfeiture provisions, and the provisions applicable in the event the Participant’s employment terminates. Subject to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8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Section 7 of the Plan, the Committee may amend a Grant agreement, provided that, except as stated in a Grant agreement or as necessary to comply with applicable law or avoid adverse tax consequences to some or all Participants, no amendment may materially and adversely affect a Grant without the Participant’s consent.</w:t>
      </w:r>
    </w:p>
    <w:p>
      <w:pPr>
        <w:pStyle w:val="TextBody"/>
        <w:bidi w:val="0"/>
        <w:spacing w:lineRule="auto" w:line="288" w:before="0" w:after="120"/>
        <w:jc w:val="left"/>
        <w:rPr/>
      </w:pPr>
      <w:r>
        <w:rPr>
          <w:rFonts w:ascii="Times New Roman;sans-serif" w:hAnsi="Times New Roman;sans-serif"/>
          <w:b/>
          <w:color w:val="000000"/>
          <w:sz w:val="20"/>
        </w:rPr>
        <w:t>Section 12.</w:t>
      </w:r>
      <w:r>
        <w:rPr>
          <w:rFonts w:ascii="Times New Roman;sans-serif" w:hAnsi="Times New Roman;sans-serif"/>
          <w:b/>
          <w:color w:val="000000"/>
          <w:sz w:val="20"/>
        </w:rPr>
        <w:t>Unfunded Status of the Plan.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Plan is unfunded. The Committee may authorize the creation of trusts or other arrangements to meet the obligations created under the Plan to deliver Common Stock or make payments; provided, however, that, unless the Committee otherwise determines, the existence of such trusts or other arrangements is consistent with the “unfunded” status of the Plan.</w:t>
      </w:r>
    </w:p>
    <w:p>
      <w:pPr>
        <w:pStyle w:val="TextBody"/>
        <w:bidi w:val="0"/>
        <w:spacing w:lineRule="auto" w:line="288" w:before="0" w:after="120"/>
        <w:jc w:val="left"/>
        <w:rPr/>
      </w:pPr>
      <w:r>
        <w:rPr>
          <w:rFonts w:ascii="Times New Roman;sans-serif" w:hAnsi="Times New Roman;sans-serif"/>
          <w:b/>
          <w:color w:val="000000"/>
          <w:sz w:val="20"/>
        </w:rPr>
        <w:t>Section 13.</w:t>
      </w:r>
      <w:r>
        <w:rPr>
          <w:rFonts w:ascii="Times New Roman;sans-serif" w:hAnsi="Times New Roman;sans-serif"/>
          <w:b/>
          <w:color w:val="000000"/>
          <w:sz w:val="20"/>
        </w:rPr>
        <w:t>Compensation Recoupment Policy.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of the Plan, all Grants or Awards, including any shares of Common Stock subject to a Grant, shall be subject to all recovery, recoupment, clawback and/or other forfeiture policies maintained by the Company from time to time, including the Company’s Dodd-Frank Clawback Policy and the Company’s Compensation Recoupment Policy. In addition, the Committee may impose such other clawback, recovery or recoupment provisions in a Grant agreement or policy as the Committee determines necessary or appropriate, including a reacquisition right in respect of previously acquired shares of Stock or other cash or property upon the occurrence of misconduct. No recovery of compensation under such a clawback policy or recoupment right will be an event giving rise to a right to resign for Good Reason or be deemed a “constructive termination” (or any similar term) as such terms are used in any agreement between any Participant and the Company.</w:t>
      </w:r>
    </w:p>
    <w:p>
      <w:pPr>
        <w:pStyle w:val="TextBody"/>
        <w:bidi w:val="0"/>
        <w:spacing w:lineRule="auto" w:line="288" w:before="0" w:after="120"/>
        <w:jc w:val="left"/>
        <w:rPr/>
      </w:pPr>
      <w:r>
        <w:rPr>
          <w:rFonts w:ascii="Times New Roman;sans-serif" w:hAnsi="Times New Roman;sans-serif"/>
          <w:b/>
          <w:color w:val="000000"/>
          <w:sz w:val="20"/>
        </w:rPr>
        <w:t>Section 14.</w:t>
      </w:r>
      <w:r>
        <w:rPr>
          <w:rFonts w:ascii="Times New Roman;sans-serif" w:hAnsi="Times New Roman;sans-serif"/>
          <w:b/>
          <w:color w:val="000000"/>
          <w:sz w:val="20"/>
        </w:rPr>
        <w:t>General Provisions.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Committee may require each person acquiring shares of Common Stock pursuant to an Award to represent to and agree with the Company in writing that such person is acquiring the shares without a view to the distribution of the shares. The certificates for such shares may include any legend that the Committee deems appropriate to reflect any restrictions on transfer.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All certificates for shares of Common Stock or other securities delivered under the Plan are subject to such stock transfer orders and other restrictions as the Committee may deem advisable under the rules, regulations and other requirements of the Commission, any stock exchange upon which the Common Stock is then listed, and any applicable Federal, state or foreign securities law, and the Committee may cause a legend or legends to be put on any such certificates to make appropriate reference to such restrictions.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(b)Nothing contained in the Plan will prevent the Company, or an entity within the Mondelēz Group, from adopting other or additional compensation arrangements for their respective employees or Non-Management Directors.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(c)Neither the adoption of the Plan nor the making of Grants under the Plan confers upon any individual any right to continued employment or service nor will they interfere in any way with the right of the Mondelēz Group to terminate the employment or service of any individual at any time.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(d)The Company or another member of the Mondelēz Group as applicable has the authority to take any and all actions it deems necessary and appropriate to comply with applicable tax laws with respect to the making of Grants, vesting or payment of Awards under the Plan. If applicable tax withholding is not timely paid by the Participant in accordance with administrative procedures established periodically and communicated to Participants, the withholding may be satisfied by the reduction in the Grant if the taxable event occurs prior to the Award. Unless otherwise determined by the Committee, withholding obligations arising from an Award may be settled with Common Stock, including Common Stock that is part of, or is received upon exercise or conversion of, the Award that gives rise to the withholding requirement. In no event shall the Fair Market Value of the shares of Common Stock to be withheld and delivered pursuant to this Section 14(d) to satisfy applicable withholding taxes in connection with the benefit exceed the maximum amount of taxes required to be withheld. The obligations of the Company under the Plan are conditioned on such payment or arrangements, and the Mondelēz Group may, to the extent permitted by law, have the right to deduct any such taxes from any payment otherwise due to the Participant. The Committee may establish such procedures as it deems appropriate, including the making of irrevocable elections, for the settling of withholding obligations with Common Stock.</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8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(e)The Plan is subject to the laws of the Commonwealth of Virginia, excluding any conflicts or choice of law rule or principle that might otherwise refer construction or interpretation of the Plan to the substantive law of another jurisdiction. Unless otherwise provided in a Grant agreement, recipients of Grants and/or Awards under the Plan are deemed to submit to the exclusive jurisdiction and venue of the Federal or state courts of the Commonwealth of Virginia, to resolve any and all issues that may arise out of or relate to the Plan or any related Grant or Award.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(f)All obligations of the Company under the Plan with respect to Grants and/or Awards made under the Plan are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(g)The Plan and all Grants made under the Plan will be interpreted, construed and operated to reflect the intent of the Company that all aspects of the Plan and the Grants be interpreted either to be exempt from the provisions of Section 409A of the Code or, to the extent subject to Section 409A of the Code, comply with Section 409A of the Code.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(h)This Plan may be amended at any time, without the consent of any party, to avoid the application of Section 409A of the Code in a particular circumstance or that is necessary or desirable to satisfy any of the requirements under Section 409A of the Code, but the Company is not to be under any obligation to make any such amendment. Nothing in the Plan may provide a basis for any person to take action against the Company or any member of the Mondelēz Group based on matters covered by Section 409A of the Code, including the tax treatment of any amount paid or Grant made under the Plan, and neither the Company nor any member of the Mondelēz Group will under any circumstances have any liability to any Participant or his estate for any taxes, penalties or interest due on amounts paid or payable under the Plan, including taxes, penalties or interest imposed under Section 409A of the Code. Notwithstanding any other provision in the Plan to the contrary, if a Participant is a “specified employee,” as that term is used in Section 409A of the Code, at the time of his or her separation from service, no amount that is subject to Section 409A of the Code and that becomes payable by reason of such separation from service shall be paid to such Participant before the earlier of (i) the expiration of the six-month period measured from the date of the Participant’s separation from service, and (ii) within 30 days following the Participant’s death.</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(i)If any provision of the Plan is held invalid or unenforceable, the invalidity or unenforceability will not affect the remaining parts of the Plan, and the Plan will be enforced and construed as if such provision had not been included.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(j)The Plan was approved by shareholders and became effective on the Effective Date. No Grants may be made after the tenth anniversary of the Effective Date, and no Incentive Stock Option may be granted under the Plan after the tenth anniversary of May 22, 2024, provided that any Grants made prior to that date may extend beyond it.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10.3</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9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Optionee</w:t>
      </w:r>
      <w:r>
        <w:rPr>
          <w:color w:val="000000"/>
        </w:rPr>
        <w:t>”</w:t>
      </w:r>
      <w:r>
        <w:rPr>
          <w:rFonts w:ascii="Times New Roman;sans-serif" w:hAnsi="Times New Roman;sans-serif"/>
          <w:b w:val="false"/>
          <w:color w:val="000000"/>
          <w:sz w:val="22"/>
        </w:rPr>
        <w:t>) identified in the award statement provided to the Optionee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under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non-qualified stock options (the “</w:t>
      </w:r>
      <w:r>
        <w:rPr>
          <w:rFonts w:ascii="Times New Roman;sans-serif" w:hAnsi="Times New Roman;sans-serif"/>
          <w:b w:val="false"/>
          <w:color w:val="000000"/>
          <w:sz w:val="22"/>
          <w:u w:val="single"/>
        </w:rPr>
        <w:t>Option</w:t>
      </w:r>
      <w:r>
        <w:rPr>
          <w:color w:val="000000"/>
        </w:rPr>
        <w:t>”</w:t>
      </w:r>
      <w:r>
        <w:rPr>
          <w:rFonts w:ascii="Times New Roman;sans-serif" w:hAnsi="Times New Roman;sans-serif"/>
          <w:b w:val="false"/>
          <w:color w:val="000000"/>
          <w:sz w:val="22"/>
        </w:rPr>
        <w:t>). The Option entitles the Optionee to exercise options for up to the aggregate number of shares set forth in the Award Statement (the “</w:t>
      </w:r>
      <w:r>
        <w:rPr>
          <w:rFonts w:ascii="Times New Roman;sans-serif" w:hAnsi="Times New Roman;sans-serif"/>
          <w:b w:val="false"/>
          <w:color w:val="000000"/>
          <w:sz w:val="22"/>
          <w:u w:val="single"/>
        </w:rPr>
        <w:t>Option Shares</w:t>
      </w:r>
      <w:r>
        <w:rPr>
          <w:color w:val="000000"/>
        </w:rPr>
        <w:t>”</w:t>
      </w:r>
      <w:r>
        <w:rPr>
          <w:rFonts w:ascii="Times New Roman;sans-serif" w:hAnsi="Times New Roman;sans-serif"/>
          <w:b w:val="false"/>
          <w:color w:val="000000"/>
          <w:sz w:val="22"/>
        </w:rPr>
        <w:t>) of the Company’s Common Stock, at the price per share set forth in the Award Statement (the “</w:t>
      </w:r>
      <w:r>
        <w:rPr>
          <w:rFonts w:ascii="Times New Roman;sans-serif" w:hAnsi="Times New Roman;sans-serif"/>
          <w:b w:val="false"/>
          <w:color w:val="000000"/>
          <w:sz w:val="22"/>
          <w:u w:val="single"/>
        </w:rPr>
        <w:t>Grant Price</w:t>
      </w:r>
      <w:r>
        <w:rPr>
          <w:color w:val="000000"/>
        </w:rPr>
        <w:t>”</w:t>
      </w:r>
      <w:r>
        <w:rPr>
          <w:rFonts w:ascii="Times New Roman;sans-serif" w:hAnsi="Times New Roman;sans-serif"/>
          <w:b w:val="false"/>
          <w:color w:val="000000"/>
          <w:sz w:val="22"/>
        </w:rPr>
        <w:t>). Capitalized terms not otherwise defined in this Non-Qualified Global Stock Option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288"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 Option is subject to the following terms and conditions (including the country-specific terms set forth in Appendix A to this Agreement):</w:t>
      </w:r>
    </w:p>
    <w:p>
      <w:pPr>
        <w:pStyle w:val="TextBody"/>
        <w:bidi w:val="0"/>
        <w:spacing w:lineRule="auto" w:line="288" w:before="0" w:after="240"/>
        <w:ind w:left="0" w:right="0" w:firstLine="360"/>
        <w:jc w:val="left"/>
        <w:rPr>
          <w:rFonts w:ascii="Times New Roman;sans-serif" w:hAnsi="Times New Roman;sans-serif"/>
          <w:b/>
          <w:color w:val="000000"/>
          <w:sz w:val="22"/>
        </w:rPr>
      </w:pPr>
      <w:r>
        <w:rPr>
          <w:rFonts w:ascii="Times New Roman;sans-serif" w:hAnsi="Times New Roman;sans-serif"/>
          <w:b/>
          <w:color w:val="000000"/>
          <w:sz w:val="22"/>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this Option may not be exercised before the vesting requirements (“</w:t>
      </w:r>
      <w:r>
        <w:rPr>
          <w:rFonts w:ascii="Times New Roman;sans-serif" w:hAnsi="Times New Roman;sans-serif"/>
          <w:b w:val="false"/>
          <w:color w:val="000000"/>
          <w:sz w:val="22"/>
          <w:u w:val="single"/>
        </w:rPr>
        <w:t>Vesting Requirements</w:t>
      </w:r>
      <w:r>
        <w:rPr>
          <w:color w:val="000000"/>
        </w:rPr>
        <w:t>”</w:t>
      </w:r>
      <w:r>
        <w:rPr>
          <w:rFonts w:ascii="Times New Roman;sans-serif" w:hAnsi="Times New Roman;sans-serif"/>
          <w:b w:val="false"/>
          <w:color w:val="000000"/>
          <w:sz w:val="22"/>
        </w:rPr>
        <w:t>) set forth in the schedule to the Award Statement (the “</w:t>
      </w:r>
      <w:r>
        <w:rPr>
          <w:rFonts w:ascii="Times New Roman;sans-serif" w:hAnsi="Times New Roman;sans-serif"/>
          <w:b w:val="false"/>
          <w:color w:val="000000"/>
          <w:sz w:val="22"/>
          <w:u w:val="single"/>
        </w:rPr>
        <w:t>Schedule</w:t>
      </w:r>
      <w:r>
        <w:rPr>
          <w:color w:val="000000"/>
        </w:rPr>
        <w:t>”</w:t>
      </w:r>
      <w:r>
        <w:rPr>
          <w:rFonts w:ascii="Times New Roman;sans-serif" w:hAnsi="Times New Roman;sans-serif"/>
          <w:b w:val="false"/>
          <w:color w:val="000000"/>
          <w:sz w:val="22"/>
        </w:rPr>
        <w:t>) have been satisfied.</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Vesting Upon Termination of Employment</w:t>
      </w:r>
      <w:r>
        <w:rPr>
          <w:rFonts w:ascii="Times New Roman;sans-serif" w:hAnsi="Times New Roman;sans-serif"/>
          <w:b w:val="false"/>
          <w:color w:val="000000"/>
          <w:sz w:val="22"/>
        </w:rPr>
        <w:t xml:space="preserve">.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Optionee’s death or Disability (as defined below in paragraph 15), then this Option will become immediately exercisable for 100% of the Option Shares identified in the Award Statement; or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the Optionee’s Retirement (as defined below in paragraph 15) occurring at least 180 days after the date of grant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Exercisability Upon Termination of Employment from the Mondelēz Group</w:t>
      </w:r>
      <w:r>
        <w:rPr>
          <w:rFonts w:ascii="Times New Roman;sans-serif" w:hAnsi="Times New Roman;sans-serif"/>
          <w:b w:val="false"/>
          <w:color w:val="000000"/>
          <w:sz w:val="22"/>
        </w:rPr>
        <w:t>. During the period commencing on the first date that the Vesting Requirements are satisfied (or, such earlier date determined in accordance with paragraph 2) until the close of the market on the expiration date set forth in the Schedule (“</w:t>
      </w:r>
      <w:r>
        <w:rPr>
          <w:rFonts w:ascii="Times New Roman;sans-serif" w:hAnsi="Times New Roman;sans-serif"/>
          <w:b w:val="false"/>
          <w:color w:val="000000"/>
          <w:sz w:val="22"/>
          <w:u w:val="single"/>
        </w:rPr>
        <w:t>Expiration Date</w:t>
      </w:r>
      <w:r>
        <w:rPr>
          <w:color w:val="000000"/>
        </w:rPr>
        <w:t>”</w:t>
      </w:r>
      <w:r>
        <w:rPr>
          <w:rFonts w:ascii="Times New Roman;sans-serif" w:hAnsi="Times New Roman;sans-serif"/>
          <w:b w:val="false"/>
          <w:color w:val="000000"/>
          <w:sz w:val="22"/>
        </w:rPr>
        <w:t xml:space="preserve">) (or if the market is closed on such date, the close of the market on the last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7505"/>
                <wp:effectExtent l="0" t="0" r="0" b="0"/>
                <wp:wrapNone/>
                <wp:docPr id="191" name="Frame7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date the market is open prior to the Expiration Date), this Option may be exercised in whole or in part with respect to such Option Shares, subject to the following provisions: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In the event that the Optionee’s employment terminates by reason of Retirement, death or Disability, such Option may be exercised on or prior to the Expiration Date;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If employment is terminated by the Optionee (other than by Retirement, death or Disability), such Option may be exercised until the close of the market 90 days from the effective date of termination (the “</w:t>
      </w:r>
      <w:r>
        <w:rPr>
          <w:rFonts w:ascii="Times New Roman;sans-serif" w:hAnsi="Times New Roman;sans-serif"/>
          <w:b w:val="false"/>
          <w:color w:val="000000"/>
          <w:sz w:val="22"/>
          <w:u w:val="single"/>
        </w:rPr>
        <w:t>90-Day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90-Day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    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sans-serif" w:hAnsi="Times New Roman;sans-serif"/>
          <w:b w:val="false"/>
          <w:color w:val="000000"/>
          <w:sz w:val="22"/>
          <w:u w:val="single"/>
        </w:rPr>
        <w:t>12-Month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12-Month Period);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If the Optionee’s employment is involuntarily suspended or terminated by the Mondelēz Group for Cause, the Option shall be forfeited.</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sans-serif" w:hAnsi="Times New Roman;sans-serif"/>
          <w:b w:val="false"/>
          <w:color w:val="000000"/>
          <w:sz w:val="22"/>
          <w:u w:val="single"/>
        </w:rPr>
        <w:t>Exchange</w:t>
      </w:r>
      <w:r>
        <w:rPr>
          <w:color w:val="000000"/>
        </w:rPr>
        <w:t>”</w:t>
      </w:r>
      <w:r>
        <w:rPr>
          <w:rFonts w:ascii="Times New Roman;sans-serif" w:hAnsi="Times New Roman;sans-serif"/>
          <w:b w:val="false"/>
          <w:color w:val="000000"/>
          <w:sz w:val="22"/>
        </w:rPr>
        <w:t>) is open. Accordingly, if the Expiration Date (or the expiration of the 90-Day Period and/or the 12-Month Period) is a day the Exchange is closed, the Expiration Date (or the expiration of the 90-Day Period and/or the 12-Month Period) shall be the immediately preceding day on which the Exchange is open.</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Exercise of Option and Withholding Taxes</w:t>
      </w:r>
      <w:r>
        <w:rPr>
          <w:rFonts w:ascii="Times New Roman;sans-serif" w:hAnsi="Times New Roman;sans-serif"/>
          <w:b w:val="false"/>
          <w:color w:val="000000"/>
          <w:sz w:val="22"/>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(a)to the extent permitted by applicable law, by cash, check or cash equivalent; </w: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(b)consideration received by the Company from a cashless exercise through a licensed securities broker acceptable to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7505"/>
                <wp:effectExtent l="0" t="0" r="0" b="0"/>
                <wp:wrapNone/>
                <wp:docPr id="192" name="Frame7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(c)if the Optionee is a U.S. taxpayer or if permitted by the Committee, by surrender of shares of Common Stock previously owned by the Optionee which meet the conditions established by the Committee; or</w: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(d)any other methods approved by the Committee and permitted by applicable laws.</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The Optionee acknowledges that, regardless of any action taken by the Company or, if different, the Optionee’s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7505"/>
                <wp:effectExtent l="0" t="0" r="0" b="0"/>
                <wp:wrapNone/>
                <wp:docPr id="193" name="Frame7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Cash-Out of Option</w:t>
      </w:r>
      <w:r>
        <w:rPr>
          <w:rFonts w:ascii="Times New Roman;sans-serif" w:hAnsi="Times New Roman;sans-serif"/>
          <w:b w:val="false"/>
          <w:color w:val="000000"/>
          <w:sz w:val="22"/>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3.to protect the Mondelēz Group’s investment in its development of goodwill and customers and to ensure the long-term success of the business, the Optionee will not directly or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7505"/>
                <wp:effectExtent l="0" t="0" r="0" b="0"/>
                <wp:wrapNone/>
                <wp:docPr id="194" name="Frame7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uto" w:line="288" w:before="0" w:after="240"/>
        <w:jc w:val="left"/>
        <w:rPr/>
      </w:pPr>
      <w:r>
        <w:rPr>
          <w:rFonts w:ascii="Times New Roman;sans-serif" w:hAnsi="Times New Roman;sans-serif"/>
          <w:b w:val="false"/>
          <w:color w:val="000000"/>
          <w:sz w:val="22"/>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portion of the Option) shall be immediately forfeited;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4.the Mondelēz Group shall be entitled to seek, in addition to other available remedies, a temporary or permanent injunction or other equitable relief against such breach or threatened breach from any court of competent jurisdiction, without the necessity of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7505"/>
                <wp:effectExtent l="0" t="0" r="0" b="0"/>
                <wp:wrapNone/>
                <wp:docPr id="195" name="Frame7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pStyle w:val="TextBody"/>
        <w:bidi w:val="0"/>
        <w:spacing w:lineRule="auto" w:line="288"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(e)The Optionee is hereby advised in writing to consult with an attorney before entering into the covenants outlined in this Section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Section 6. The Optionee acknowledges that they have entered into this Agreement knowingly and voluntarily and with full knowledge and understanding of the provisions of this Agreement after being given the opportunity to consult with counsel. The 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88"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xml:space="preserve">.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7505"/>
                <wp:effectExtent l="0" t="0" r="0" b="0"/>
                <wp:wrapNone/>
                <wp:docPr id="196" name="Frame7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the Company’s Dodd-Frank Clawback Policy, the Company’s Compensation Recoupment Policy, and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policies, the Optionee hereby expressly acknowledges and agrees that the Company shall have the right to reduce, cancel, or withhold against outstanding, unvested, vested, or future cash or equity-based compensation owed or due to the Optionee, to the maximum extent permitted under applicable law. No such recovery will be an event giving rise to a right to resign for Good Reason or be deemed a “constructive termination” (or any similar term) as such terms are used in any agreement between the Optionee and the Company or under any severance plans applicable to the Optionee.</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xml:space="preserve">. Unless otherwise required by law, this Option is not transferable or assignable by the Optionee in any manner other than by will or the laws of descent and distribution applicable to the Optionee and is exercisable during the Optionee’s lifetime only by the Optionee. </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9.</w:t>
      </w:r>
      <w:r>
        <w:rPr>
          <w:color w:val="000000"/>
        </w:rPr>
        <w:t xml:space="preserve">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xml:space="preserve">.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 </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7505"/>
                <wp:effectExtent l="0" t="0" r="0" b="0"/>
                <wp:wrapNone/>
                <wp:docPr id="197" name="Frame8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Commonwealth of Virginia, U.S.A., and agrees that such litigation shall be conducted in the courts of Henrico County, Virginia, or the federal courts for the United States for the Eastern District of Virginia. </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Grant Confers No Rights to Continued Employment - Nature of the Grant</w:t>
      </w:r>
      <w:r>
        <w:rPr>
          <w:rFonts w:ascii="Times New Roman;sans-serif" w:hAnsi="Times New Roman;sans-serif"/>
          <w:b w:val="false"/>
          <w:color w:val="000000"/>
          <w:sz w:val="22"/>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 the Plan shall not constitute an inducement to, or condition of, the employment of the Optionee. Further, the Optionee acknowledges, understands and agrees that:</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grant of the Option is exceptional, voluntary and occasional and does not create any contractual or other right to receive future grants of options, or benefits in lieu of options, even if options have been granted in the past;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all decisions with respect to future option or other Grants, if any, will be at the sole discretion of the Committee;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Optionee is voluntarily participating in the Plan;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Option and the Option Shares subject to the Option, and the income and value of same, are not intended to replace any pension rights or compensation;</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future value of the underlying shares of Common Stock is unknown, indeterminable and cannot be predicted;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if the underlying shares of Common Stock do not increase in value, the Option will have no value;</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if the Optionee exercises the Option and obtains shares of Common Stock, the value of those shares of Common Stock acquired upon exercise may increase or decrease in value, even below the Grant Price;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7505"/>
                <wp:effectExtent l="0" t="0" r="0" b="0"/>
                <wp:wrapNone/>
                <wp:docPr id="198" name="Frame8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advice, nor is the Company making any recommendations regarding the Optionee’s participation in the Plan, or the Optionee’s acquisition or sale of the underlying shares of Common Stock;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the Option is designated as not constituting an Incentive Stock Option; this Agreement shall be interpreted and treated consistently with such designation;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(m)</w:t>
      </w:r>
      <w:r>
        <w:rPr>
          <w:rFonts w:ascii="Times New Roman;sans-serif" w:hAnsi="Times New Roman;sans-serif"/>
          <w:b w:val="false"/>
          <w:color w:val="000000"/>
          <w:sz w:val="22"/>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(n)</w:t>
      </w:r>
      <w:r>
        <w:rPr>
          <w:rFonts w:ascii="Times New Roman;sans-serif" w:hAnsi="Times New Roman;sans-serif"/>
          <w:b w:val="false"/>
          <w:color w:val="000000"/>
          <w:sz w:val="22"/>
        </w:rPr>
        <w:t>the Option and the shares of Common Stock subject to the Option, and the income and value of same, are not part of Optionee’s normal or expected compensation or salary for any purpose;</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(o)</w:t>
      </w:r>
      <w:r>
        <w:rPr>
          <w:rFonts w:ascii="Times New Roman;sans-serif" w:hAnsi="Times New Roman;sans-serif"/>
          <w:b w:val="false"/>
          <w:color w:val="000000"/>
          <w:sz w:val="22"/>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no claim or entitlement to compensation or damages shall arise from forfeiture of the Option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 xml:space="preserve">acquired under the Plan </w:t>
      </w:r>
      <w:r>
        <w:rPr>
          <w:rFonts w:ascii="Times New Roman;sans-serif" w:hAnsi="Times New Roman;sans-serif"/>
          <w:b w:val="false"/>
          <w:color w:val="000000"/>
          <w:sz w:val="22"/>
        </w:rPr>
        <w:t xml:space="preserve">resulting from (a)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13.</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Optionee’s participation in the Plan.</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pStyle w:val="TextBody"/>
        <w:bidi w:val="0"/>
        <w:spacing w:lineRule="auto" w:line="288" w:before="0" w:after="240"/>
        <w:ind w:left="0" w:right="0" w:firstLine="720"/>
        <w:jc w:val="left"/>
        <w:rPr/>
      </w:pPr>
      <w:r>
        <w:rPr>
          <w:rFonts w:ascii="Times New Roman;sans-serif" w:hAnsi="Times New Roman;sans-serif"/>
          <w:b/>
          <w:i/>
          <w:color w:val="000000"/>
          <w:sz w:val="22"/>
        </w:rPr>
        <w:t>The Optionee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7505"/>
                <wp:effectExtent l="0" t="0" r="0" b="0"/>
                <wp:wrapNone/>
                <wp:docPr id="199" name="Frame8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Miscellaneous Definitions</w:t>
      </w:r>
      <w:r>
        <w:rPr>
          <w:rFonts w:ascii="Times New Roman;sans-serif" w:hAnsi="Times New Roman;sans-serif"/>
          <w:b w:val="false"/>
          <w:color w:val="000000"/>
          <w:sz w:val="22"/>
        </w:rPr>
        <w:t>. 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the termination of employment on or after either (i) the date the Optionee is age 55</w:t>
      </w:r>
      <w:r>
        <w:rPr>
          <w:color w:val="000000"/>
        </w:rPr>
        <w:t xml:space="preserve"> </w:t>
      </w:r>
      <w:r>
        <w:rPr>
          <w:rFonts w:ascii="Times New Roman;sans-serif" w:hAnsi="Times New Roman;sans-serif"/>
          <w:b w:val="false"/>
          <w:color w:val="000000"/>
          <w:sz w:val="22"/>
        </w:rPr>
        <w:t>or older</w:t>
      </w:r>
      <w:r>
        <w:rPr>
          <w:color w:val="000000"/>
        </w:rPr>
        <w:t xml:space="preserve"> </w:t>
      </w:r>
      <w:r>
        <w:rPr>
          <w:rFonts w:ascii="Times New Roman;sans-serif" w:hAnsi="Times New Roman;sans-serif"/>
          <w:b w:val="false"/>
          <w:color w:val="000000"/>
          <w:sz w:val="22"/>
        </w:rPr>
        <w:t xml:space="preserve">with at least ten (10) or more years of active continuous employment with the Mondelēz Group or </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7505"/>
                <wp:effectExtent l="0" t="0" r="0" b="0"/>
                <wp:wrapNone/>
                <wp:docPr id="200" name="Frame8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(ii) the date the Optionee is age 65 or older with at least five (5) or more years of active continuous employment with the Mondelēz Group.</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 unless otherwise required by applicable law.</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7505"/>
                <wp:effectExtent l="0" t="0" r="0" b="0"/>
                <wp:wrapNone/>
                <wp:docPr id="201" name="Frame8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Optionee may be subject to insider trading and/or market abuse laws which may affect the Optionee’s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In addition, the Optionee agrees to take any and all actions required by the Company, any other entity in the Mondelēz Group or the local laws, rules and regulations in the Optionee’s country of residence (and country of employment, if different) that may be required to comply with such laws, rules and regulations. The Optionee acknowledges that it is the Optionee’s responsibility to be compliant with such regulations, and the Optionee should consult his or her personal legal advisor for any details.</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7505"/>
                <wp:effectExtent l="0" t="0" r="0" b="0"/>
                <wp:wrapNone/>
                <wp:docPr id="202" name="Frame8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7505"/>
                <wp:effectExtent l="0" t="0" r="0" b="0"/>
                <wp:wrapNone/>
                <wp:docPr id="203" name="Frame8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Laura Stein </w:t>
        <w:br/>
        <w:t>Executive Vice President,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 Corporate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7505"/>
                <wp:effectExtent l="0" t="0" r="0" b="0"/>
                <wp:wrapNone/>
                <wp:docPr id="204" name="Frame8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uto" w:line="288" w:before="0" w:after="240"/>
        <w:jc w:val="left"/>
        <w:rPr/>
      </w:pPr>
      <w:r>
        <w:rPr>
          <w:rFonts w:ascii="Times New Roman;sans-serif" w:hAnsi="Times New Roman;sans-serif"/>
          <w:b w:val="false"/>
          <w:color w:val="000000"/>
          <w:sz w:val="22"/>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2024.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pStyle w:val="TextBody"/>
        <w:bidi w:val="0"/>
        <w:spacing w:lineRule="auto" w:line="288"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EUROPEAN UNION / EUROPEAN ECONOMIC AREA, SWITZERLAND AND THE UNITED KINGDOM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lineRule="auto" w:line="304" w:before="7"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pStyle w:val="TextBody"/>
        <w:bidi w:val="0"/>
        <w:spacing w:before="7"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7505"/>
                <wp:effectExtent l="0" t="0" r="0" b="0"/>
                <wp:wrapNone/>
                <wp:docPr id="205" name="Frame8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 </w:t>
      </w:r>
    </w:p>
    <w:p>
      <w:pPr>
        <w:pStyle w:val="TextBody"/>
        <w:bidi w:val="0"/>
        <w:spacing w:lineRule="auto" w:line="288"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Morgan Stanley, PricewaterhouseCoopers LLP or KPMG LLP with such agreement being a condition to the Optionee’s ability to participate in the Plan. </w:t>
      </w:r>
    </w:p>
    <w:p>
      <w:pPr>
        <w:pStyle w:val="TextBody"/>
        <w:bidi w:val="0"/>
        <w:spacing w:lineRule="auto" w:line="288" w:before="0" w:after="240"/>
        <w:jc w:val="left"/>
        <w:rPr/>
      </w:pPr>
      <w:r>
        <w:rPr>
          <w:rFonts w:ascii="Times New Roman;sans-serif" w:hAnsi="Times New Roman;sans-serif"/>
          <w:b w:val="false"/>
          <w:color w:val="000000"/>
          <w:sz w:val="22"/>
        </w:rPr>
        <w:t xml:space="preserve">The Optionee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7505"/>
                <wp:effectExtent l="0" t="0" r="0" b="0"/>
                <wp:wrapNone/>
                <wp:docPr id="206" name="Frame8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Argentina,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pStyle w:val="TextBody"/>
        <w:bidi w:val="0"/>
        <w:spacing w:lineRule="auto" w:line="288" w:before="0" w:after="24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Notwithstanding anything to the contrary in the Agreement, paragraph 6 of the Agreement will not apply to Argentinian Optionees.</w:t>
      </w:r>
    </w:p>
    <w:p>
      <w:pPr>
        <w:pStyle w:val="TextBody"/>
        <w:bidi w:val="0"/>
        <w:spacing w:lineRule="auto" w:line="288"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Optionee acknowledges and agrees that such benefits shall not accrue more frequently than on each vesting date.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7505"/>
                <wp:effectExtent l="0" t="0" r="0" b="0"/>
                <wp:wrapNone/>
                <wp:docPr id="207" name="Frame9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Neither this Agreement nor any other offering material related to the Option nor the underlying shares of Common Stock may be utilized in connection with any general offering to the public in Argentina.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is solely responsible for complying with the exchange control rules that may apply in 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Australian Offer Document. </w:t>
      </w:r>
      <w:r>
        <w:rPr>
          <w:rFonts w:ascii="Times New Roman;sans-serif" w:hAnsi="Times New Roman;sans-serif"/>
          <w:b w:val="false"/>
          <w:color w:val="000000"/>
          <w:sz w:val="22"/>
        </w:rPr>
        <w:t xml:space="preserve">This offer is being made under Division 1A, Part 7.12 of the Corporations Act 2001 (Cth). The Optionee’s right to participate in the Plan and receive the grant of the Option under the Plan is subject to the terms and conditions as stated in the ESS Offer Document, the Plan and the Agreement. By accepting the grant of the Option, the Optionee acknowledges and confirms that the Optionee has received these documents.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Optionee’s behalf, otherwise the Optionee will be responsible for complying with any exchange control reporting requirements.</w:t>
      </w:r>
    </w:p>
    <w:p>
      <w:pPr>
        <w:pStyle w:val="TextBody"/>
        <w:bidi w:val="0"/>
        <w:spacing w:lineRule="auto" w:line="288"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Participant sells shares of Common Stock, or receives any cash dividends, the Optionee may have exchange control obligations if the Optionee holds the cash proceeds outside Austria. If the transaction volume of all the Optionee’s accounts abroad meets or exceeds a certain threshold, the Optionee must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7505"/>
                <wp:effectExtent l="0" t="0" r="0" b="0"/>
                <wp:wrapNone/>
                <wp:docPr id="208" name="Frame9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Tax Considerations.</w:t>
      </w:r>
      <w:r>
        <w:rPr>
          <w:color w:val="000000"/>
        </w:rPr>
        <w:t xml:space="preserve"> </w:t>
      </w:r>
      <w:r>
        <w:rPr>
          <w:rFonts w:ascii="Times New Roman;sans-serif" w:hAnsi="Times New Roman;sans-serif"/>
          <w:b w:val="false"/>
          <w:color w:val="000000"/>
          <w:sz w:val="22"/>
        </w:rPr>
        <w:t>The Option must be accepted in writing either (i) within 60 days of the offer (for tax at offer), or (ii) after 60 days of the 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pStyle w:val="TextBody"/>
        <w:bidi w:val="0"/>
        <w:spacing w:lineRule="auto" w:line="288" w:before="0" w:after="24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xml:space="preserve">. A stock exchange tax applies to transactions executed by Belgian residents through a non-Belgian financial intermediary, such as a U.S. broker. The stock exchange tax will apply when shares of Common Stock acquired upon exercise of the Options are sold.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7505"/>
                <wp:effectExtent l="0" t="0" r="0" b="0"/>
                <wp:wrapNone/>
                <wp:docPr id="209" name="Frame9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Annual Securities Accounts Tax. </w:t>
      </w:r>
      <w:r>
        <w:rPr>
          <w:rFonts w:ascii="Times New Roman;sans-serif" w:hAnsi="Times New Roman;sans-serif"/>
          <w:b w:val="false"/>
          <w:color w:val="000000"/>
          <w:sz w:val="22"/>
        </w:rPr>
        <w:t>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Option, the Optionee acknowledges that he or she agrees to comply with applicable Brazilian laws and pay any and all applicable Tax-Related Items associated with the exercise of the Option, the receipt of any dividends and the sale of shares of Common Stock acquired under the Plan. </w:t>
      </w:r>
    </w:p>
    <w:p>
      <w:pPr>
        <w:pStyle w:val="TextBody"/>
        <w:bidi w:val="0"/>
        <w:spacing w:lineRule="auto" w:line="288" w:before="0" w:after="240"/>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Option, the Optionee understands, acknowledges and agrees that, for all legal purposes (i) the Optionee is making an investment decision and (ii) the value of the underlying shares of Common Stock are not fixed and may increase or decrease in value over the vesting period without compensation to the Optionee.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Payments to foreign countries (including payment of the Grant Price) and the repatriation of funds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exercises the Option through a cash purchase exercise, in order to remit funds out of Bulgaria, 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pStyle w:val="TextBody"/>
        <w:bidi w:val="0"/>
        <w:spacing w:lineRule="auto" w:line="288" w:before="0" w:after="240"/>
        <w:jc w:val="left"/>
        <w:rPr/>
      </w:pPr>
      <w:r>
        <w:rPr>
          <w:rFonts w:ascii="Times New Roman;sans-serif" w:hAnsi="Times New Roman;sans-serif"/>
          <w:b w:val="false"/>
          <w:color w:val="000000"/>
          <w:sz w:val="22"/>
        </w:rPr>
        <w:t>In addition, the Optionee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7505"/>
                <wp:effectExtent l="0" t="0" r="0" b="0"/>
                <wp:wrapNone/>
                <wp:docPr id="210" name="Frame9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shares of Common Stock acquired under the Plan) if the total sum of all such receivables and securities equals or exceeds BGN50,000 as of the previous calendar year end. The reports are due by March 31.</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contact his or her bank in Bulgaria for additional information regarding these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Notwithstanding anything in the Plan or the Agreement to the contrary, the Optionee is prohibited from surrendering shares of Common Stock that he or she already owns or attesting to the ownership of shares of Common Stock to pay the Grant Price or any Tax-Related Items in connection with the Option.</w:t>
      </w:r>
    </w:p>
    <w:p>
      <w:pPr>
        <w:pStyle w:val="TextBody"/>
        <w:bidi w:val="0"/>
        <w:spacing w:lineRule="auto" w:line="288" w:before="0" w:after="240"/>
        <w:jc w:val="left"/>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Options granted to employees resident in Canada shall be paid in shares of Common Stock only.</w:t>
      </w:r>
    </w:p>
    <w:p>
      <w:pPr>
        <w:pStyle w:val="TextBody"/>
        <w:bidi w:val="0"/>
        <w:spacing w:lineRule="auto" w:line="288" w:before="0" w:after="240"/>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paragraphs 2 and 3(d)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or (2) the date the Optionee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The Optionee will not earn or be entitled to pro-rated vesting for that portion of time before the date on which the Optionee’s right to vest terminates or if the vesting date falls after the end of the Optionee’s statutory notice period, nor will the Optionee be entitled to any compensation for lost vesting.</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Optionees resident in Quebec:</w:t>
      </w:r>
    </w:p>
    <w:p>
      <w:pPr>
        <w:pStyle w:val="TextBody"/>
        <w:bidi w:val="0"/>
        <w:spacing w:lineRule="auto" w:line="288" w:before="0" w:after="24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acknowledges and agrees that the Optionee’s personal information, including sensitive personal information, may be transferred or disclosed outside of the Province of Quebec, including to the United States. The Optionee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7505"/>
                <wp:effectExtent l="0" t="0" r="0" b="0"/>
                <wp:wrapNone/>
                <wp:docPr id="211" name="Frame9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authorizes the Mondelēz Group to record such information and to keep such information in his or her employee file. The Optionee also acknowledges and authorizes the Company and any subsidiary or affiliate or other parties involved in the administration of the Plan to use technology for profiling purposes and to make automated decisions that may have an impact on the Optionee or the administration of the Plan.</w:t>
      </w:r>
    </w:p>
    <w:p>
      <w:pPr>
        <w:pStyle w:val="TextBody"/>
        <w:bidi w:val="0"/>
        <w:spacing w:lineRule="auto" w:line="288" w:before="0" w:after="240"/>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French translation of the Plan and the Agreement can be made available to the Optionee as soon as reasonably practicable upon the Optionee’s request. The Optionee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Optionee dès que raisonnablement possible à la demande de l' Optionee. Le Optionee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both"/>
        <w:rPr/>
      </w:pPr>
      <w:r>
        <w:rPr>
          <w:rFonts w:ascii="Times New Roman;sans-serif" w:hAnsi="Times New Roman;sans-serif"/>
          <w:b/>
          <w:color w:val="000000"/>
          <w:sz w:val="22"/>
        </w:rPr>
        <w:t xml:space="preserve">Non-Qualified Securities. </w:t>
      </w:r>
      <w:r>
        <w:rPr>
          <w:rFonts w:ascii="Times New Roman;sans-serif" w:hAnsi="Times New Roman;sans-serif"/>
          <w:b w:val="false"/>
          <w:color w:val="000000"/>
          <w:sz w:val="22"/>
        </w:rPr>
        <w:t xml:space="preserve">All or a portion of the shares of Common Stock subject to the Option may be "non-qualified securities" within the meaning of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 xml:space="preserve">(Canada). The Mondelēz Group shall provide the Optionee with additional information and/or appropriate notification regarding the characterization of the Option for Canadian income tax purposes as may be required by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(Canada) and the regulations thereunder.</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specified foreign property (including shares of 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reported‒generally at a nil cost‒if the $100,000 cost threshold is exceeded because of other specified foreign property the Optionee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7505"/>
                <wp:effectExtent l="0" t="0" r="0" b="0"/>
                <wp:wrapNone/>
                <wp:docPr id="212" name="Frame9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xml:space="preserve">. Notwithstanding anything to the contrary in the Agreement, due to legal restrictions in China,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Optionee is not required to sell shares of Common Stock immediately upon exercise, any shares of Common Stock issued to the Optionee must be maintained in an account with Morgan Stanley Smith Barney, LLC (“Morgan Stanley”) or such other broker as may be designated by the Company until the shares of Common Stock are sold through that broker. If the Company changes its designated broker, the Optionee acknowledges and agrees that the Company may transfer any shares of Common Stock issued under the 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pStyle w:val="TextBody"/>
        <w:bidi w:val="0"/>
        <w:spacing w:lineRule="auto" w:line="288" w:before="0" w:after="240"/>
        <w:jc w:val="left"/>
        <w:rPr/>
      </w:pPr>
      <w:r>
        <w:rPr>
          <w:rFonts w:ascii="Times New Roman;sans-serif" w:hAnsi="Times New Roman;sans-serif"/>
          <w:b/>
          <w:color w:val="000000"/>
          <w:sz w:val="22"/>
        </w:rPr>
        <w:t>Expiration Date.</w:t>
      </w:r>
      <w:r>
        <w:rPr>
          <w:color w:val="000000"/>
        </w:rPr>
        <w:t xml:space="preserve"> </w:t>
      </w:r>
      <w:r>
        <w:rPr>
          <w:rFonts w:ascii="Times New Roman;sans-serif" w:hAnsi="Times New Roman;sans-serif"/>
          <w:b w:val="false"/>
          <w:color w:val="000000"/>
          <w:sz w:val="22"/>
        </w:rPr>
        <w:t xml:space="preserve">Notwithstanding anything to the contrary in the Agreement, in the event of the Optionee’s termination of employment with the Mondelēz Group, the Optionee shall be permitted to exercise the Option for the </w:t>
      </w:r>
      <w:r>
        <w:rPr>
          <w:rFonts w:ascii="Times New Roman;sans-serif" w:hAnsi="Times New Roman;sans-serif"/>
          <w:b w:val="false"/>
          <w:color w:val="000000"/>
          <w:sz w:val="22"/>
          <w:u w:val="single"/>
        </w:rPr>
        <w:t>shorter</w:t>
      </w:r>
      <w:r>
        <w:rPr>
          <w:color w:val="000000"/>
        </w:rPr>
        <w:t xml:space="preserve"> </w:t>
      </w:r>
      <w:r>
        <w:rPr>
          <w:rFonts w:ascii="Times New Roman;sans-serif" w:hAnsi="Times New Roman;sans-serif"/>
          <w:b w:val="false"/>
          <w:color w:val="000000"/>
          <w:sz w:val="22"/>
        </w:rPr>
        <w:t>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pStyle w:val="TextBody"/>
        <w:bidi w:val="0"/>
        <w:spacing w:lineRule="auto" w:line="288"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 xml:space="preserve">The Optionee understands and agrees that, due to exchange control laws in China, he or she will be 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7505"/>
                <wp:effectExtent l="0" t="0" r="0" b="0"/>
                <wp:wrapNone/>
                <wp:docPr id="213" name="Frame9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further agrees to comply with any other requirements that may be imposed by the Company in the future in order to facilitate compliance with exchange control requirements in China.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Chinese residents may be required to report to the SAFE all details of their foreign financial assets and liabilities, as well as details of any economic transactions conducted with non-Chinese residents, including the Company.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as foreign investment held abroad. In addition, all payments relating to foreign investment originating in Colombia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payment of the Grant Price by cash exercise) and the liquidation of such investments must be transferred through the Colombian foreign exchange market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 xml:space="preserve">). If the Optionee exercises the Option by way of a cashless method of exercise, filing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7505"/>
                <wp:effectExtent l="0" t="0" r="0" b="0"/>
                <wp:wrapNone/>
                <wp:docPr id="214" name="Frame9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appropriate foreign exchange form will not be required because no funds will be remitted out of Colombia. However, any sales proceeds related to shares of Common Stock acquired pursuant to cashless exercise must still be transferred through the Colombian foreign exchange market.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The Optionee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Optionee must describe each asset and indicate the jurisdiction in which it is located, its nature and its value.</w:t>
      </w:r>
    </w:p>
    <w:p>
      <w:pPr>
        <w:pStyle w:val="TextBody"/>
        <w:bidi w:val="0"/>
        <w:spacing w:lineRule="auto" w:line="288" w:before="0" w:after="240"/>
        <w:jc w:val="center"/>
        <w:rPr/>
      </w:pPr>
      <w:r>
        <w:rPr>
          <w:rFonts w:ascii="Times New Roman;sans-serif" w:hAnsi="Times New Roman;sans-serif"/>
          <w:b/>
          <w:color w:val="000000"/>
          <w:sz w:val="22"/>
          <w:u w:val="single"/>
        </w:rPr>
        <w:t>COSTA RICA</w:t>
      </w:r>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Optionee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Optionee’s responsibility to comply with Croatian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 xml:space="preserve">means permanent and total disability as determined under the procedures established by the Company for purposes of the Plan.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Option and the opening and maintenance of a foreign account, including reporting (i) foreign direct investments with a value of CZK 2,500,000 or more in the aggregate or (ii) foreign financial assets with a value of CZK 200,000,000 or more. The Optionee should consult their personal legal advisor to ensure compliance with the applicable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7505"/>
                <wp:effectExtent l="0" t="0" r="0" b="0"/>
                <wp:wrapNone/>
                <wp:docPr id="215" name="Frame9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Optionee acknowledges that he or she has received an Employer Statement in Danish, which sets forth the additional terms of the Option to the extent that the Danish Stock Option Act applies.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accounts holding shares of Common Stock or cash established outside Denmark to the Danish Tax Administration as part of his or her tax return under the section related to foreign affairs and income.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sans-serif" w:hAnsi="Times New Roman;sans-serif"/>
          <w:b w:val="false"/>
          <w:color w:val="0000FF"/>
          <w:sz w:val="22"/>
          <w:u w:val="single"/>
        </w:rPr>
        <w:t>www.sri.gob.ec</w:t>
      </w:r>
      <w:r>
        <w:rPr>
          <w:rFonts w:ascii="Times New Roman;sans-serif" w:hAnsi="Times New Roman;sans-serif"/>
          <w:b w:val="false"/>
          <w:color w:val="000000"/>
          <w:sz w:val="22"/>
        </w:rPr>
        <w:t xml:space="preserve">). Penalties will apply to a late filing and it is not possible to seek an extension.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transfers funds into or out of Egypt in connection with the Option, the Optionee is required to transfer the funds through a registered bank in Egypt.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Option Not French-Qualified.</w:t>
      </w:r>
      <w:r>
        <w:rPr>
          <w:color w:val="000000"/>
        </w:rPr>
        <w:t xml:space="preserve"> </w:t>
      </w:r>
      <w:r>
        <w:rPr>
          <w:rFonts w:ascii="Times New Roman;sans-serif" w:hAnsi="Times New Roman;sans-serif"/>
          <w:b w:val="false"/>
          <w:color w:val="000000"/>
          <w:sz w:val="22"/>
        </w:rPr>
        <w:t>The Option granted under this Agreement are not intended to qualify for specific tax and social security treatment pursuant to Sections L. 225-177 to L. 225-186-1 of the French Commercial Code,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7505"/>
                <wp:effectExtent l="0" t="0" r="0" b="0"/>
                <wp:wrapNone/>
                <wp:docPr id="216" name="Frame9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Optionee confirms having read and understood the Plan and Agreement, including all terms and conditions included therein, which were provided in the English language. The Optionee accepts the terms of those documents accordingly.</w:t>
      </w:r>
    </w:p>
    <w:p>
      <w:pPr>
        <w:pStyle w:val="TextBody"/>
        <w:bidi w:val="0"/>
        <w:spacing w:lineRule="auto" w:line="288" w:before="0" w:after="240"/>
        <w:jc w:val="left"/>
        <w:rPr/>
      </w:pPr>
      <w:r>
        <w:rPr>
          <w:rFonts w:ascii="Times New Roman;sans-serif" w:hAnsi="Times New Roman;sans-serif"/>
          <w:b w:val="false"/>
          <w:i/>
          <w:color w:val="000000"/>
          <w:sz w:val="22"/>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Optionee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Cross-border payments made or received in excess of €12,500 may need to be reported monthly by accessing the electronic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via the Bundesbank’s website (</w:t>
      </w:r>
      <w:r>
        <w:rPr>
          <w:rFonts w:ascii="Times New Roman;sans-serif" w:hAnsi="Times New Roman;sans-serif"/>
          <w:b w:val="false"/>
          <w:color w:val="0000FF"/>
          <w:sz w:val="22"/>
          <w:u w:val="single"/>
        </w:rPr>
        <w:t>www.bundesbank.de</w:t>
      </w:r>
      <w:r>
        <w:rPr>
          <w:rFonts w:ascii="Times New Roman;sans-serif" w:hAnsi="Times New Roman;sans-serif"/>
          <w:b w:val="false"/>
          <w:color w:val="000000"/>
          <w:sz w:val="22"/>
        </w:rPr>
        <w:t xml:space="preserve">), or by such other method and within such other timing as permitted or required by Bundesbank. In addition, Participant may be required to report the acquisition of securities if the value of the securities acquired exceeds €12,500 to the Bundesbank via email or telephone.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€150,000, or (ii) the Optionee holds Common Stock exceeding 10% of the total capital of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GHANA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7505"/>
                <wp:effectExtent l="0" t="0" r="0" b="0"/>
                <wp:wrapNone/>
                <wp:docPr id="217" name="Frame10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exercises the Options through a cash exercise, withdraws funds from a bank in Greece and remits those funds out of Greece (in an amount exceeding a specified threshold), the Optionee may be required to submit a written application to the bank.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HONDURAS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HONG KONG</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w:t>
      </w:r>
      <w:r>
        <w:rPr>
          <w:color w:val="000000"/>
        </w:rPr>
        <w:t xml:space="preserve"> </w:t>
      </w:r>
      <w:r>
        <w:rPr>
          <w:rFonts w:ascii="Times New Roman;sans-serif" w:hAnsi="Times New Roman;sans-serif"/>
          <w:b w:val="false"/>
          <w:i/>
          <w:color w:val="000000"/>
          <w:sz w:val="22"/>
        </w:rPr>
        <w:t xml:space="preserve">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 </w:t>
      </w:r>
    </w:p>
    <w:p>
      <w:pPr>
        <w:pStyle w:val="TextBody"/>
        <w:bidi w:val="0"/>
        <w:spacing w:lineRule="auto" w:line="288" w:before="0" w:after="240"/>
        <w:jc w:val="left"/>
        <w:rPr/>
      </w:pPr>
      <w:r>
        <w:rPr>
          <w:rFonts w:ascii="Times New Roman;sans-serif" w:hAnsi="Times New Roman;sans-serif"/>
          <w:b/>
          <w:color w:val="000000"/>
          <w:sz w:val="22"/>
        </w:rPr>
        <w:t>Sale of Shares.</w:t>
      </w:r>
      <w:r>
        <w:rPr>
          <w:color w:val="000000"/>
        </w:rPr>
        <w:t xml:space="preserve"> </w:t>
      </w:r>
      <w:r>
        <w:rPr>
          <w:rFonts w:ascii="Times New Roman;sans-serif" w:hAnsi="Times New Roman;sans-serif"/>
          <w:b w:val="false"/>
          <w:color w:val="000000"/>
          <w:sz w:val="22"/>
        </w:rPr>
        <w:t>Shares of Common Stock received under the Plan are accepted as a personal investment. In the event the Option vests within six months of the Grant Date, the Optionee agrees that he or she will not exercise the Option and sell the shares of Common Stock acquired prior to the six-month anniversary of the Grant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Cashless Sell-All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or the Plan, due to regulatory issues in India, the Optionee will be required to pay the Grant Price by a cashless exercise, such that the Optionee will deliver a properly executed notice together with irrevocable 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 the Grant Price, any Tax-Related Items and broker’s fees or commissions, will be remitted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7505"/>
                <wp:effectExtent l="0" t="0" r="0" b="0"/>
                <wp:wrapNone/>
                <wp:docPr id="218" name="Frame10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Optionee. In the event of changes in regulatory requirements, the Company reserves the right to eliminate the cashless sell-all method of exercise requirement and, in its sole discretion, to permit cash exercise or cashless sell-to-cover exercises.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both"/>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 The Optionee is personally responsible for complying with exchange control laws in India, and neither the Company nor the Employer will be liable for any fines or penalties resulting from the Optionee’s failure to comply with applicable laws. The Optionee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Optionee should consult his or her personal tax or legal advisor before selling shares of Common Stock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declare foreign bank accounts and any foreign financial assets (including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04" w:before="0" w:after="240"/>
        <w:jc w:val="both"/>
        <w:rPr/>
      </w:pPr>
      <w:r>
        <w:rPr>
          <w:rFonts w:ascii="Times New Roman;sans-serif" w:hAnsi="Times New Roman;sans-serif"/>
          <w:b/>
          <w:color w:val="000000"/>
          <w:sz w:val="22"/>
          <w:shd w:fill="FFFFFF" w:val="clear"/>
        </w:rPr>
        <w:t>Language Consent and Notification</w:t>
      </w:r>
      <w:r>
        <w:rPr>
          <w:rFonts w:ascii="Times New Roman;sans-serif" w:hAnsi="Times New Roman;sans-serif"/>
          <w:b w:val="false"/>
          <w:color w:val="000000"/>
          <w:sz w:val="22"/>
          <w:shd w:fill="FFFFFF" w:val="clear"/>
        </w:rPr>
        <w:t>. A translation of the documents relating to this grant into Bahasa Indonesia can be provided to the Optionee upon request to 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shd w:fill="FFFFFF" w:val="clear"/>
        </w:rPr>
        <w:t xml:space="preserve">.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 </w:t>
      </w:r>
    </w:p>
    <w:p>
      <w:pPr>
        <w:pStyle w:val="TextBody"/>
        <w:bidi w:val="0"/>
        <w:spacing w:lineRule="auto" w:line="288" w:before="0" w:after="240"/>
        <w:jc w:val="left"/>
        <w:rPr/>
      </w:pPr>
      <w:r>
        <w:rPr>
          <w:rFonts w:ascii="Times New Roman;sans-serif" w:hAnsi="Times New Roman;sans-serif"/>
          <w:b/>
          <w:color w:val="000000"/>
          <w:sz w:val="22"/>
          <w:shd w:fill="FFFFFF" w:val="clear"/>
        </w:rPr>
        <w:t>Language Consent and Notification.</w:t>
      </w:r>
      <w:r>
        <w:rPr>
          <w:color w:val="000000"/>
          <w:shd w:fill="FFFFFF" w:val="clear"/>
        </w:rPr>
        <w:t xml:space="preserve"> </w:t>
      </w:r>
      <w:r>
        <w:rPr>
          <w:rFonts w:ascii="Times New Roman;sans-serif" w:hAnsi="Times New Roman;sans-serif"/>
          <w:b w:val="false"/>
          <w:color w:val="000000"/>
          <w:sz w:val="22"/>
          <w:shd w:fill="FFFFFF" w:val="clear"/>
        </w:rPr>
        <w:t xml:space="preserve">Terjemahan dari dokumen-dokumen terkait dengan pemberian ini ke Bahasa Indonesia dapat disediakan untuk anda berdasarkan permintaan kepada Astrid Januarita, My Rewards Advisor ID, 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shd w:fill="FFFFFF" w:val="clear"/>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7505"/>
                <wp:effectExtent l="0" t="0" r="0" b="0"/>
                <wp:wrapNone/>
                <wp:docPr id="219" name="Frame10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if the Optionee remits funds into or out of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Optionee is a director, shadow director</w:t>
      </w:r>
      <w:r>
        <w:rPr>
          <w:rFonts w:ascii="Palatino;serif" w:hAnsi="Palatino;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Optionee must notify the Irish subsidiary or affiliate in writing if (1) the Optionee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ISRAEL</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0"/>
        <w:jc w:val="left"/>
        <w:rPr/>
      </w:pPr>
      <w:r>
        <w:rPr>
          <w:rFonts w:ascii="Times New Roman;sans-serif" w:hAnsi="Times New Roman;sans-serif"/>
          <w:b/>
          <w:color w:val="000000"/>
          <w:sz w:val="22"/>
        </w:rPr>
        <w:t>Method of Exercise</w:t>
      </w:r>
      <w:r>
        <w:rPr>
          <w:rFonts w:ascii="Times New Roman;sans-serif" w:hAnsi="Times New Roman;sans-serif"/>
          <w:b w:val="false"/>
          <w:color w:val="000000"/>
          <w:sz w:val="22"/>
        </w:rPr>
        <w:t xml:space="preserve">. Notwithstanding anything to the contrary in the Agreement,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bidi w:val="0"/>
        <w:spacing w:lineRule="auto" w:line="288"/>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7505"/>
                <wp:effectExtent l="0" t="0" r="0" b="0"/>
                <wp:wrapNone/>
                <wp:docPr id="220" name="Frame10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offer of this option does not constitute a public offering under the Securities Law, 1968.</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regulatory requirements in Italy,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 </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 xml:space="preserve">In accepting the grant of the Option, the Optionee acknowledges that he or she has received a copy of the Plan and the Agreement and has reviewed the Plan and the Agreement, including this Appendix A, in their entirety and fully understands and accepts all provisions of the Plan and the Agreement, including this Appendix A.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are beneficial owners of the investment pursuant to Italian money laundering provisions.</w:t>
      </w:r>
    </w:p>
    <w:p>
      <w:pPr>
        <w:pStyle w:val="TextBody"/>
        <w:bidi w:val="0"/>
        <w:spacing w:lineRule="auto" w:line="288"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w:t>
      </w:r>
      <w:r>
        <w:rPr>
          <w:color w:val="000000"/>
        </w:rPr>
        <w:t xml:space="preserve"> </w:t>
      </w:r>
      <w:r>
        <w:rPr>
          <w:rFonts w:ascii="Times New Roman;sans-serif" w:hAnsi="Times New Roman;sans-serif"/>
          <w:b w:val="false"/>
          <w:color w:val="000000"/>
          <w:sz w:val="22"/>
        </w:rPr>
        <w:t>is subject to a foreign assets tax. The 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7505"/>
                <wp:effectExtent l="0" t="0" r="0" b="0"/>
                <wp:wrapNone/>
                <wp:docPr id="221" name="Frame10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valued at more than ¥100,000,000 in a single transaction, the Optionee must file a Securities Acquisition Report with the Ministry of Finance through the Bank of Japan within 20 days of the purchase of the shares of Common Stock.</w:t>
      </w:r>
    </w:p>
    <w:p>
      <w:pPr>
        <w:pStyle w:val="TextBody"/>
        <w:bidi w:val="0"/>
        <w:spacing w:lineRule="auto" w:line="288" w:before="0" w:after="240"/>
        <w:jc w:val="left"/>
        <w:rPr/>
      </w:pPr>
      <w:r>
        <w:rPr>
          <w:rFonts w:ascii="Times New Roman;sans-serif" w:hAnsi="Times New Roman;sans-serif"/>
          <w:b w:val="false"/>
          <w:color w:val="000000"/>
          <w:sz w:val="22"/>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the month following the month in which the payment was made. The precise reporting requirements vary depending on whether or not the relevant payment is made through a bank in Japan.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Common Stock acquired under the Plan. The Optionee is responsible for ensuring compliance with all exchange control laws in Kazakhstan.</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7505"/>
                <wp:effectExtent l="0" t="0" r="0" b="0"/>
                <wp:wrapNone/>
                <wp:docPr id="222" name="Frame10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KENYA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Under Tax Procedure Act, 2015, the Optionee is required to complete and submit a tax registration 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LEBANON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7505"/>
                <wp:effectExtent l="0" t="0" r="0" b="0"/>
                <wp:wrapNone/>
                <wp:docPr id="223" name="Frame10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59"/>
        <w:gridCol w:w="1459"/>
        <w:gridCol w:w="1462"/>
        <w:gridCol w:w="1646"/>
        <w:gridCol w:w="1646"/>
        <w:gridCol w:w="2333"/>
      </w:tblGrid>
      <w:tr>
        <w:trPr/>
        <w:tc>
          <w:tcPr>
            <w:tcW w:w="16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at Mondelez Malaysia Sales Sdn Bhd., Lot 9.01 Level 9, 1 First Avenue, 2A, Dataran Bandar Utama, Bandar Utama Damasara, 47800 Petaling Jaya, Selangor, Malaysia. The Optionee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tc>
        <w:tc>
          <w:tcPr>
            <w:tcW w:w="5625"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Penerima Opsyen memahami bahawa Syarikat dan Majikan mungkin memegang maklumat peribadi tertentu Penerima Opsyen, termasuk, tetapi tidak terhad kepada, nama Penerima Opsyen, alamat rumah dan nombor telefon, almat emel, tarikh lahir, insurans sosial, nombor pasport atau pengenalan lain, gaji, kewarganegaraan, jawatan, apa-apa syer dalam Saham atau jawatan pengarah yang dipegang dalam Syarikat, maklumat berkaitan semua Opsyen-Opsyen atau apa-apa kelayakan lain untuk syer dalam saham yang dianugerahkan, dibatalkan, dilaksanakan, terletak hak, tidak diletak hak ataupun yang belum dijelaskan bagi faedah Penerima Opsyen, untuk tujuan eksklusif bagi melaksanakan, mentadbir dan menguruskan Pelan tersebut.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Penerima Opsyen memahami bahawa Data tersebut akan dipindahkan ke Morgan Stanley Smith Barney, LLC (“Morgan Stanley”) 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 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Malaysia Sales Sdn Bhd, Lot 9.01 Level 9, 1 First Avenue, 2A, Dataran Bandar Utama, Bandar Utama Damasara, 47800 Petaling Jaya, Selangor, Malaysia. Penerima Opsyen dengan ini membenarkan Syarikat, Morgan Stanley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Penerima Opsyen dalam Pelan. Penerima Opsyen memahami bahawa Data hanya akan disimpan untuk tempoh yang perlu bagi melaksanakan, mentadbir, dan menguruskan penyertaan Penerima 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tc>
      </w:tr>
    </w:tbl>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Optionee is a director of the Company’s Malaysian subsidiary or affiliate, the Optionee is subject to certain notification requirements under the Malaysian Companies Act. Among these requirements is an obligation to notify the Malaysian subsidiary or affiliate in writing when the Optionee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an Option or shares of Common Stock) in the Company or any related company. Such notifications must be made within 14 days of receiving or disposing of any interest in the Company or any related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 xml:space="preserve">In accepting the grant of the Option, the Optionee expressly recognizes that Mondelēz International, Inc., with registered 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Mondelēz México, S. de R.L. de C.V., located at Av. 18 de Noviembre 1028, Camino a Manzanilla, Heroica Puebla de Zaragoza, Puebla, C.P. 72304.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7505"/>
                <wp:effectExtent l="0" t="0" r="0" b="0"/>
                <wp:wrapNone/>
                <wp:docPr id="224" name="Frame10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shall not constitute a change or impairment of the terms and conditions of the Optionee’s employment.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Option, the Optionee acknowledges that Optionee has received copies of the Plan, has reviewed the Plan and the Agreement in their entirety and fully understands and accepts all provisions of the Plan and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88" w:before="0" w:after="240"/>
        <w:jc w:val="left"/>
        <w:rPr/>
      </w:pPr>
      <w:r>
        <w:rPr>
          <w:rFonts w:ascii="Times New Roman;sans-serif" w:hAnsi="Times New Roman;sans-serif"/>
          <w:b/>
          <w:color w:val="000000"/>
          <w:sz w:val="22"/>
        </w:rPr>
        <w:t xml:space="preserve">Política Laboral.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aceptar el otorgamiento de la Opción de Compra de Acciones, el Optionee expresamente reconoce que Mondelēz 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Optionee.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pStyle w:val="TextBody"/>
        <w:bidi w:val="0"/>
        <w:spacing w:lineRule="auto" w:line="288"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xml:space="preserve">. Al aceptar el Otorgamiento de la Opción de Compra de Acciones, el Optionee reconoce que ha recibido copias del Plan, que ha revisado el Plan y el Acuerdo en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7505"/>
                <wp:effectExtent l="0" t="0" r="0" b="0"/>
                <wp:wrapNone/>
                <wp:docPr id="225" name="Frame10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 totalidad y que entiende y acepta completamente todas las disposiciones contenidas en el Plan y en el Acuerdo.</w:t>
      </w:r>
    </w:p>
    <w:p>
      <w:pPr>
        <w:pStyle w:val="TextBody"/>
        <w:bidi w:val="0"/>
        <w:spacing w:lineRule="auto" w:line="288" w:before="0" w:after="240"/>
        <w:jc w:val="left"/>
        <w:rPr/>
      </w:pPr>
      <w:r>
        <w:rPr>
          <w:rFonts w:ascii="Times New Roman;sans-serif" w:hAnsi="Times New Roman;sans-serif"/>
          <w:b w:val="false"/>
          <w:color w:val="000000"/>
          <w:sz w:val="22"/>
        </w:rPr>
        <w:t xml:space="preserve">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w:t>
      </w:r>
      <w:r>
        <w:rPr>
          <w:rFonts w:ascii="Palatino;serif" w:hAnsi="Palatino;serif"/>
          <w:b w:val="false"/>
          <w:color w:val="000000"/>
          <w:sz w:val="22"/>
        </w:rPr>
        <w:t xml:space="preserve">Mondelēz International, Inc. </w:t>
      </w:r>
      <w:r>
        <w:rPr>
          <w:rFonts w:ascii="Times New Roman;sans-serif" w:hAnsi="Times New Roman;sans-serif"/>
          <w:b w:val="false"/>
          <w:color w:val="000000"/>
          <w:sz w:val="22"/>
        </w:rPr>
        <w:t>ni de cualqiuer Sociedad controlante, Subsidiaria o Filial son responsables por ninguna disminución en el valor de las Acciones subyacentes de la Opción de Compra de Acciones.</w:t>
      </w:r>
    </w:p>
    <w:p>
      <w:pPr>
        <w:pStyle w:val="TextBody"/>
        <w:bidi w:val="0"/>
        <w:spacing w:lineRule="auto" w:line="288" w:before="0" w:after="240"/>
        <w:jc w:val="left"/>
        <w:rPr/>
      </w:pPr>
      <w:r>
        <w:rPr>
          <w:rFonts w:ascii="Times New Roman;sans-serif" w:hAnsi="Times New Roman;sans-serif"/>
          <w:b w:val="false"/>
          <w:color w:val="000000"/>
          <w:sz w:val="22"/>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r>
        <w:rPr>
          <w:color w:val="000000"/>
        </w:rPr>
        <w:t xml:space="preser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Option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exchange control requirements in Morocco,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 </w:t>
      </w:r>
    </w:p>
    <w:p>
      <w:pPr>
        <w:pStyle w:val="TextBody"/>
        <w:bidi w:val="0"/>
        <w:spacing w:lineRule="auto" w:line="288" w:before="0" w:after="240"/>
        <w:jc w:val="left"/>
        <w:rPr/>
      </w:pPr>
      <w:r>
        <w:rPr>
          <w:rFonts w:ascii="Times New Roman;sans-serif" w:hAnsi="Times New Roman;sans-serif"/>
          <w:b/>
          <w:color w:val="000000"/>
          <w:sz w:val="22"/>
        </w:rPr>
        <w:t>Exercisability Upon Termination of Employment</w:t>
      </w:r>
      <w:r>
        <w:rPr>
          <w:rFonts w:ascii="Times New Roman;sans-serif" w:hAnsi="Times New Roman;sans-serif"/>
          <w:b w:val="false"/>
          <w:color w:val="000000"/>
          <w:sz w:val="22"/>
        </w:rPr>
        <w:t>. The following provision replaces in its entirety paragraph 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7505"/>
                <wp:effectExtent l="0" t="0" r="0" b="0"/>
                <wp:wrapNone/>
                <wp:docPr id="226" name="Frame10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Agreement to the contrary, the Optionee’s employment shall be deemed to be terminated when he or she is no longer on the payroll of the Mondelēz Group.</w:t>
      </w:r>
    </w:p>
    <w:p>
      <w:pPr>
        <w:pStyle w:val="TextBody"/>
        <w:bidi w:val="0"/>
        <w:spacing w:lineRule="auto" w:line="288" w:before="0" w:after="240"/>
        <w:jc w:val="left"/>
        <w:rPr/>
      </w:pPr>
      <w:r>
        <w:rPr>
          <w:rFonts w:ascii="Times New Roman;sans-serif" w:hAnsi="Times New Roman;sans-serif"/>
          <w:b/>
          <w:color w:val="000000"/>
          <w:sz w:val="22"/>
        </w:rPr>
        <w:t>Exchange Control Requirements.</w:t>
      </w:r>
      <w:r>
        <w:rPr>
          <w:color w:val="000000"/>
        </w:rPr>
        <w:t xml:space="preserve"> </w:t>
      </w:r>
      <w:r>
        <w:rPr>
          <w:rFonts w:ascii="Times New Roman;sans-serif" w:hAnsi="Times New Roman;sans-serif"/>
          <w:b w:val="false"/>
          <w:color w:val="000000"/>
          <w:sz w:val="22"/>
        </w:rPr>
        <w:t xml:space="preserve">The Optionee is required to immediately repatriate to Morocco the proceeds from the cashless exercise of 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Times New Roman;sans-serif" w:hAnsi="Times New Roman;sans-serif"/>
          <w:b w:val="false"/>
          <w:i/>
          <w:color w:val="000000"/>
          <w:sz w:val="22"/>
        </w:rPr>
        <w:t>Office des Changes</w:t>
      </w:r>
      <w:r>
        <w:rPr>
          <w:rFonts w:ascii="Times New Roman;sans-serif" w:hAnsi="Times New Roman;sans-serif"/>
          <w:b w:val="false"/>
          <w:color w:val="000000"/>
          <w:sz w:val="22"/>
        </w:rPr>
        <w:t>. The Optionee is responsible for ensuring compliance with all exchange control laws in Morocco.</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w:t>
      </w:r>
      <w:r>
        <w:rPr>
          <w:color w:val="000000"/>
        </w:rPr>
        <w:t xml:space="preserve"> </w:t>
      </w:r>
      <w:r>
        <w:rPr>
          <w:rFonts w:ascii="Times New Roman;sans-serif" w:hAnsi="Times New Roman;sans-serif"/>
          <w:b w:val="false"/>
          <w:i/>
          <w:color w:val="000000"/>
          <w:sz w:val="22"/>
        </w:rPr>
        <w:t>Optionee is being offered an Option which allows the Optionee to purchase shares of Common Stock in accordance with the terms of the Plan and the Agreement. The shares of Common Stock, if purchased, give the Optionee a stake in the ownership of the Company. The Optionee may receive a return if dividends are paid.</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Optionee will be paid only after all creditors and holders of preferred shares have been paid. The Optionee may lose some or all of his or her investment.</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Optionee understands that he or she should ask questions, read all documents carefully, and seek independent financial advice before exercising any Options under the Plan.</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7505"/>
                <wp:effectExtent l="0" t="0" r="0" b="0"/>
                <wp:wrapNone/>
                <wp:docPr id="227" name="Frame11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i/>
          <w:color w:val="0000FF"/>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u w:val="single"/>
        </w:rPr>
        <w:t>http://ir.mondelezinternational.com/sec.cfm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Pakistan,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is required immediately to repatriate to Pakistan the proceeds from the sale of any Common Stock acquired from participation in Plan, including the proceeds from the cashless exercise of the Option.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pStyle w:val="TextBody"/>
        <w:bidi w:val="0"/>
        <w:spacing w:lineRule="auto" w:line="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PANAMA</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7505"/>
                <wp:effectExtent l="0" t="0" r="0" b="0"/>
                <wp:wrapNone/>
                <wp:docPr id="228" name="Frame11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Options nor any shares of Common Stock that the Employee may acquire upon exercise of the Options constitute a public offering of securities, as they are available only to eligible employees of the Mondelēz Group.</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12 of the Agreement:</w:t>
      </w:r>
    </w:p>
    <w:p>
      <w:pPr>
        <w:pStyle w:val="TextBody"/>
        <w:bidi w:val="0"/>
        <w:spacing w:lineRule="auto" w:line="288" w:before="0" w:after="240"/>
        <w:jc w:val="left"/>
        <w:rPr/>
      </w:pPr>
      <w:r>
        <w:rPr>
          <w:rFonts w:ascii="Times New Roman;sans-serif" w:hAnsi="Times New Roman;sans-serif"/>
          <w:b w:val="false"/>
          <w:color w:val="000000"/>
          <w:sz w:val="22"/>
        </w:rPr>
        <w:t xml:space="preserve">By accepting the Option, the Optionee acknowledges, understands and agrees that the Option is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Optionee.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Options is considered a private offering in Peru; therefore, it is not subject to registration. For 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Notwithstanding anything to the contrary in the Agreement, due to regulatory requirements in the 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7505"/>
                <wp:effectExtent l="0" t="0" r="0" b="0"/>
                <wp:wrapNone/>
                <wp:docPr id="229" name="Frame11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connected with any foreign exchange transaction for a period of five years from the date the transaction occurred.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Optionee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88"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Optionee.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deposits proceeds from the sale of Common Stock in a bank account in Romania, the 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0"/>
        <w:jc w:val="both"/>
        <w:rPr/>
      </w:pPr>
      <w:r>
        <w:rPr>
          <w:rFonts w:ascii="Times New Roman;sans-serif" w:hAnsi="Times New Roman;sans-serif"/>
          <w:b/>
          <w:color w:val="000000"/>
          <w:sz w:val="22"/>
        </w:rPr>
        <w:t xml:space="preserve">Exercise of Options. </w:t>
      </w:r>
      <w:r>
        <w:rPr>
          <w:rFonts w:ascii="Times New Roman;sans-serif" w:hAnsi="Times New Roman;sans-serif"/>
          <w:b w:val="false"/>
          <w:color w:val="000000"/>
          <w:sz w:val="22"/>
        </w:rPr>
        <w:t>This provision supplements Section 4 of the Agreement:</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Depending on applicable restrictions then in effect, the Company has the sole discretion to postpone the vesting and/or the ability to exercise the Option, or to cancel such Option for no consideration.  The Optionee understands that no shares of Common Stock will be issued upon exercise of the Option if the Company, in its sole discretion, determines that such issuance would not comply with applicable laws and regulations in Russia.</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This Agreement, the Plan and all other materials that the Optionee may receive concerning the grant of the Option and the Optionee’s participation in the Plan do not constitute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7505"/>
                <wp:effectExtent l="0" t="0" r="0" b="0"/>
                <wp:wrapNone/>
                <wp:docPr id="230" name="Frame11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advertising or an offering of securities in Russia. The Common Stock to be issued upon exercise of the Option have not and will not be registered in Russia and, therefore, the Common Stock described in any Plan documents may not be offered or placed in public circulation in Russia. In no event will Common Stock to be issued upon exercise of the Option be delivered to the Optionee in Russia. All Common Stock acquired under the Plan will be maintained on the Optionee’s behalf outside of Russia. The Optionee will not be permitted to sell Common Stock directly to a Russian legal entity or resident.</w:t>
      </w:r>
    </w:p>
    <w:p>
      <w:pPr>
        <w:pStyle w:val="TextBody"/>
        <w:bidi w:val="0"/>
        <w:spacing w:lineRule="auto" w:line="288" w:before="0" w:after="240"/>
        <w:jc w:val="left"/>
        <w:rPr/>
      </w:pPr>
      <w:r>
        <w:rPr>
          <w:rFonts w:ascii="Times New Roman;sans-serif" w:hAnsi="Times New Roman;sans-serif"/>
          <w:b/>
          <w:color w:val="000000"/>
          <w:sz w:val="22"/>
        </w:rPr>
        <w:t>Cashless Exercise Provision</w:t>
      </w:r>
      <w:r>
        <w:rPr>
          <w:rFonts w:ascii="Times New Roman;sans-serif" w:hAnsi="Times New Roman;sans-serif"/>
          <w:b w:val="false"/>
          <w:color w:val="000000"/>
          <w:sz w:val="22"/>
        </w:rPr>
        <w:t>. Notwithstanding anything to the contrary in the Agreement, depending on the development of local regulatory 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pStyle w:val="TextBody"/>
        <w:bidi w:val="0"/>
        <w:spacing w:lineRule="auto" w:line="288"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bidi w:val="0"/>
        <w:spacing w:lineRule="auto" w:line="288" w:before="0" w:after="240"/>
        <w:jc w:val="left"/>
        <w:rPr/>
      </w:pPr>
      <w:r>
        <w:rPr>
          <w:rFonts w:ascii="Times New Roman;sans-serif" w:hAnsi="Times New Roman;sans-serif"/>
          <w:b w:val="false"/>
          <w:color w:val="000000"/>
          <w:sz w:val="22"/>
        </w:rPr>
        <w:t>The Optionee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is responsible for complying with any and all Russian foreign exchange control requirements in connection with the</w:t>
      </w:r>
      <w:r>
        <w:rPr>
          <w:color w:val="000000"/>
        </w:rPr>
        <w:t xml:space="preserve"> </w:t>
      </w:r>
      <w:r>
        <w:rPr>
          <w:rFonts w:ascii="Palatino;serif" w:hAnsi="Palatino;serif"/>
          <w:b w:val="false"/>
          <w:color w:val="000000"/>
          <w:sz w:val="22"/>
        </w:rPr>
        <w:t>Option, any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color w:val="000000"/>
        </w:rPr>
        <w:t xml:space="preserve"> </w:t>
      </w:r>
      <w:r>
        <w:rPr>
          <w:rFonts w:ascii="Times New Roman;sans-serif" w:hAnsi="Times New Roman;sans-serif"/>
          <w:b w:val="false"/>
          <w:color w:val="000000"/>
          <w:sz w:val="22"/>
        </w:rPr>
        <w:t xml:space="preserve">acquired and funds remitted into Russia in connection with the Plan. This may include, in certain circumstances, reporting and repatriation requirements. The foreign exchange control rules and regulations in Russia are subject to frequent change.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 xml:space="preserve">should contact their personal advisor to determine applicability of all repatriation, remittance or other exchange control requirements to ensure compliance with all applicable exchange control requirements prior to exercise of the </w:t>
      </w:r>
      <w:r>
        <w:rPr>
          <w:rFonts w:ascii="Palatino;serif" w:hAnsi="Palatino;serif"/>
          <w:b w:val="false"/>
          <w:color w:val="000000"/>
          <w:sz w:val="22"/>
        </w:rPr>
        <w:t>Option and/or selling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 xml:space="preserve">If the Optionee continues to hold shares of Common Stock acquired at exercise of the Option after an involuntary termination of the Optionee’s employment, the Optionee will not be eligible to receive unemployment benefits in Russia. </w:t>
      </w:r>
    </w:p>
    <w:p>
      <w:pPr>
        <w:pStyle w:val="TextBody"/>
        <w:bidi w:val="0"/>
        <w:spacing w:lineRule="auto" w:line="288"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Employee’s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the Option</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 xml:space="preserve">The Optionee should consult with their personal legal advisor to determine the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7505"/>
                <wp:effectExtent l="0" t="0" r="0" b="0"/>
                <wp:wrapNone/>
                <wp:docPr id="231" name="Frame11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applicability of these reporting requirements to any brokerage account opened in connection with participation in the Plan.</w:t>
      </w:r>
    </w:p>
    <w:p>
      <w:pPr>
        <w:pStyle w:val="TextBody"/>
        <w:bidi w:val="0"/>
        <w:spacing w:lineRule="auto" w:line="288"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Optionee should inform the Company if the Optionee is covered by these laws because the Optionee should not hold shares of Common Stock acquired under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Optionee is permitted to acquire shares of Common Stock under the Plan</w:t>
      </w:r>
      <w:r>
        <w:rPr>
          <w:color w:val="000000"/>
        </w:rPr>
        <w:t xml:space="preserve"> </w:t>
      </w:r>
      <w:r>
        <w:rPr>
          <w:rFonts w:ascii="Times New Roman;sans-serif" w:hAnsi="Times New Roman;sans-serif"/>
          <w:b w:val="false"/>
          <w:color w:val="000000"/>
          <w:sz w:val="22"/>
        </w:rPr>
        <w:t>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Optionee agrees that any shares of Common Stock acquired pursuant to the Option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Option is being made pursuant to the “Qualifying Person” exemption under section 273(1)(f) of the SFA and is not made to the Optionee with a view to the Option being subsequently offered for sale to any other party. The Plan has not been lodged or registered as a prospectus with the Monetary Authority of Singapore.</w:t>
      </w:r>
    </w:p>
    <w:p>
      <w:pPr>
        <w:pStyle w:val="TextBody"/>
        <w:bidi w:val="0"/>
        <w:spacing w:lineRule="auto" w:line="288"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Options,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when the shares of Common Stock are sold), or (iii) becoming a director, associate director or shadow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7505"/>
                <wp:effectExtent l="0" t="0" r="0" b="0"/>
                <wp:wrapNone/>
                <wp:docPr id="232" name="Frame11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Optionee’s brokerage account with the Company’s designated broker).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Optionee’s review on the Company's public site or intranet site, as applicable, as listed below:</w:t>
      </w:r>
    </w:p>
    <w:p>
      <w:pPr>
        <w:pStyle w:val="TextBody"/>
        <w:bidi w:val="0"/>
        <w:spacing w:lineRule="auto" w:line="288" w:before="0" w:after="240"/>
        <w:ind w:left="0" w:right="0" w:hanging="360"/>
        <w:jc w:val="left"/>
        <w:rPr/>
      </w:pPr>
      <w:r>
        <w:rPr>
          <w:rFonts w:ascii="Palatino;serif" w:hAnsi="Palatino;serif"/>
          <w:b w:val="false"/>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FF"/>
          <w:sz w:val="22"/>
          <w:u w:val="single"/>
        </w:rPr>
        <w:t>http://www.mondelezinternational.com/investors</w:t>
      </w:r>
      <w:r>
        <w:rPr>
          <w:rFonts w:ascii="Times New Roman;sans-serif" w:hAnsi="Times New Roman;sans-serif"/>
          <w:b w:val="false"/>
          <w:color w:val="000000"/>
          <w:sz w:val="22"/>
        </w:rPr>
        <w:t>.</w:t>
      </w:r>
    </w:p>
    <w:p>
      <w:pPr>
        <w:pStyle w:val="TextBody"/>
        <w:bidi w:val="0"/>
        <w:spacing w:lineRule="auto" w:line="288" w:before="0" w:after="240"/>
        <w:ind w:left="0" w:right="0" w:hanging="360"/>
        <w:jc w:val="left"/>
        <w:rPr/>
      </w:pPr>
      <w:r>
        <w:rPr>
          <w:rFonts w:ascii="Palatino;serif" w:hAnsi="Palatino;serif"/>
          <w:b w:val="false"/>
          <w:color w:val="000000"/>
          <w:sz w:val="22"/>
        </w:rPr>
        <w:t>2.</w:t>
      </w:r>
      <w:r>
        <w:rPr>
          <w:rFonts w:ascii="Times New Roman;sans-serif" w:hAnsi="Times New Roman;sans-serif"/>
          <w:b w:val="false"/>
          <w:color w:val="000000"/>
          <w:sz w:val="22"/>
        </w:rPr>
        <w:t>The Company’s most recent Plan prospectus: a copy of which can be found on the Company’s Intranet site located at: https://intranet.mdlz.com/sites/globalhr/comp/Pages/Legal-Documents.aspx.</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lineRule="auto" w:line="288" w:before="0" w:after="240"/>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 xml:space="preserve">The following provision supplements paragraph 4 of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Option, the Optionee understands and acknowledges that he or she is required to notify the Employer of the amount of any gain realized upon exercise of the Option.</w:t>
      </w:r>
    </w:p>
    <w:p>
      <w:pPr>
        <w:pStyle w:val="TextBody"/>
        <w:bidi w:val="0"/>
        <w:spacing w:lineRule="auto" w:line="288"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Optionee is solely responsible for complying with applicable South African exchange control regulations. In particular, the Optionee may be required to obtain approval from the South African Reserve Bank for payments (including shares of Common Stock received pursuant to the Plan) that the Optionee receives into accounts based outside of South Africa (e.g., a U.S. brokerage account).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7505"/>
                <wp:effectExtent l="0" t="0" r="0" b="0"/>
                <wp:wrapNone/>
                <wp:docPr id="233" name="Frame11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Tax Clearance Certificate for Cash Exercises. </w:t>
      </w:r>
      <w:r>
        <w:rPr>
          <w:rFonts w:ascii="Times New Roman;sans-serif" w:hAnsi="Times New Roman;sans-serif"/>
          <w:b w:val="false"/>
          <w:color w:val="000000"/>
          <w:sz w:val="22"/>
        </w:rPr>
        <w:t>If the Optionee exercises the Option by a cash purchase exercise, the Optionee is required to 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Times New Roman;sans-serif" w:hAnsi="Times New Roman;sans-serif"/>
          <w:b w:val="false"/>
          <w:color w:val="000000"/>
          <w:sz w:val="22"/>
          <w:u w:val="single"/>
        </w:rPr>
        <w:t>SARS</w:t>
      </w:r>
      <w:r>
        <w:rPr>
          <w:color w:val="000000"/>
        </w:rPr>
        <w:t>”</w:t>
      </w:r>
      <w:r>
        <w:rPr>
          <w:rFonts w:ascii="Times New Roman;sans-serif" w:hAnsi="Times New Roman;sans-serif"/>
          <w:b w:val="false"/>
          <w:color w:val="000000"/>
          <w:sz w:val="22"/>
        </w:rPr>
        <w:t xml:space="preserve">). The Optionee must renew this Tax Clearance Certificate each twelve (12) months or in such other period as may be required by the SARS.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Optionee exercises the Option by a cashless exercise whereby no funds are remitted offshore for the purchase of shares, he or she is not required to obtain a Tax Clearance Certificate.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Under current South African exchange control policy, if the Optionee is a South African resident, he or she may invest a 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Optionee remits funds out of South Korea to pay the Grant Price for Options, the remittance of funds 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7505"/>
                <wp:effectExtent l="0" t="0" r="0" b="0"/>
                <wp:wrapNone/>
                <wp:docPr id="234" name="Frame11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Option, the Optionee consents to participation in the Plan and acknowledges that he or she has received a copy of the Plan.</w:t>
      </w:r>
    </w:p>
    <w:p>
      <w:pPr>
        <w:pStyle w:val="TextBody"/>
        <w:bidi w:val="0"/>
        <w:spacing w:lineRule="auto" w:line="30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 </w:t>
      </w:r>
    </w:p>
    <w:p>
      <w:pPr>
        <w:pStyle w:val="TextBody"/>
        <w:bidi w:val="0"/>
        <w:spacing w:lineRule="auto" w:line="304" w:before="0" w:after="240"/>
        <w:jc w:val="left"/>
        <w:rPr/>
      </w:pPr>
      <w:r>
        <w:rPr>
          <w:rFonts w:ascii="Times New Roman;sans-serif" w:hAnsi="Times New Roman;sans-serif"/>
          <w:b w:val="false"/>
          <w:color w:val="000000"/>
          <w:sz w:val="22"/>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304" w:before="0" w:after="240"/>
        <w:jc w:val="left"/>
        <w:rPr/>
      </w:pPr>
      <w:r>
        <w:rPr>
          <w:rFonts w:ascii="Times New Roman;sans-serif" w:hAnsi="Times New Roman;sans-serif"/>
          <w:b w:val="false"/>
          <w:color w:val="000000"/>
          <w:sz w:val="22"/>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r>
        <w:rPr>
          <w:color w:val="000000"/>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7505"/>
                <wp:effectExtent l="0" t="0" r="0" b="0"/>
                <wp:wrapNone/>
                <wp:docPr id="235" name="Frame11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 xml:space="preserve">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holds 10% or more of the Company’s share capital, the Optionee must declare the acquisition, ownership and disposition of shares of Common Stock to the Spanish </w:t>
      </w:r>
      <w:r>
        <w:rPr>
          <w:rFonts w:ascii="Times New Roman;sans-serif" w:hAnsi="Times New Roman;sans-serif"/>
          <w:b w:val="false"/>
          <w:i/>
          <w:color w:val="000000"/>
          <w:sz w:val="22"/>
        </w:rPr>
        <w:t>Dirección General de Comercio e Inversiones</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DGCI</w:t>
      </w:r>
      <w:r>
        <w:rPr>
          <w:color w:val="000000"/>
        </w:rPr>
        <w:t>”</w:t>
      </w:r>
      <w:r>
        <w:rPr>
          <w:rFonts w:ascii="Times New Roman;sans-serif" w:hAnsi="Times New Roman;sans-serif"/>
          <w:b w:val="false"/>
          <w:color w:val="000000"/>
          <w:sz w:val="22"/>
        </w:rPr>
        <w:t>) of the Ministry of Economy and Competitiveness. The declaration (via Form 6) must be made in January for shares of Common Stock acquired or disposed of during the prior calendar year and/or for shares of Common Stock owned as of December 31 of the prior calendar year; provided, if the value of the shares of Common Stock acquired or sold exceeds €1,502,530, the declaration must be filed within one month of the acquisition or disposition of the shares of Common Stock, as applicable.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Optionee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SWAZILAND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7505"/>
                <wp:effectExtent l="0" t="0" r="0" b="0"/>
                <wp:wrapNone/>
                <wp:docPr id="236" name="Frame11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this document nor any other materials relating to the Option (i) constitutes a prospectus according to articles 35 et seq. of the Swiss Federal Act on Financial Services (“FinSA”),</w:t>
      </w:r>
      <w:r>
        <w:rPr>
          <w:color w:val="000000"/>
        </w:rPr>
        <w:t xml:space="preserve"> </w:t>
      </w:r>
      <w:r>
        <w:rPr>
          <w:rFonts w:ascii="Times New Roman;sans-serif" w:hAnsi="Times New Roman;sans-serif"/>
          <w:b w:val="false"/>
          <w:color w:val="000000"/>
          <w:sz w:val="22"/>
        </w:rPr>
        <w:t>(ii)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Optionee hereby acknowledges that he or she has read and understood the terms regarding collection, processing 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and the shares of Common Stock to be issued pursuant to the Plan are available only to employees of the Mondelēz Group. The grant of the Option does not constitute a public offer of securities.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may acquire and remit foreign currency (including the Grant Price, proceeds from the sale of 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Thailand,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7505"/>
                <wp:effectExtent l="0" t="0" r="0" b="0"/>
                <wp:wrapNone/>
                <wp:docPr id="237" name="Frame12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US$1,000,000 in a 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identification information and purposes of the transaction) to the receiving bank. If the Optionee fails to comply with these obligations, the Optionee may be subject to penalties assessed by the Bank of Thailand.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TÜRKIYE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Optionee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may be required to engage a Turkish financial intermediary to assist with the cash exercise of 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Optionees and is in the nature of providing equity 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7505"/>
                <wp:effectExtent l="0" t="0" r="0" b="0"/>
                <wp:wrapNone/>
                <wp:docPr id="238" name="Frame12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lineRule="auto" w:line="288" w:before="0" w:after="240"/>
        <w:jc w:val="left"/>
        <w:rPr/>
      </w:pPr>
      <w:r>
        <w:rPr>
          <w:rFonts w:ascii="Times New Roman;sans-serif" w:hAnsi="Times New Roman;sans-serif"/>
          <w:b w:val="false"/>
          <w:color w:val="000000"/>
          <w:sz w:val="22"/>
        </w:rPr>
        <w:t>Without limitation to paragraph 4 of the Agreement, the Optionee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13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sell the Optionee's Personal Data or share it for cross-context behavioral advertising. If the Optionee would like a copy of the Company’s privacy policy, please contact a local human resources representative.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Tax Information. </w:t>
      </w:r>
      <w:r>
        <w:rPr>
          <w:rFonts w:ascii="Times New Roman;sans-serif" w:hAnsi="Times New Roman;sans-serif"/>
          <w:b w:val="false"/>
          <w:color w:val="000000"/>
          <w:sz w:val="22"/>
        </w:rPr>
        <w:t xml:space="preserve">The Option is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an incentive stock option within the meaning of the Code.</w:t>
      </w:r>
    </w:p>
    <w:p>
      <w:pPr>
        <w:pStyle w:val="TextBody"/>
        <w:bidi w:val="0"/>
        <w:spacing w:lineRule="auto" w:line="288" w:before="0" w:after="240"/>
        <w:jc w:val="left"/>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Optionee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Option or Common Stock) or other financial assets in an account outside the United States and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7505"/>
                <wp:effectExtent l="0" t="0" r="0" b="0"/>
                <wp:wrapNone/>
                <wp:docPr id="239" name="Frame12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Optionee understands that the Data will be collected by the Company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Investment Representation</w:t>
      </w:r>
      <w:r>
        <w:rPr>
          <w:rFonts w:ascii="Times New Roman;sans-serif" w:hAnsi="Times New Roman;sans-serif"/>
          <w:b w:val="false"/>
          <w:color w:val="000000"/>
          <w:sz w:val="22"/>
        </w:rPr>
        <w:t>. As a condition of the grant of the Option, the Optionee acknowledges and agrees that any shares of Common Stock the Optionee may acquire upon exercise of the Option are acquired as and intended to be an investment rather than for the resale of the shares of Common Stock and conversion of such shares into foreign currency.</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exercise the Option or remit funds into Venezuela 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Optionee should consult with his or her personal legal advisor before accepting the Option to ensure compliance with current regulations.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granted under the Plan and the shares of Common Stock issued under the Plan are offered as a personal, private, exclusive transaction and are not subject to Venezuelan government securities regulations. The Option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regulatory requirements in Vietnam, the Optionee will be required to pay the Grant Price by a cashless exercise through a licensed securities broker acceptable to the Company, such that all shares of Common Stock subject to the exercised Option will be sold immediately upon exercise and the proceeds of sale,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7505"/>
                <wp:effectExtent l="0" t="0" r="0" b="0"/>
                <wp:wrapNone/>
                <wp:docPr id="240" name="Frame12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less the Grant Price, any Tax-Related Items, and broker’s fees or commissions, will be remitted to the Optionee. The Company reserves the right to provide the Optionee with additional methods of exercise depending on local developments.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10.4</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7505"/>
                <wp:effectExtent l="0" t="0" r="0" b="0"/>
                <wp:wrapNone/>
                <wp:docPr id="241" name="Frame12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Optionee</w:t>
      </w:r>
      <w:r>
        <w:rPr>
          <w:color w:val="000000"/>
        </w:rPr>
        <w:t>”</w:t>
      </w:r>
      <w:r>
        <w:rPr>
          <w:rFonts w:ascii="Times New Roman;sans-serif" w:hAnsi="Times New Roman;sans-serif"/>
          <w:b w:val="false"/>
          <w:color w:val="000000"/>
          <w:sz w:val="22"/>
        </w:rPr>
        <w:t>) identified in the award statement provided to the Optionee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under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non-qualified stock options (the “</w:t>
      </w:r>
      <w:r>
        <w:rPr>
          <w:rFonts w:ascii="Times New Roman;sans-serif" w:hAnsi="Times New Roman;sans-serif"/>
          <w:b w:val="false"/>
          <w:color w:val="000000"/>
          <w:sz w:val="22"/>
          <w:u w:val="single"/>
        </w:rPr>
        <w:t>Option</w:t>
      </w:r>
      <w:r>
        <w:rPr>
          <w:color w:val="000000"/>
        </w:rPr>
        <w:t>”</w:t>
      </w:r>
      <w:r>
        <w:rPr>
          <w:rFonts w:ascii="Times New Roman;sans-serif" w:hAnsi="Times New Roman;sans-serif"/>
          <w:b w:val="false"/>
          <w:color w:val="000000"/>
          <w:sz w:val="22"/>
        </w:rPr>
        <w:t>). The Option entitles the Optionee to exercise options for up to the aggregate number of shares set forth in the Award Statement (the “</w:t>
      </w:r>
      <w:r>
        <w:rPr>
          <w:rFonts w:ascii="Times New Roman;sans-serif" w:hAnsi="Times New Roman;sans-serif"/>
          <w:b w:val="false"/>
          <w:color w:val="000000"/>
          <w:sz w:val="22"/>
          <w:u w:val="single"/>
        </w:rPr>
        <w:t>Option Shares</w:t>
      </w:r>
      <w:r>
        <w:rPr>
          <w:color w:val="000000"/>
        </w:rPr>
        <w:t>”</w:t>
      </w:r>
      <w:r>
        <w:rPr>
          <w:rFonts w:ascii="Times New Roman;sans-serif" w:hAnsi="Times New Roman;sans-serif"/>
          <w:b w:val="false"/>
          <w:color w:val="000000"/>
          <w:sz w:val="22"/>
        </w:rPr>
        <w:t>) of the Company’s Common Stock, at the price per share set forth in the Award Statement (the “</w:t>
      </w:r>
      <w:r>
        <w:rPr>
          <w:rFonts w:ascii="Times New Roman;sans-serif" w:hAnsi="Times New Roman;sans-serif"/>
          <w:b w:val="false"/>
          <w:color w:val="000000"/>
          <w:sz w:val="22"/>
          <w:u w:val="single"/>
        </w:rPr>
        <w:t>Grant Price</w:t>
      </w:r>
      <w:r>
        <w:rPr>
          <w:color w:val="000000"/>
        </w:rPr>
        <w:t>”</w:t>
      </w:r>
      <w:r>
        <w:rPr>
          <w:rFonts w:ascii="Times New Roman;sans-serif" w:hAnsi="Times New Roman;sans-serif"/>
          <w:b w:val="false"/>
          <w:color w:val="000000"/>
          <w:sz w:val="22"/>
        </w:rPr>
        <w:t>). Capitalized terms not otherwise defined in this Non-Qualified Global Stock Option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288"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 Option is subject to the following terms and conditions (including the country-specific terms set forth in Appendix A to this Agreement):</w:t>
      </w:r>
    </w:p>
    <w:p>
      <w:pPr>
        <w:pStyle w:val="TextBody"/>
        <w:bidi w:val="0"/>
        <w:spacing w:lineRule="auto" w:line="288" w:before="0" w:after="240"/>
        <w:ind w:left="0" w:right="0" w:firstLine="360"/>
        <w:jc w:val="left"/>
        <w:rPr>
          <w:rFonts w:ascii="Times New Roman;sans-serif" w:hAnsi="Times New Roman;sans-serif"/>
          <w:b/>
          <w:color w:val="000000"/>
          <w:sz w:val="22"/>
        </w:rPr>
      </w:pPr>
      <w:r>
        <w:rPr>
          <w:rFonts w:ascii="Times New Roman;sans-serif" w:hAnsi="Times New Roman;sans-serif"/>
          <w:b/>
          <w:color w:val="000000"/>
          <w:sz w:val="22"/>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this Option may not be exercised before the vesting requirements (“</w:t>
      </w:r>
      <w:r>
        <w:rPr>
          <w:rFonts w:ascii="Times New Roman;sans-serif" w:hAnsi="Times New Roman;sans-serif"/>
          <w:b w:val="false"/>
          <w:color w:val="000000"/>
          <w:sz w:val="22"/>
          <w:u w:val="single"/>
        </w:rPr>
        <w:t>Vesting Requirements</w:t>
      </w:r>
      <w:r>
        <w:rPr>
          <w:color w:val="000000"/>
        </w:rPr>
        <w:t>”</w:t>
      </w:r>
      <w:r>
        <w:rPr>
          <w:rFonts w:ascii="Times New Roman;sans-serif" w:hAnsi="Times New Roman;sans-serif"/>
          <w:b w:val="false"/>
          <w:color w:val="000000"/>
          <w:sz w:val="22"/>
        </w:rPr>
        <w:t>) set forth in the schedule to the Award Statement (the “</w:t>
      </w:r>
      <w:r>
        <w:rPr>
          <w:rFonts w:ascii="Times New Roman;sans-serif" w:hAnsi="Times New Roman;sans-serif"/>
          <w:b w:val="false"/>
          <w:color w:val="000000"/>
          <w:sz w:val="22"/>
          <w:u w:val="single"/>
        </w:rPr>
        <w:t>Schedule</w:t>
      </w:r>
      <w:r>
        <w:rPr>
          <w:color w:val="000000"/>
        </w:rPr>
        <w:t>”</w:t>
      </w:r>
      <w:r>
        <w:rPr>
          <w:rFonts w:ascii="Times New Roman;sans-serif" w:hAnsi="Times New Roman;sans-serif"/>
          <w:b w:val="false"/>
          <w:color w:val="000000"/>
          <w:sz w:val="22"/>
        </w:rPr>
        <w:t>) have been satisfied.</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Vesting Upon Termination of Employment</w:t>
      </w:r>
      <w:r>
        <w:rPr>
          <w:rFonts w:ascii="Times New Roman;sans-serif" w:hAnsi="Times New Roman;sans-serif"/>
          <w:b w:val="false"/>
          <w:color w:val="000000"/>
          <w:sz w:val="22"/>
        </w:rPr>
        <w:t xml:space="preserve">.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Optionee’s death or Disability (as defined below in paragraph 15), then this Option will become immediately exercisable for 100% of the Option Shares identified in the Award Statement; or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the Optionee’s Retirement (as defined below in paragraph 15) occurring at least 180 days after the date of grant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Exercisability Upon Termination of Employment from the Mondelēz Group</w:t>
      </w:r>
      <w:r>
        <w:rPr>
          <w:rFonts w:ascii="Times New Roman;sans-serif" w:hAnsi="Times New Roman;sans-serif"/>
          <w:b w:val="false"/>
          <w:color w:val="000000"/>
          <w:sz w:val="22"/>
        </w:rPr>
        <w:t>. During the period commencing on the first date that the Vesting Requirements are satisfied (or, such earlier date determined in accordance with paragraph 2) until the close of the market on the expiration date set forth in the Schedule (“</w:t>
      </w:r>
      <w:r>
        <w:rPr>
          <w:rFonts w:ascii="Times New Roman;sans-serif" w:hAnsi="Times New Roman;sans-serif"/>
          <w:b w:val="false"/>
          <w:color w:val="000000"/>
          <w:sz w:val="22"/>
          <w:u w:val="single"/>
        </w:rPr>
        <w:t>Expiration Date</w:t>
      </w:r>
      <w:r>
        <w:rPr>
          <w:color w:val="000000"/>
        </w:rPr>
        <w:t>”</w:t>
      </w:r>
      <w:r>
        <w:rPr>
          <w:rFonts w:ascii="Times New Roman;sans-serif" w:hAnsi="Times New Roman;sans-serif"/>
          <w:b w:val="false"/>
          <w:color w:val="000000"/>
          <w:sz w:val="22"/>
        </w:rPr>
        <w:t xml:space="preserve">) (or if the market is closed on such date, the close of the market on the last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7505"/>
                <wp:effectExtent l="0" t="0" r="0" b="0"/>
                <wp:wrapNone/>
                <wp:docPr id="242" name="Frame12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date the market is open prior to the Expiration Date), this Option may be exercised in whole or in part with respect to such Option Shares, subject to the following provisions: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In the event that the Optionee’s employment terminates by reason of Retirement, death or Disability, such Option may be exercised on or prior to the Expiration Date;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    If employment is terminated by the Optionee (other than by Retirement, death or Disability), such Option may be exercised until the close of the market 90 days from the effective date of termination (the “</w:t>
      </w:r>
      <w:r>
        <w:rPr>
          <w:rFonts w:ascii="Times New Roman;sans-serif" w:hAnsi="Times New Roman;sans-serif"/>
          <w:b w:val="false"/>
          <w:color w:val="000000"/>
          <w:sz w:val="22"/>
          <w:u w:val="single"/>
        </w:rPr>
        <w:t>90-Day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90-Day Period);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    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sans-serif" w:hAnsi="Times New Roman;sans-serif"/>
          <w:b w:val="false"/>
          <w:color w:val="000000"/>
          <w:sz w:val="22"/>
          <w:u w:val="single"/>
        </w:rPr>
        <w:t>12-Month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12-Month Period); and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If the Optionee’s employment is involuntarily suspended or terminated by the Mondelēz Group for Cause, the Option shall be forfeited.</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sans-serif" w:hAnsi="Times New Roman;sans-serif"/>
          <w:b w:val="false"/>
          <w:color w:val="000000"/>
          <w:sz w:val="22"/>
          <w:u w:val="single"/>
        </w:rPr>
        <w:t>Exchange</w:t>
      </w:r>
      <w:r>
        <w:rPr>
          <w:color w:val="000000"/>
        </w:rPr>
        <w:t>”</w:t>
      </w:r>
      <w:r>
        <w:rPr>
          <w:rFonts w:ascii="Times New Roman;sans-serif" w:hAnsi="Times New Roman;sans-serif"/>
          <w:b w:val="false"/>
          <w:color w:val="000000"/>
          <w:sz w:val="22"/>
        </w:rPr>
        <w:t>) is open. Accordingly, if the Expiration Date (or the expiration of the 90-Day Period and/or the 12-Month Period) is a day the Exchange is closed, the Expiration Date (or the expiration of the 90-Day Period and/or the 12-Month Period) shall be the immediately preceding day on which the Exchange is open.</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Exercise of Option and Withholding Taxes</w:t>
      </w:r>
      <w:r>
        <w:rPr>
          <w:rFonts w:ascii="Times New Roman;sans-serif" w:hAnsi="Times New Roman;sans-serif"/>
          <w:b w:val="false"/>
          <w:color w:val="000000"/>
          <w:sz w:val="22"/>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pStyle w:val="TextBody"/>
        <w:bidi w:val="0"/>
        <w:spacing w:lineRule="auto" w:line="288" w:before="0" w:after="240"/>
        <w:ind w:left="0" w:right="0" w:hanging="10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(a)to the extent permitted by applicable law, by cash, check or cash equivalent; </w: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(b)consideration received by the Company from a cashless exercise through a licensed securities broker acceptable to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7505"/>
                <wp:effectExtent l="0" t="0" r="0" b="0"/>
                <wp:wrapNone/>
                <wp:docPr id="243" name="Frame12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(c)if the Optionee is a U.S. taxpayer or if permitted by the Committee, by surrender of shares of Common Stock previously owned by the Optionee which meet the conditions established by the Committee; or</w:t>
      </w:r>
    </w:p>
    <w:p>
      <w:pPr>
        <w:pStyle w:val="TextBody"/>
        <w:bidi w:val="0"/>
        <w:spacing w:lineRule="auto" w:line="288" w:before="0" w:after="240"/>
        <w:ind w:left="0" w:right="0" w:hanging="1080"/>
        <w:jc w:val="left"/>
        <w:rPr>
          <w:rFonts w:ascii="Times New Roman;sans-serif" w:hAnsi="Times New Roman;sans-serif"/>
          <w:b w:val="false"/>
          <w:color w:val="000000"/>
          <w:sz w:val="22"/>
        </w:rPr>
      </w:pPr>
      <w:r>
        <w:rPr>
          <w:rFonts w:ascii="Times New Roman;sans-serif" w:hAnsi="Times New Roman;sans-serif"/>
          <w:b w:val="false"/>
          <w:color w:val="000000"/>
          <w:sz w:val="22"/>
        </w:rPr>
        <w:t>(d)any other methods approved by the Committee and permitted by applicable laws.</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The Optionee acknowledges that, regardless of any action taken by the Company or, if different, the Optionee’s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7505"/>
                <wp:effectExtent l="0" t="0" r="0" b="0"/>
                <wp:wrapNone/>
                <wp:docPr id="244" name="Frame12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Cash-Out of Option</w:t>
      </w:r>
      <w:r>
        <w:rPr>
          <w:rFonts w:ascii="Times New Roman;sans-serif" w:hAnsi="Times New Roman;sans-serif"/>
          <w:b w:val="false"/>
          <w:color w:val="000000"/>
          <w:sz w:val="22"/>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pStyle w:val="TextBody"/>
        <w:bidi w:val="0"/>
        <w:spacing w:lineRule="auto" w:line="288" w:before="0" w:after="240"/>
        <w:ind w:left="0" w:right="0" w:firstLine="45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Confidential Information</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portion of the Option) shall be immediately forfeited;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w:t>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7505"/>
                <wp:effectExtent l="0" t="0" r="0" b="0"/>
                <wp:wrapNone/>
                <wp:docPr id="245" name="Frame12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pStyle w:val="TextBody"/>
        <w:bidi w:val="0"/>
        <w:spacing w:lineRule="auto" w:line="288"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(e)The Optionee is hereby advised in writing to consult with an attorney before entering into the covenants outlined in this Section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Section 6. The Optionee acknowledges that they have entered into this Agreement knowingly and voluntarily and with full knowledge and understanding of the provisions of this Agreement after being given the opportunity to consult with counsel. The 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w:t>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7505"/>
                <wp:effectExtent l="0" t="0" r="0" b="0"/>
                <wp:wrapNone/>
                <wp:docPr id="246" name="Frame12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14 calendar days to review the provisions contained herein but may voluntarily waive this period and sign prior to the 14 calendar day period lapsing.</w:t>
      </w:r>
    </w:p>
    <w:p>
      <w:pPr>
        <w:pStyle w:val="TextBody"/>
        <w:bidi w:val="0"/>
        <w:spacing w:lineRule="auto" w:line="288" w:before="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policies, the Optionee hereby expressly acknowledges and agrees that the Company shall have the right to reduce, cancel, or withhold against outstanding, unvested, vested, or future cash or equity-based compensation owed or due to the Optionee, to the maximum extent permitted under applicable law. No such recovery will be an event giving rise to a right to resign for Good Reason or be deemed a “constructive termination” (or any similar term) as such terms are used in any agreement between the Optionee and the Company or under any severance plans applicable to the Optionee.</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xml:space="preserve">. Unless otherwise required by law, this Option is not transferable or assignable by the Optionee in any manner other than by will or the laws of descent and distribution applicable to the Optionee and is exercisable during the Optionee’s lifetime only by the Optionee. </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9.</w:t>
      </w:r>
      <w:r>
        <w:rPr>
          <w:color w:val="000000"/>
        </w:rPr>
        <w:t xml:space="preserve">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xml:space="preserve">.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 </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7505"/>
                <wp:effectExtent l="0" t="0" r="0" b="0"/>
                <wp:wrapNone/>
                <wp:docPr id="247" name="Frame13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 </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Grant Confers No Rights to Continued Employment - Nature of the Grant</w:t>
      </w:r>
      <w:r>
        <w:rPr>
          <w:rFonts w:ascii="Times New Roman;sans-serif" w:hAnsi="Times New Roman;sans-serif"/>
          <w:b w:val="false"/>
          <w:color w:val="000000"/>
          <w:sz w:val="22"/>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 the Plan shall not constitute an inducement to, or condition of, the employment of the Optionee. Further, the Optionee acknowledges, understands and agrees that:</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grant of the Option is exceptional, voluntary and occasional and does not create any contractual or other right to receive future grants of options, or benefits in lieu of options, even if options have been granted in the past;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all decisions with respect to future option or other Grants, if any, will be at the sole discretion of the Committee;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Optionee is voluntarily participating in the Plan;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Option and the Option Shares subject to the Option, and the income and value of same, are not intended to replace any pension rights or compensation;</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future value of the underlying shares of Common Stock is unknown, indeterminable and cannot be predicted;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if the underlying shares of Common Stock do not increase in value, the Option will have no value;</w:t>
      </w: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7505"/>
                <wp:effectExtent l="0" t="0" r="0" b="0"/>
                <wp:wrapNone/>
                <wp:docPr id="248" name="Frame13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if the Optionee exercises the Option and obtains shares of Common Stock, the value of those shares of Common Stock acquired upon exercise may increase or decrease in value, even below the Grant Price;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the Option is designated as not constituting an Incentive Stock Option; this Agreement shall be interpreted and treated consistently with such designation; </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(m)</w:t>
      </w:r>
      <w:r>
        <w:rPr>
          <w:rFonts w:ascii="Times New Roman;sans-serif" w:hAnsi="Times New Roman;sans-serif"/>
          <w:b w:val="false"/>
          <w:color w:val="000000"/>
          <w:sz w:val="22"/>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(n)</w:t>
      </w:r>
      <w:r>
        <w:rPr>
          <w:rFonts w:ascii="Times New Roman;sans-serif" w:hAnsi="Times New Roman;sans-serif"/>
          <w:b w:val="false"/>
          <w:color w:val="000000"/>
          <w:sz w:val="22"/>
        </w:rPr>
        <w:t>the Option and the shares of Common Stock subject to the Option, and the income and value of same, are not part of Optionee’s normal or expected compensation or salary for any purpose;</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(o)</w:t>
      </w:r>
      <w:r>
        <w:rPr>
          <w:rFonts w:ascii="Times New Roman;sans-serif" w:hAnsi="Times New Roman;sans-serif"/>
          <w:b w:val="false"/>
          <w:color w:val="000000"/>
          <w:sz w:val="22"/>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pStyle w:val="TextBody"/>
        <w:bidi w:val="0"/>
        <w:spacing w:lineRule="auto" w:line="288" w:before="0" w:after="240"/>
        <w:ind w:left="0" w:right="0" w:firstLine="810"/>
        <w:jc w:val="left"/>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no claim or entitlement to compensation or damages shall arise from forfeiture of the Option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 xml:space="preserve">acquired under the Plan </w:t>
      </w:r>
      <w:r>
        <w:rPr>
          <w:rFonts w:ascii="Times New Roman;sans-serif" w:hAnsi="Times New Roman;sans-serif"/>
          <w:b w:val="false"/>
          <w:color w:val="000000"/>
          <w:sz w:val="22"/>
        </w:rPr>
        <w:t xml:space="preserve">resulting from (a)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13.</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Optionee’s participation in the Plan.</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w:t>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7505"/>
                <wp:effectExtent l="0" t="0" r="0" b="0"/>
                <wp:wrapNone/>
                <wp:docPr id="249" name="Frame13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outstanding in the Optionee’s favor, for the exclusive purpose of implementing, administering and managing the Plan.</w:t>
      </w:r>
    </w:p>
    <w:p>
      <w:pPr>
        <w:pStyle w:val="TextBody"/>
        <w:bidi w:val="0"/>
        <w:spacing w:lineRule="auto" w:line="288" w:before="0" w:after="240"/>
        <w:ind w:left="0" w:right="0" w:firstLine="720"/>
        <w:jc w:val="left"/>
        <w:rPr/>
      </w:pPr>
      <w:r>
        <w:rPr>
          <w:rFonts w:ascii="Times New Roman;sans-serif" w:hAnsi="Times New Roman;sans-serif"/>
          <w:b/>
          <w:i/>
          <w:color w:val="000000"/>
          <w:sz w:val="22"/>
        </w:rPr>
        <w:t>The Optionee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w:t>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7505"/>
                <wp:effectExtent l="0" t="0" r="0" b="0"/>
                <wp:wrapNone/>
                <wp:docPr id="250" name="Frame13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Miscellaneous Definitions</w:t>
      </w:r>
      <w:r>
        <w:rPr>
          <w:rFonts w:ascii="Times New Roman;sans-serif" w:hAnsi="Times New Roman;sans-serif"/>
          <w:b w:val="false"/>
          <w:color w:val="000000"/>
          <w:sz w:val="22"/>
        </w:rPr>
        <w:t>. 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the termination of employment on or after either (i) the date the Optionee is age 55</w:t>
      </w:r>
      <w:r>
        <w:rPr>
          <w:color w:val="000000"/>
        </w:rPr>
        <w:t xml:space="preserve"> </w:t>
      </w:r>
      <w:r>
        <w:rPr>
          <w:rFonts w:ascii="Times New Roman;sans-serif" w:hAnsi="Times New Roman;sans-serif"/>
          <w:b w:val="false"/>
          <w:color w:val="000000"/>
          <w:sz w:val="22"/>
        </w:rPr>
        <w:t>or older</w:t>
      </w:r>
      <w:r>
        <w:rPr>
          <w:color w:val="000000"/>
        </w:rPr>
        <w:t xml:space="preserve"> </w:t>
      </w:r>
      <w:r>
        <w:rPr>
          <w:rFonts w:ascii="Times New Roman;sans-serif" w:hAnsi="Times New Roman;sans-serif"/>
          <w:b w:val="false"/>
          <w:color w:val="000000"/>
          <w:sz w:val="22"/>
        </w:rPr>
        <w:t>with at least ten (10) or more years of active continuous employment with the Mondelēz Group or (ii) the date the Optionee is age 65 or older with at least five (5) or more years of active continuous employment with the Mondelēz Group.</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 unless otherwise required by applicable law.</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w:t>
      </w:r>
    </w:p>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7505"/>
                <wp:effectExtent l="0" t="0" r="0" b="0"/>
                <wp:wrapNone/>
                <wp:docPr id="251" name="Frame13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delivery. Any documents required to be given or delivered to the Optionee related to current or future participation in the Plan may also be delivered through electronic means as described in paragraph 19 below.</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Optionee may be subject to insider trading and/or market abuse laws which may affect the Optionee’s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xml:space="preserve">.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In addition, the Optionee agrees to take any and all actions required by the Company, any other entity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7505"/>
                <wp:effectExtent l="0" t="0" r="0" b="0"/>
                <wp:wrapNone/>
                <wp:docPr id="252" name="Frame13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Mondelēz Group or the local laws, rules and regulations in the Optionee’s country of residence (and country of employment, if different) that may be required to comply with such laws, rules and regulations. The Optionee acknowledges that it is the Optionee’s responsibility to be compliant with such regulations, and the Optionee should consult his or her personal legal advisor for any details.</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pStyle w:val="TextBody"/>
        <w:bidi w:val="0"/>
        <w:spacing w:lineRule="auto" w:line="288" w:before="0" w:after="240"/>
        <w:ind w:left="0" w:right="0" w:firstLine="27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7505"/>
                <wp:effectExtent l="0" t="0" r="0" b="0"/>
                <wp:wrapNone/>
                <wp:docPr id="253" name="Frame13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Laura Stein </w:t>
        <w:br/>
        <w:t>Executive Vice President,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 Corporate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7505"/>
                <wp:effectExtent l="0" t="0" r="0" b="0"/>
                <wp:wrapNone/>
                <wp:docPr id="254" name="Frame13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uto" w:line="288" w:before="0" w:after="240"/>
        <w:jc w:val="left"/>
        <w:rPr/>
      </w:pPr>
      <w:r>
        <w:rPr>
          <w:rFonts w:ascii="Times New Roman;sans-serif" w:hAnsi="Times New Roman;sans-serif"/>
          <w:b w:val="false"/>
          <w:color w:val="000000"/>
          <w:sz w:val="22"/>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2024.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pStyle w:val="TextBody"/>
        <w:bidi w:val="0"/>
        <w:spacing w:lineRule="auto" w:line="288"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EUROPEAN UNION / EUROPEAN ECONOMIC AREA, SWITZERLAND AND THE UNITED KINGDOM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lineRule="auto" w:line="304" w:before="7"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pStyle w:val="TextBody"/>
        <w:bidi w:val="0"/>
        <w:spacing w:before="7"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7505"/>
                <wp:effectExtent l="0" t="0" r="0" b="0"/>
                <wp:wrapNone/>
                <wp:docPr id="255" name="Frame13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 </w:t>
      </w:r>
    </w:p>
    <w:p>
      <w:pPr>
        <w:pStyle w:val="TextBody"/>
        <w:bidi w:val="0"/>
        <w:spacing w:lineRule="auto" w:line="288"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Morgan Stanley, PricewaterhouseCoopers LLP or KPMG LLP with such agreement being a condition to the Optionee’s ability to participate in the Plan. </w:t>
      </w:r>
    </w:p>
    <w:p>
      <w:pPr>
        <w:pStyle w:val="TextBody"/>
        <w:bidi w:val="0"/>
        <w:spacing w:lineRule="auto" w:line="288" w:before="0" w:after="240"/>
        <w:jc w:val="left"/>
        <w:rPr/>
      </w:pPr>
      <w:r>
        <w:rPr>
          <w:rFonts w:ascii="Times New Roman;sans-serif" w:hAnsi="Times New Roman;sans-serif"/>
          <w:b w:val="false"/>
          <w:color w:val="000000"/>
          <w:sz w:val="22"/>
        </w:rPr>
        <w:t xml:space="preserve">The Optionee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7505"/>
                <wp:effectExtent l="0" t="0" r="0" b="0"/>
                <wp:wrapNone/>
                <wp:docPr id="256" name="Frame13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Argentina,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pStyle w:val="TextBody"/>
        <w:bidi w:val="0"/>
        <w:spacing w:lineRule="auto" w:line="288" w:before="0" w:after="240"/>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Notwithstanding anything to the contrary in the Agreement, paragraph 6 of the Agreement will not apply to Argentinian Optionees.</w:t>
      </w:r>
    </w:p>
    <w:p>
      <w:pPr>
        <w:pStyle w:val="TextBody"/>
        <w:bidi w:val="0"/>
        <w:spacing w:lineRule="auto" w:line="288"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Optionee acknowledges and agrees that such benefits shall not accrue more frequently than on each vesting date.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7505"/>
                <wp:effectExtent l="0" t="0" r="0" b="0"/>
                <wp:wrapNone/>
                <wp:docPr id="257" name="Frame14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Neither this Agreement nor any other offering material related to the Option nor the underlying shares of Common Stock may be utilized in connection with any general offering to the public in Argentina.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is solely responsible for complying with the exchange control rules that may apply in 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Australian Offer Document. </w:t>
      </w:r>
      <w:r>
        <w:rPr>
          <w:rFonts w:ascii="Times New Roman;sans-serif" w:hAnsi="Times New Roman;sans-serif"/>
          <w:b w:val="false"/>
          <w:color w:val="000000"/>
          <w:sz w:val="22"/>
        </w:rPr>
        <w:t xml:space="preserve">This offer is being made under Division 1A, Part 7.12 of the Corporations Act 2001 (Cth). The Optionee’s right to participate in the Plan and receive the grant of the Option under the Plan is subject to the terms and conditions as stated in the ESS Offer Document, the Plan and the Agreement. By accepting the grant of the Option, the Optionee acknowledges and confirms that the Optionee has received these documents.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Optionee’s behalf, otherwise the Optionee will be responsible for complying with any exchange control reporting requirements.</w:t>
      </w:r>
    </w:p>
    <w:p>
      <w:pPr>
        <w:pStyle w:val="TextBody"/>
        <w:bidi w:val="0"/>
        <w:spacing w:lineRule="auto" w:line="288"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Participant sells shares of Common Stock, or receives any cash dividends, the Optionee may have exchange control obligations if the Optionee holds the cash proceeds outside Austria. If the transaction volume of all the Optionee’s accounts abroad meets or exceeds a certain threshold, the Optionee must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7505"/>
                <wp:effectExtent l="0" t="0" r="0" b="0"/>
                <wp:wrapNone/>
                <wp:docPr id="258" name="Frame14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Tax Considerations.</w:t>
      </w:r>
      <w:r>
        <w:rPr>
          <w:color w:val="000000"/>
        </w:rPr>
        <w:t xml:space="preserve"> </w:t>
      </w:r>
      <w:r>
        <w:rPr>
          <w:rFonts w:ascii="Times New Roman;sans-serif" w:hAnsi="Times New Roman;sans-serif"/>
          <w:b w:val="false"/>
          <w:color w:val="000000"/>
          <w:sz w:val="22"/>
        </w:rPr>
        <w:t>The Option must be accepted in writing either (i) within 60 days of the offer (for tax at offer), or (ii) after 60 days of the 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pStyle w:val="TextBody"/>
        <w:bidi w:val="0"/>
        <w:spacing w:lineRule="auto" w:line="288" w:before="0" w:after="24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xml:space="preserve">. A stock exchange tax applies to transactions executed by Belgian residents through a non-Belgian financial intermediary, such as a U.S. broker. The stock exchange tax will apply when shares of Common Stock acquired upon exercise of the Options are sold.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7505"/>
                <wp:effectExtent l="0" t="0" r="0" b="0"/>
                <wp:wrapNone/>
                <wp:docPr id="259" name="Frame14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Annual Securities Accounts Tax. </w:t>
      </w:r>
      <w:r>
        <w:rPr>
          <w:rFonts w:ascii="Times New Roman;sans-serif" w:hAnsi="Times New Roman;sans-serif"/>
          <w:b w:val="false"/>
          <w:color w:val="000000"/>
          <w:sz w:val="22"/>
        </w:rPr>
        <w:t>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Option, the Optionee acknowledges that he or she agrees to comply with applicable Brazilian laws and pay any and all applicable Tax-Related Items associated with the exercise of the Option, the receipt of any dividends and the sale of shares of Common Stock acquired under the Plan. </w:t>
      </w:r>
    </w:p>
    <w:p>
      <w:pPr>
        <w:pStyle w:val="TextBody"/>
        <w:bidi w:val="0"/>
        <w:spacing w:lineRule="auto" w:line="288" w:before="0" w:after="240"/>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Option, the Optionee understands, acknowledges and agrees that, for all legal purposes (i) the Optionee is making an investment decision and (ii) the value of the underlying shares of Common Stock are not fixed and may increase or decrease in value over the vesting period without compensation to the Optionee.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Payments to foreign countries (including payment of the Grant Price) and the repatriation of funds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exercises the Option through a cash purchase exercise, in order to remit funds out of Bulgaria, 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pStyle w:val="TextBody"/>
        <w:bidi w:val="0"/>
        <w:spacing w:lineRule="auto" w:line="288" w:before="0" w:after="240"/>
        <w:jc w:val="left"/>
        <w:rPr/>
      </w:pPr>
      <w:r>
        <w:rPr>
          <w:rFonts w:ascii="Times New Roman;sans-serif" w:hAnsi="Times New Roman;sans-serif"/>
          <w:b w:val="false"/>
          <w:color w:val="000000"/>
          <w:sz w:val="22"/>
        </w:rPr>
        <w:t>In addition, the Optionee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7505"/>
                <wp:effectExtent l="0" t="0" r="0" b="0"/>
                <wp:wrapNone/>
                <wp:docPr id="260" name="Frame14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19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shares of Common Stock acquired under the Plan) if the total sum of all such receivables and securities equals or exceeds BGN50,000 as of the previous calendar year end. The reports are due by March 31.</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contact his or her bank in Bulgaria for additional information regarding these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Notwithstanding anything in the Plan or the Agreement to the contrary, the Optionee is prohibited from surrendering shares of Common Stock that he or she already owns or attesting to the ownership of shares of Common Stock to pay the Grant Price or any Tax-Related Items in connection with the Option.</w:t>
      </w:r>
    </w:p>
    <w:p>
      <w:pPr>
        <w:pStyle w:val="TextBody"/>
        <w:bidi w:val="0"/>
        <w:spacing w:lineRule="auto" w:line="288" w:before="0" w:after="240"/>
        <w:jc w:val="left"/>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Options granted to employees resident in Canada shall be paid in shares of Common Stock only.</w:t>
      </w:r>
    </w:p>
    <w:p>
      <w:pPr>
        <w:pStyle w:val="TextBody"/>
        <w:bidi w:val="0"/>
        <w:spacing w:lineRule="auto" w:line="288" w:before="0" w:after="240"/>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paragraphs 2 and 3(d)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or (2) the date the Optionee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The Optionee will not earn or be entitled to pro-rated vesting for that portion of time before the date on which the Optionee’s right to vest terminates or if the vesting date falls after the end of the Optionee’s statutory notice period, nor will the Optionee be entitled to any compensation for lost vesting.</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Optionees resident in Quebec:</w:t>
      </w:r>
    </w:p>
    <w:p>
      <w:pPr>
        <w:pStyle w:val="TextBody"/>
        <w:bidi w:val="0"/>
        <w:spacing w:lineRule="auto" w:line="288" w:before="0" w:after="24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acknowledges and agrees that the Optionee’s personal information, including sensitive personal information, may be transferred or disclosed outside of the Province of Quebec, including to the United States. The Optionee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7505"/>
                <wp:effectExtent l="0" t="0" r="0" b="0"/>
                <wp:wrapNone/>
                <wp:docPr id="261" name="Frame14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authorizes the Mondelēz Group to record such information and to keep such information in his or her employee file. The Optionee also acknowledges and authorizes the Company and any subsidiary or affiliate or other parties involved in the administration of the Plan to use technology for profiling purposes and to make automated decisions that may have an impact on the Optionee or the administration of the Plan.</w:t>
      </w:r>
    </w:p>
    <w:p>
      <w:pPr>
        <w:pStyle w:val="TextBody"/>
        <w:bidi w:val="0"/>
        <w:spacing w:lineRule="auto" w:line="288" w:before="0" w:after="240"/>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French translation of the Plan and the Agreement can be made available to the Optionee as soon as reasonably practicable upon the Optionee’s request. The Optionee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Optionee dès que raisonnablement possible à la demande de l' Optionee. Le Optionee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both"/>
        <w:rPr/>
      </w:pPr>
      <w:r>
        <w:rPr>
          <w:rFonts w:ascii="Times New Roman;sans-serif" w:hAnsi="Times New Roman;sans-serif"/>
          <w:b/>
          <w:color w:val="000000"/>
          <w:sz w:val="22"/>
        </w:rPr>
        <w:t xml:space="preserve">Non-Qualified Securities. </w:t>
      </w:r>
      <w:r>
        <w:rPr>
          <w:rFonts w:ascii="Times New Roman;sans-serif" w:hAnsi="Times New Roman;sans-serif"/>
          <w:b w:val="false"/>
          <w:color w:val="000000"/>
          <w:sz w:val="22"/>
        </w:rPr>
        <w:t xml:space="preserve">All or a portion of the shares of Common Stock subject to the Option may be "non-qualified securities" within the meaning of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 xml:space="preserve">(Canada). The Mondelēz Group shall provide the Optionee with additional information and/or appropriate notification regarding the characterization of the Option for Canadian income tax purposes as may be required by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(Canada) and the regulations thereunder.</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specified foreign property (including shares of 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reported‒generally at a nil cost‒if the $100,000 cost threshold is exceeded because of other specified foreign property the Optionee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7505"/>
                <wp:effectExtent l="0" t="0" r="0" b="0"/>
                <wp:wrapNone/>
                <wp:docPr id="262" name="Frame14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xml:space="preserve">. Notwithstanding anything to the contrary in the Agreement, due to legal restrictions in China,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Optionee is not required to sell shares of Common Stock immediately upon exercise, any shares of Common Stock issued to the Optionee must be maintained in an account with Morgan Stanley Smith Barney, LLC (“Morgan Stanley”) or such other broker as may be designated by the Company until the shares of Common Stock are sold through that broker. If the Company changes its designated broker, the Optionee acknowledges and agrees that the Company may transfer any shares of Common Stock issued under the 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pStyle w:val="TextBody"/>
        <w:bidi w:val="0"/>
        <w:spacing w:lineRule="auto" w:line="288" w:before="0" w:after="240"/>
        <w:jc w:val="left"/>
        <w:rPr/>
      </w:pPr>
      <w:r>
        <w:rPr>
          <w:rFonts w:ascii="Times New Roman;sans-serif" w:hAnsi="Times New Roman;sans-serif"/>
          <w:b/>
          <w:color w:val="000000"/>
          <w:sz w:val="22"/>
        </w:rPr>
        <w:t>Expiration Date.</w:t>
      </w:r>
      <w:r>
        <w:rPr>
          <w:color w:val="000000"/>
        </w:rPr>
        <w:t xml:space="preserve"> </w:t>
      </w:r>
      <w:r>
        <w:rPr>
          <w:rFonts w:ascii="Times New Roman;sans-serif" w:hAnsi="Times New Roman;sans-serif"/>
          <w:b w:val="false"/>
          <w:color w:val="000000"/>
          <w:sz w:val="22"/>
        </w:rPr>
        <w:t xml:space="preserve">Notwithstanding anything to the contrary in the Agreement, in the event of the Optionee’s termination of employment with the Mondelēz Group, the Optionee shall be permitted to exercise the Option for the </w:t>
      </w:r>
      <w:r>
        <w:rPr>
          <w:rFonts w:ascii="Times New Roman;sans-serif" w:hAnsi="Times New Roman;sans-serif"/>
          <w:b w:val="false"/>
          <w:color w:val="000000"/>
          <w:sz w:val="22"/>
          <w:u w:val="single"/>
        </w:rPr>
        <w:t>shorter</w:t>
      </w:r>
      <w:r>
        <w:rPr>
          <w:color w:val="000000"/>
        </w:rPr>
        <w:t xml:space="preserve"> </w:t>
      </w:r>
      <w:r>
        <w:rPr>
          <w:rFonts w:ascii="Times New Roman;sans-serif" w:hAnsi="Times New Roman;sans-serif"/>
          <w:b w:val="false"/>
          <w:color w:val="000000"/>
          <w:sz w:val="22"/>
        </w:rPr>
        <w:t>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pStyle w:val="TextBody"/>
        <w:bidi w:val="0"/>
        <w:spacing w:lineRule="auto" w:line="288"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 xml:space="preserve">The Optionee understands and agrees that, due to exchange control laws in China, he or she will be 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7505"/>
                <wp:effectExtent l="0" t="0" r="0" b="0"/>
                <wp:wrapNone/>
                <wp:docPr id="263" name="Frame14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further agrees to comply with any other requirements that may be imposed by the Company in the future in order to facilitate compliance with exchange control requirements in China.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Chinese residents may be required to report to the SAFE all details of their foreign financial assets and liabilities, as well as details of any economic transactions conducted with non-Chinese residents, including the Company.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as foreign investment held abroad. In addition, all payments relating to foreign investment originating in Colombia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payment of the Grant Price by cash exercise) and the liquidation of such investments must be transferred through the Colombian foreign exchange market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 xml:space="preserve">). If the Optionee exercises the Option by way of a cashless method of exercise, filing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7505"/>
                <wp:effectExtent l="0" t="0" r="0" b="0"/>
                <wp:wrapNone/>
                <wp:docPr id="264" name="Frame14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appropriate foreign exchange form will not be required because no funds will be remitted out of Colombia. However, any sales proceeds related to shares of Common Stock acquired pursuant to cashless exercise must still be transferred through the Colombian foreign exchange market.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The Optionee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Optionee must describe each asset and indicate the jurisdiction in which it is located, its nature and its value.</w:t>
      </w:r>
    </w:p>
    <w:p>
      <w:pPr>
        <w:pStyle w:val="TextBody"/>
        <w:bidi w:val="0"/>
        <w:spacing w:lineRule="auto" w:line="288" w:before="0" w:after="240"/>
        <w:jc w:val="center"/>
        <w:rPr/>
      </w:pPr>
      <w:r>
        <w:rPr>
          <w:rFonts w:ascii="Times New Roman;sans-serif" w:hAnsi="Times New Roman;sans-serif"/>
          <w:b/>
          <w:color w:val="000000"/>
          <w:sz w:val="22"/>
          <w:u w:val="single"/>
        </w:rPr>
        <w:t>COSTA RICA</w:t>
      </w:r>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Optionee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Optionee’s responsibility to comply with Croatian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 xml:space="preserve">means permanent and total disability as determined under the procedures established by the Company for purposes of the Plan.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Option and the opening and maintenance of a foreign account, including reporting (i) foreign direct investments with a value of CZK 2,500,000 or more in the aggregate or (ii) foreign financial assets with a value of CZK 200,000,000 or more. The Optionee should consult their personal legal advisor to ensure compliance with the applicable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7505"/>
                <wp:effectExtent l="0" t="0" r="0" b="0"/>
                <wp:wrapNone/>
                <wp:docPr id="265" name="Frame14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Optionee acknowledges that he or she has received an Employer Statement in Danish, which sets forth the additional terms of the Option to the extent that the Danish Stock Option Act applies.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accounts holding shares of Common Stock or cash established outside Denmark to the Danish Tax Administration as part of his or her tax return under the section related to foreign affairs and income.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sans-serif" w:hAnsi="Times New Roman;sans-serif"/>
          <w:b w:val="false"/>
          <w:color w:val="0000FF"/>
          <w:sz w:val="22"/>
          <w:u w:val="single"/>
        </w:rPr>
        <w:t>www.sri.gob.ec</w:t>
      </w:r>
      <w:r>
        <w:rPr>
          <w:rFonts w:ascii="Times New Roman;sans-serif" w:hAnsi="Times New Roman;sans-serif"/>
          <w:b w:val="false"/>
          <w:color w:val="000000"/>
          <w:sz w:val="22"/>
        </w:rPr>
        <w:t xml:space="preserve">). Penalties will apply to a late filing and it is not possible to seek an extension.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transfers funds into or out of Egypt in connection with the Option, the Optionee is required to transfer the funds through a registered bank in Egypt.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304"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Option Not French-Qualified.</w:t>
      </w:r>
      <w:r>
        <w:rPr>
          <w:color w:val="000000"/>
        </w:rPr>
        <w:t xml:space="preserve"> </w:t>
      </w:r>
      <w:r>
        <w:rPr>
          <w:rFonts w:ascii="Times New Roman;sans-serif" w:hAnsi="Times New Roman;sans-serif"/>
          <w:b w:val="false"/>
          <w:color w:val="000000"/>
          <w:sz w:val="22"/>
        </w:rPr>
        <w:t>The Option granted under this Agreement are not intended to qualify for specific tax and social security treatment pursuant to Sections L. 225-177 to L. 225-186-1 of the French Commercial Code,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7505"/>
                <wp:effectExtent l="0" t="0" r="0" b="0"/>
                <wp:wrapNone/>
                <wp:docPr id="266" name="Frame14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Optionee confirms having read and understood the Plan and Agreement, including all terms and conditions included therein, which were provided in the English language. The Optionee accepts the terms of those documents accordingly.</w:t>
      </w:r>
    </w:p>
    <w:p>
      <w:pPr>
        <w:pStyle w:val="TextBody"/>
        <w:bidi w:val="0"/>
        <w:spacing w:lineRule="auto" w:line="288" w:before="0" w:after="240"/>
        <w:jc w:val="left"/>
        <w:rPr/>
      </w:pPr>
      <w:r>
        <w:rPr>
          <w:rFonts w:ascii="Times New Roman;sans-serif" w:hAnsi="Times New Roman;sans-serif"/>
          <w:b w:val="false"/>
          <w:i/>
          <w:color w:val="000000"/>
          <w:sz w:val="22"/>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Optionee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Cross-border payments made or received in excess of €12,500 may need to be reported monthly by accessing the electronic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via the Bundesbank’s website (</w:t>
      </w:r>
      <w:r>
        <w:rPr>
          <w:rFonts w:ascii="Times New Roman;sans-serif" w:hAnsi="Times New Roman;sans-serif"/>
          <w:b w:val="false"/>
          <w:color w:val="0000FF"/>
          <w:sz w:val="22"/>
          <w:u w:val="single"/>
        </w:rPr>
        <w:t>www.bundesbank.de</w:t>
      </w:r>
      <w:r>
        <w:rPr>
          <w:rFonts w:ascii="Times New Roman;sans-serif" w:hAnsi="Times New Roman;sans-serif"/>
          <w:b w:val="false"/>
          <w:color w:val="000000"/>
          <w:sz w:val="22"/>
        </w:rPr>
        <w:t xml:space="preserve">), or by such other method and within such other timing as permitted or required by Bundesbank. In addition, Participant may be required to report the acquisition of securities if the value of the securities acquired exceeds €12,500 to the Bundesbank via email or telephone.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€150,000, or (ii) the Optionee holds Common Stock exceeding 10% of the total capital of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GHANA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7505"/>
                <wp:effectExtent l="0" t="0" r="0" b="0"/>
                <wp:wrapNone/>
                <wp:docPr id="267" name="Frame15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exercises the Options through a cash exercise, withdraws funds from a bank in Greece and remits those funds out of Greece (in an amount exceeding a specified threshold), the Optionee may be required to submit a written application to the bank.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HONDURAS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HONG KONG</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w:t>
      </w:r>
      <w:r>
        <w:rPr>
          <w:color w:val="000000"/>
        </w:rPr>
        <w:t xml:space="preserve"> </w:t>
      </w:r>
      <w:r>
        <w:rPr>
          <w:rFonts w:ascii="Times New Roman;sans-serif" w:hAnsi="Times New Roman;sans-serif"/>
          <w:b w:val="false"/>
          <w:i/>
          <w:color w:val="000000"/>
          <w:sz w:val="22"/>
        </w:rPr>
        <w:t xml:space="preserve">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 </w:t>
      </w:r>
    </w:p>
    <w:p>
      <w:pPr>
        <w:pStyle w:val="TextBody"/>
        <w:bidi w:val="0"/>
        <w:spacing w:lineRule="auto" w:line="288" w:before="0" w:after="240"/>
        <w:jc w:val="left"/>
        <w:rPr/>
      </w:pPr>
      <w:r>
        <w:rPr>
          <w:rFonts w:ascii="Times New Roman;sans-serif" w:hAnsi="Times New Roman;sans-serif"/>
          <w:b/>
          <w:color w:val="000000"/>
          <w:sz w:val="22"/>
        </w:rPr>
        <w:t>Sale of Shares.</w:t>
      </w:r>
      <w:r>
        <w:rPr>
          <w:color w:val="000000"/>
        </w:rPr>
        <w:t xml:space="preserve"> </w:t>
      </w:r>
      <w:r>
        <w:rPr>
          <w:rFonts w:ascii="Times New Roman;sans-serif" w:hAnsi="Times New Roman;sans-serif"/>
          <w:b w:val="false"/>
          <w:color w:val="000000"/>
          <w:sz w:val="22"/>
        </w:rPr>
        <w:t>Shares of Common Stock received under the Plan are accepted as a personal investment. In the event the Option vests within six months of the Grant Date, the Optionee agrees that he or she will not exercise the Option and sell the shares of Common Stock acquired prior to the six-month anniversary of the Grant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Cashless Sell-All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or the Plan, due to regulatory issues in India, the Optionee will be required to pay the Grant Price by a cashless exercise, such that the Optionee will deliver a properly executed notice together with irrevocable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7505"/>
                <wp:effectExtent l="0" t="0" r="0" b="0"/>
                <wp:wrapNone/>
                <wp:docPr id="268" name="Frame15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 the Grant Price, any Tax-Related Items and broker’s fees or commissions, will be remitted to the Optionee. In the event of changes in regulatory requirements, the Company reserves the right to eliminate the cashless sell-all method of exercise requirement and, in its sole discretion, to permit cash exercise or cashless sell-to-cover exercises.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both"/>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 The Optionee is personally responsible for complying with exchange control laws in India, and neither the Company nor the Employer will be liable for any fines or penalties resulting from the Optionee’s failure to comply with applicable laws. The Optionee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Optionee should consult his or her personal tax or legal advisor before selling shares of Common Stock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declare foreign bank accounts and any foreign financial assets (including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304" w:before="0" w:after="240"/>
        <w:jc w:val="both"/>
        <w:rPr/>
      </w:pPr>
      <w:r>
        <w:rPr>
          <w:rFonts w:ascii="Times New Roman;sans-serif" w:hAnsi="Times New Roman;sans-serif"/>
          <w:b/>
          <w:color w:val="000000"/>
          <w:sz w:val="22"/>
          <w:shd w:fill="FFFFFF" w:val="clear"/>
        </w:rPr>
        <w:t>Language Consent and Notification</w:t>
      </w:r>
      <w:r>
        <w:rPr>
          <w:rFonts w:ascii="Times New Roman;sans-serif" w:hAnsi="Times New Roman;sans-serif"/>
          <w:b w:val="false"/>
          <w:color w:val="000000"/>
          <w:sz w:val="22"/>
          <w:shd w:fill="FFFFFF" w:val="clear"/>
        </w:rPr>
        <w:t>. A translation of the documents relating to this grant into Bahasa Indonesia can be provided to the Optionee upon request to 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shd w:fill="FFFFFF" w:val="clear"/>
        </w:rPr>
        <w:t xml:space="preserve">.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 </w:t>
      </w:r>
    </w:p>
    <w:p>
      <w:pPr>
        <w:pStyle w:val="TextBody"/>
        <w:bidi w:val="0"/>
        <w:spacing w:lineRule="auto" w:line="288" w:before="0" w:after="240"/>
        <w:jc w:val="left"/>
        <w:rPr/>
      </w:pPr>
      <w:r>
        <w:rPr>
          <w:rFonts w:ascii="Times New Roman;sans-serif" w:hAnsi="Times New Roman;sans-serif"/>
          <w:b/>
          <w:color w:val="000000"/>
          <w:sz w:val="22"/>
          <w:shd w:fill="FFFFFF" w:val="clear"/>
        </w:rPr>
        <w:t>Language Consent and Notification.</w:t>
      </w:r>
      <w:r>
        <w:rPr>
          <w:color w:val="000000"/>
          <w:shd w:fill="FFFFFF" w:val="clear"/>
        </w:rPr>
        <w:t xml:space="preserve"> </w:t>
      </w:r>
      <w:r>
        <w:rPr>
          <w:rFonts w:ascii="Times New Roman;sans-serif" w:hAnsi="Times New Roman;sans-serif"/>
          <w:b w:val="false"/>
          <w:color w:val="000000"/>
          <w:sz w:val="22"/>
          <w:shd w:fill="FFFFFF" w:val="clear"/>
        </w:rPr>
        <w:t xml:space="preserve">Terjemahan dari dokumen-dokumen terkait dengan pemberian ini ke Bahasa Indonesia dapat disediakan untuk anda berdasarkan permintaan kepada Astrid Januarita, My Rewards Advisor ID, 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shd w:fill="FFFFFF" w:val="clear"/>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7505"/>
                <wp:effectExtent l="0" t="0" r="0" b="0"/>
                <wp:wrapNone/>
                <wp:docPr id="269" name="Frame15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if the Optionee remits funds into or out of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Optionee is a director, shadow director</w:t>
      </w:r>
      <w:r>
        <w:rPr>
          <w:rFonts w:ascii="Palatino;serif" w:hAnsi="Palatino;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Optionee must notify the Irish subsidiary or affiliate in writing if (1) the Optionee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ISRAEL</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0"/>
        <w:jc w:val="left"/>
        <w:rPr/>
      </w:pPr>
      <w:r>
        <w:rPr>
          <w:rFonts w:ascii="Times New Roman;sans-serif" w:hAnsi="Times New Roman;sans-serif"/>
          <w:b/>
          <w:color w:val="000000"/>
          <w:sz w:val="22"/>
        </w:rPr>
        <w:t>Method of Exercise</w:t>
      </w:r>
      <w:r>
        <w:rPr>
          <w:rFonts w:ascii="Times New Roman;sans-serif" w:hAnsi="Times New Roman;sans-serif"/>
          <w:b w:val="false"/>
          <w:color w:val="000000"/>
          <w:sz w:val="22"/>
        </w:rPr>
        <w:t xml:space="preserve">. Notwithstanding anything to the contrary in the Agreement,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w:t>
      </w:r>
    </w:p>
    <w:p>
      <w:pPr>
        <w:pStyle w:val="TextBody"/>
        <w:bidi w:val="0"/>
        <w:spacing w:lineRule="auto" w:line="288"/>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7505"/>
                <wp:effectExtent l="0" t="0" r="0" b="0"/>
                <wp:wrapNone/>
                <wp:docPr id="270" name="Frame15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29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offer of this option does not constitute a public offering under the Securities Law, 1968.</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regulatory requirements in Italy,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 </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 xml:space="preserve">In accepting the grant of the Option, the Optionee acknowledges that he or she has received a copy of the Plan and the Agreement and has reviewed the Plan and the Agreement, including this Appendix A, in their entirety and fully understands and accepts all provisions of the Plan and the Agreement, including this Appendix A.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are beneficial owners of the investment pursuant to Italian money laundering provisions.</w:t>
      </w:r>
    </w:p>
    <w:p>
      <w:pPr>
        <w:pStyle w:val="TextBody"/>
        <w:bidi w:val="0"/>
        <w:spacing w:lineRule="auto" w:line="288"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w:t>
      </w:r>
      <w:r>
        <w:rPr>
          <w:color w:val="000000"/>
        </w:rPr>
        <w:t xml:space="preserve"> </w:t>
      </w:r>
      <w:r>
        <w:rPr>
          <w:rFonts w:ascii="Times New Roman;sans-serif" w:hAnsi="Times New Roman;sans-serif"/>
          <w:b w:val="false"/>
          <w:color w:val="000000"/>
          <w:sz w:val="22"/>
        </w:rPr>
        <w:t xml:space="preserve">is subject to a foreign assets tax. The fair market value is considered to be the value of the shares of Common Stock on the Nasdaq Global Select Market on December 31 of each year or on the last day the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7505"/>
                <wp:effectExtent l="0" t="0" r="0" b="0"/>
                <wp:wrapNone/>
                <wp:docPr id="271" name="Frame15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valued at more than ¥100,000,000 in a single transaction, the Optionee must file a Securities Acquisition Report with the Ministry of Finance through the Bank of Japan within 20 days of the purchase of the shares of Common Stock.</w:t>
      </w:r>
    </w:p>
    <w:p>
      <w:pPr>
        <w:pStyle w:val="TextBody"/>
        <w:bidi w:val="0"/>
        <w:spacing w:lineRule="auto" w:line="288" w:before="0" w:after="240"/>
        <w:jc w:val="left"/>
        <w:rPr/>
      </w:pPr>
      <w:r>
        <w:rPr>
          <w:rFonts w:ascii="Times New Roman;sans-serif" w:hAnsi="Times New Roman;sans-serif"/>
          <w:b w:val="false"/>
          <w:color w:val="000000"/>
          <w:sz w:val="22"/>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the month following the month in which the payment was made. The precise reporting requirements vary depending on whether or not the relevant payment is made through a bank in Japan.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7505"/>
                <wp:effectExtent l="0" t="0" r="0" b="0"/>
                <wp:wrapNone/>
                <wp:docPr id="272" name="Frame15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acquired under the Plan. The Optionee is responsible for ensuring compliance with all exchange control laws in Kazakhstan.</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KENYA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Under Tax Procedure Act, 2015, the Optionee is required to complete and submit a tax registration 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LEBANON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7505"/>
                <wp:effectExtent l="0" t="0" r="0" b="0"/>
                <wp:wrapNone/>
                <wp:docPr id="273" name="Frame15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59"/>
        <w:gridCol w:w="1459"/>
        <w:gridCol w:w="1462"/>
        <w:gridCol w:w="1646"/>
        <w:gridCol w:w="1646"/>
        <w:gridCol w:w="2333"/>
      </w:tblGrid>
      <w:tr>
        <w:trPr/>
        <w:tc>
          <w:tcPr>
            <w:tcW w:w="16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at Mondelez Malaysia Sales Sdn Bhd., Lot 9.01 Level 9, 1 First Avenue, 2A, Dataran Bandar Utama, Bandar Utama Damasara, 47800 Petaling Jaya, Selangor, Malaysia. The Optionee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tc>
        <w:tc>
          <w:tcPr>
            <w:tcW w:w="5625"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Penerima Opsyen memahami bahawa Syarikat dan Majikan mungkin memegang maklumat peribadi tertentu Penerima Opsyen, termasuk, tetapi tidak terhad kepada, nama Penerima Opsyen, alamat rumah dan nombor telefon, almat emel, tarikh lahir, insurans sosial, nombor pasport atau pengenalan lain, gaji, kewarganegaraan, jawatan, apa-apa syer dalam Saham atau jawatan pengarah yang dipegang dalam Syarikat, maklumat berkaitan semua Opsyen-Opsyen atau apa-apa kelayakan lain untuk syer dalam saham yang dianugerahkan, dibatalkan, dilaksanakan, terletak hak, tidak diletak hak ataupun yang belum dijelaskan bagi faedah Penerima Opsyen, untuk tujuan eksklusif bagi melaksanakan, mentadbir dan menguruskan Pelan tersebut.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Penerima Opsyen memahami bahawa Data tersebut akan dipindahkan ke Morgan Stanley Smith Barney, LLC (“Morgan Stanley”) 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 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Malaysia Sales Sdn Bhd, Lot 9.01 Level 9, 1 First Avenue, 2A, Dataran Bandar Utama, Bandar Utama Damasara, 47800 Petaling Jaya, Selangor, Malaysia. Penerima Opsyen dengan ini membenarkan Syarikat, Morgan Stanley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Penerima Opsyen dalam Pelan. Penerima Opsyen memahami bahawa Data hanya akan disimpan untuk tempoh yang perlu bagi melaksanakan, mentadbir, dan menguruskan penyertaan Penerima 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7505"/>
                <wp:effectExtent l="0" t="0" r="0" b="0"/>
                <wp:wrapNone/>
                <wp:docPr id="274" name="Frame15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Optionee is a director of the Company’s Malaysian subsidiary or affiliate, the Optionee is subject to certain notification requirements under the Malaysian Companies Act. Among these requirements is an obligation to notify the Malaysian subsidiary or affiliate in writing when the Optionee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an Option or shares of Common Stock) in the Company or any related company. Such notifications must be made within 14 days of receiving or disposing of any interest in the Company or any related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Option, the Optionee expressly recognizes that Mondelēz International, Inc., with registered 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Mondelēz México, S. de R.L. de C.V., located at Av. 18 de Noviembre 1028, Camino a Manzanilla, Heroica Puebla de Zaragoza, Puebla, C.P. 72304.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Optionee’s employment.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Option, the Optionee acknowledges that Optionee has received copies of the Plan, has reviewed the Plan and the Agreement in their entirety and fully understands and accepts all provisions of the Plan and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7505"/>
                <wp:effectExtent l="0" t="0" r="0" b="0"/>
                <wp:wrapNone/>
                <wp:docPr id="275" name="Frame15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88" w:before="0" w:after="240"/>
        <w:jc w:val="left"/>
        <w:rPr/>
      </w:pPr>
      <w:r>
        <w:rPr>
          <w:rFonts w:ascii="Times New Roman;sans-serif" w:hAnsi="Times New Roman;sans-serif"/>
          <w:b/>
          <w:color w:val="000000"/>
          <w:sz w:val="22"/>
        </w:rPr>
        <w:t xml:space="preserve">Política Laboral.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aceptar el otorgamiento de la Opción de Compra de Acciones, el Optionee expresamente reconoce que Mondelēz 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Optionee.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pStyle w:val="TextBody"/>
        <w:bidi w:val="0"/>
        <w:spacing w:lineRule="auto" w:line="288"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Otorgamiento de la Opción de Compra de Acciones, el Optionee reconoce que ha recibido copias del Plan, que ha revisado el Plan y el Acuerdo en su totalidad y que entiende y acepta completamente todas las disposiciones contenidas en el Plan y en el Acuerdo.</w:t>
      </w:r>
    </w:p>
    <w:p>
      <w:pPr>
        <w:pStyle w:val="TextBody"/>
        <w:bidi w:val="0"/>
        <w:spacing w:lineRule="auto" w:line="288" w:before="0" w:after="240"/>
        <w:jc w:val="left"/>
        <w:rPr/>
      </w:pPr>
      <w:r>
        <w:rPr>
          <w:rFonts w:ascii="Times New Roman;sans-serif" w:hAnsi="Times New Roman;sans-serif"/>
          <w:b w:val="false"/>
          <w:color w:val="000000"/>
          <w:sz w:val="22"/>
        </w:rPr>
        <w:t xml:space="preserve">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w:t>
      </w:r>
      <w:r>
        <w:rPr>
          <w:rFonts w:ascii="Palatino;serif" w:hAnsi="Palatino;serif"/>
          <w:b w:val="false"/>
          <w:color w:val="000000"/>
          <w:sz w:val="22"/>
        </w:rPr>
        <w:t xml:space="preserve">Mondelēz International, Inc. </w:t>
      </w:r>
      <w:r>
        <w:rPr>
          <w:rFonts w:ascii="Times New Roman;sans-serif" w:hAnsi="Times New Roman;sans-serif"/>
          <w:b w:val="false"/>
          <w:color w:val="000000"/>
          <w:sz w:val="22"/>
        </w:rPr>
        <w:t>ni de cualqiuer Sociedad controlante, Subsidiaria o Filial son responsables por ninguna disminución en el valor de las Acciones subyacentes de la Opción de Compra de Acciones.</w:t>
      </w:r>
    </w:p>
    <w:p>
      <w:pPr>
        <w:pStyle w:val="TextBody"/>
        <w:bidi w:val="0"/>
        <w:spacing w:lineRule="auto" w:line="288" w:before="0" w:after="240"/>
        <w:jc w:val="left"/>
        <w:rPr/>
      </w:pPr>
      <w:r>
        <w:rPr>
          <w:rFonts w:ascii="Times New Roman;sans-serif" w:hAnsi="Times New Roman;sans-serif"/>
          <w:b w:val="false"/>
          <w:color w:val="000000"/>
          <w:sz w:val="22"/>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r>
        <w:rPr>
          <w:color w:val="000000"/>
        </w:rPr>
        <w:t xml:space="preser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7505"/>
                <wp:effectExtent l="0" t="0" r="0" b="0"/>
                <wp:wrapNone/>
                <wp:docPr id="276" name="Frame15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Option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exchange control requirements in Morocco,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 </w:t>
      </w:r>
    </w:p>
    <w:p>
      <w:pPr>
        <w:pStyle w:val="TextBody"/>
        <w:bidi w:val="0"/>
        <w:spacing w:lineRule="auto" w:line="288" w:before="0" w:after="240"/>
        <w:jc w:val="left"/>
        <w:rPr/>
      </w:pPr>
      <w:r>
        <w:rPr>
          <w:rFonts w:ascii="Times New Roman;sans-serif" w:hAnsi="Times New Roman;sans-serif"/>
          <w:b/>
          <w:color w:val="000000"/>
          <w:sz w:val="22"/>
        </w:rPr>
        <w:t>Exercisability Upon Termination of Employment</w:t>
      </w:r>
      <w:r>
        <w:rPr>
          <w:rFonts w:ascii="Times New Roman;sans-serif" w:hAnsi="Times New Roman;sans-serif"/>
          <w:b w:val="false"/>
          <w:color w:val="000000"/>
          <w:sz w:val="22"/>
        </w:rPr>
        <w:t>. The following provision replaces in its entirety paragraph 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pStyle w:val="TextBody"/>
        <w:bidi w:val="0"/>
        <w:spacing w:lineRule="auto" w:line="288" w:before="0" w:after="240"/>
        <w:jc w:val="left"/>
        <w:rPr/>
      </w:pPr>
      <w:r>
        <w:rPr>
          <w:rFonts w:ascii="Times New Roman;sans-serif" w:hAnsi="Times New Roman;sans-serif"/>
          <w:b/>
          <w:color w:val="000000"/>
          <w:sz w:val="22"/>
        </w:rPr>
        <w:t>Exchange Control Requirements.</w:t>
      </w:r>
      <w:r>
        <w:rPr>
          <w:color w:val="000000"/>
        </w:rPr>
        <w:t xml:space="preserve"> </w:t>
      </w:r>
      <w:r>
        <w:rPr>
          <w:rFonts w:ascii="Times New Roman;sans-serif" w:hAnsi="Times New Roman;sans-serif"/>
          <w:b w:val="false"/>
          <w:color w:val="000000"/>
          <w:sz w:val="22"/>
        </w:rPr>
        <w:t xml:space="preserve">The Optionee is required to immediately repatriate to Morocco the proceeds from the cashless exercise of 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Times New Roman;sans-serif" w:hAnsi="Times New Roman;sans-serif"/>
          <w:b w:val="false"/>
          <w:i/>
          <w:color w:val="000000"/>
          <w:sz w:val="22"/>
        </w:rPr>
        <w:t>Office des Changes</w:t>
      </w:r>
      <w:r>
        <w:rPr>
          <w:rFonts w:ascii="Times New Roman;sans-serif" w:hAnsi="Times New Roman;sans-serif"/>
          <w:b w:val="false"/>
          <w:color w:val="000000"/>
          <w:sz w:val="22"/>
        </w:rPr>
        <w:t>. The Optionee is responsible for ensuring compliance with all exchange control laws in Morocco.</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7505"/>
                <wp:effectExtent l="0" t="0" r="0" b="0"/>
                <wp:wrapNone/>
                <wp:docPr id="277" name="Frame16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w:t>
      </w:r>
      <w:r>
        <w:rPr>
          <w:color w:val="000000"/>
        </w:rPr>
        <w:t xml:space="preserve"> </w:t>
      </w:r>
      <w:r>
        <w:rPr>
          <w:rFonts w:ascii="Times New Roman;sans-serif" w:hAnsi="Times New Roman;sans-serif"/>
          <w:b w:val="false"/>
          <w:i/>
          <w:color w:val="000000"/>
          <w:sz w:val="22"/>
        </w:rPr>
        <w:t>Optionee is being offered an Option which allows the Optionee to purchase shares of Common Stock in accordance with the terms of the Plan and the Agreement. The shares of Common Stock, if purchased, give the Optionee a stake in the ownership of the Company. The Optionee may receive a return if dividends are paid.</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Optionee will be paid only after all creditors and holders of preferred shares have been paid. The Optionee may lose some or all of his or her investment.</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Optionee understands that he or she should ask questions, read all documents carefully, and seek independent financial advice before exercising any Options under the Plan.</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 </w:t>
      </w:r>
    </w:p>
    <w:p>
      <w:pPr>
        <w:pStyle w:val="TextBody"/>
        <w:bidi w:val="0"/>
        <w:spacing w:lineRule="auto" w:line="288" w:before="0" w:after="240"/>
        <w:jc w:val="left"/>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i/>
          <w:color w:val="0000FF"/>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u w:val="single"/>
        </w:rPr>
        <w:t>http://ir.mondelezinternational.com/sec.cfm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7505"/>
                <wp:effectExtent l="0" t="0" r="0" b="0"/>
                <wp:wrapNone/>
                <wp:docPr id="278" name="Frame16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Pakistan,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is required immediately to repatriate to Pakistan the proceeds from the sale of any Common Stock acquired from participation in Plan, including the proceeds from the cashless exercise of the Option.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PANAMA</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Options nor any shares of Common Stock that the Employee may acquire upon exercise of the Options constitute a public offering of securities, as they are available only to eligible employees of the Mondelēz Group.</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12 of the Agreement:</w:t>
      </w:r>
    </w:p>
    <w:p>
      <w:pPr>
        <w:pStyle w:val="TextBody"/>
        <w:bidi w:val="0"/>
        <w:spacing w:lineRule="auto" w:line="288" w:before="0" w:after="240"/>
        <w:jc w:val="left"/>
        <w:rPr/>
      </w:pPr>
      <w:r>
        <w:rPr>
          <w:rFonts w:ascii="Times New Roman;sans-serif" w:hAnsi="Times New Roman;sans-serif"/>
          <w:b w:val="false"/>
          <w:color w:val="000000"/>
          <w:sz w:val="22"/>
        </w:rPr>
        <w:t xml:space="preserve">By accepting the Option, the Optionee acknowledges, understands and agrees that the Option is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Optionee.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Options is considered a private offering in Peru; therefore, it is not subject to registration. For 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7505"/>
                <wp:effectExtent l="0" t="0" r="0" b="0"/>
                <wp:wrapNone/>
                <wp:docPr id="279" name="Frame16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Notwithstanding anything to the contrary in the Agreement, due to regulatory requirements in the 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Optionee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88"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Optionee.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7505"/>
                <wp:effectExtent l="0" t="0" r="0" b="0"/>
                <wp:wrapNone/>
                <wp:docPr id="280" name="Frame16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39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deposits proceeds from the sale of Common Stock in a bank account in Romania, the 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0"/>
        <w:jc w:val="both"/>
        <w:rPr/>
      </w:pPr>
      <w:r>
        <w:rPr>
          <w:rFonts w:ascii="Times New Roman;sans-serif" w:hAnsi="Times New Roman;sans-serif"/>
          <w:b/>
          <w:color w:val="000000"/>
          <w:sz w:val="22"/>
        </w:rPr>
        <w:t xml:space="preserve">Exercise of Options. </w:t>
      </w:r>
      <w:r>
        <w:rPr>
          <w:rFonts w:ascii="Times New Roman;sans-serif" w:hAnsi="Times New Roman;sans-serif"/>
          <w:b w:val="false"/>
          <w:color w:val="000000"/>
          <w:sz w:val="22"/>
        </w:rPr>
        <w:t>This provision supplements Section 4 of the Agreement:</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Depending on applicable restrictions then in effect, the Company has the sole discretion to postpone the vesting and/or the ability to exercise the Option, or to cancel such Option for no consideration.  The Optionee understands that no shares of Common Stock will be issued upon exercise of the Option if the Company, in its sole discretion, determines that such issuance would not comply with applicable laws and regulations in Russia.</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Agreement, the Plan and all other materials that the Optionee may receive concerning the grant of the Option and the Optionee’s participation in the Plan do not constitute advertising or an offering of securities in Russia. The Common Stock to be issued upon exercise of the Option have not and will not be registered in Russia and, therefore, the Common Stock described in any Plan documents may not be offered or placed in public circulation in Russia. In no event will Common Stock to be issued upon exercise of the Option be delivered to the Optionee in Russia. All Common Stock acquired under the Plan will be maintained on the Optionee’s behalf outside of Russia. The Optionee will not be permitted to sell Common Stock directly to a Russian legal entity or resident.</w:t>
      </w:r>
    </w:p>
    <w:p>
      <w:pPr>
        <w:pStyle w:val="TextBody"/>
        <w:bidi w:val="0"/>
        <w:spacing w:lineRule="auto" w:line="288" w:before="0" w:after="240"/>
        <w:jc w:val="left"/>
        <w:rPr/>
      </w:pPr>
      <w:r>
        <w:rPr>
          <w:rFonts w:ascii="Times New Roman;sans-serif" w:hAnsi="Times New Roman;sans-serif"/>
          <w:b/>
          <w:color w:val="000000"/>
          <w:sz w:val="22"/>
        </w:rPr>
        <w:t>Cashless Exercise Provision</w:t>
      </w:r>
      <w:r>
        <w:rPr>
          <w:rFonts w:ascii="Times New Roman;sans-serif" w:hAnsi="Times New Roman;sans-serif"/>
          <w:b w:val="false"/>
          <w:color w:val="000000"/>
          <w:sz w:val="22"/>
        </w:rPr>
        <w:t>. Notwithstanding anything to the contrary in the Agreement, depending on the development of local regulatory 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pStyle w:val="TextBody"/>
        <w:bidi w:val="0"/>
        <w:spacing w:lineRule="auto" w:line="288"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bidi w:val="0"/>
        <w:spacing w:lineRule="auto" w:line="288" w:before="0" w:after="240"/>
        <w:jc w:val="left"/>
        <w:rPr/>
      </w:pPr>
      <w:r>
        <w:rPr>
          <w:rFonts w:ascii="Times New Roman;sans-serif" w:hAnsi="Times New Roman;sans-serif"/>
          <w:b w:val="false"/>
          <w:color w:val="000000"/>
          <w:sz w:val="22"/>
        </w:rPr>
        <w:t>The Optionee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7505"/>
                <wp:effectExtent l="0" t="0" r="0" b="0"/>
                <wp:wrapNone/>
                <wp:docPr id="281" name="Frame16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40</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is responsible for complying with any and all Russian foreign exchange control requirements in connection with the</w:t>
      </w:r>
      <w:r>
        <w:rPr>
          <w:color w:val="000000"/>
        </w:rPr>
        <w:t xml:space="preserve"> </w:t>
      </w:r>
      <w:r>
        <w:rPr>
          <w:rFonts w:ascii="Palatino;serif" w:hAnsi="Palatino;serif"/>
          <w:b w:val="false"/>
          <w:color w:val="000000"/>
          <w:sz w:val="22"/>
        </w:rPr>
        <w:t>Option, any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color w:val="000000"/>
        </w:rPr>
        <w:t xml:space="preserve"> </w:t>
      </w:r>
      <w:r>
        <w:rPr>
          <w:rFonts w:ascii="Times New Roman;sans-serif" w:hAnsi="Times New Roman;sans-serif"/>
          <w:b w:val="false"/>
          <w:color w:val="000000"/>
          <w:sz w:val="22"/>
        </w:rPr>
        <w:t xml:space="preserve">acquired and funds remitted into Russia in connection with the Plan. This may include, in certain circumstances, reporting and repatriation requirements. The foreign exchange control rules and regulations in Russia are subject to frequent change.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 xml:space="preserve">should contact their personal advisor to determine applicability of all repatriation, remittance or other exchange control requirements to ensure compliance with all applicable exchange control requirements prior to exercise of the </w:t>
      </w:r>
      <w:r>
        <w:rPr>
          <w:rFonts w:ascii="Palatino;serif" w:hAnsi="Palatino;serif"/>
          <w:b w:val="false"/>
          <w:color w:val="000000"/>
          <w:sz w:val="22"/>
        </w:rPr>
        <w:t>Option and/or selling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 xml:space="preserve">If the Optionee continues to hold shares of Common Stock acquired at exercise of the Option after an involuntary termination of the Optionee’s employment, the Optionee will not be eligible to receive unemployment benefits in Russia. </w:t>
      </w:r>
    </w:p>
    <w:p>
      <w:pPr>
        <w:pStyle w:val="TextBody"/>
        <w:bidi w:val="0"/>
        <w:spacing w:lineRule="auto" w:line="288"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Employee’s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the Option</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Optionee should consult with their personal legal advisor to determine the applicability of these reporting requirements to any brokerage account opened in connection with participation in the Plan.</w:t>
      </w:r>
    </w:p>
    <w:p>
      <w:pPr>
        <w:pStyle w:val="TextBody"/>
        <w:bidi w:val="0"/>
        <w:spacing w:lineRule="auto" w:line="288"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Optionee should inform the Company if the Optionee is covered by these laws because the Optionee should not hold shares of Common Stock acquired under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Optionee is permitted to acquire shares of Common Stock under the Plan</w:t>
      </w:r>
      <w:r>
        <w:rPr>
          <w:color w:val="000000"/>
        </w:rPr>
        <w:t xml:space="preserve"> </w:t>
      </w:r>
      <w:r>
        <w:rPr>
          <w:rFonts w:ascii="Times New Roman;sans-serif" w:hAnsi="Times New Roman;sans-serif"/>
          <w:b w:val="false"/>
          <w:color w:val="000000"/>
          <w:sz w:val="22"/>
        </w:rPr>
        <w:t>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 xml:space="preserve">The Optionee agrees that any shares of Common Stock acquired pursuant to the Option will not be offered for sale in Singapore prior to the six-month anniversary of the Grant Date, unless such sale or offer is made pursuant to the exemptions under Part XIII Division (1) Subdivision (4)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7505"/>
                <wp:effectExtent l="0" t="0" r="0" b="0"/>
                <wp:wrapNone/>
                <wp:docPr id="282" name="Frame16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41</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280) of the Securities and Futures Act (Chapter 289, 2006 Ed.) (“SFA”), or pursuant to, and in accordance with the conditions of, any applicable provisions of the SFA.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Option is being made pursuant to the “Qualifying Person” exemption under section 273(1)(f) of the SFA and is not made to the Optionee with a view to the Option being subsequently offered for sale to any other party. The Plan has not been lodged or registered as a prospectus with the Monetary Authority of Singapore.</w:t>
      </w:r>
    </w:p>
    <w:p>
      <w:pPr>
        <w:pStyle w:val="TextBody"/>
        <w:bidi w:val="0"/>
        <w:spacing w:lineRule="auto" w:line="288"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Options,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when the shares of Common Stock are sold), or (iii) becoming a director, associate director or shadow director.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Optionee’s brokerage account with the Company’s designated broker).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Optionee’s review on the Company's public site or intranet site, as applicable, as listed below:</w:t>
      </w:r>
    </w:p>
    <w:p>
      <w:pPr>
        <w:pStyle w:val="TextBody"/>
        <w:bidi w:val="0"/>
        <w:spacing w:lineRule="auto" w:line="288" w:before="0" w:after="240"/>
        <w:ind w:left="0" w:right="0" w:hanging="360"/>
        <w:jc w:val="left"/>
        <w:rPr/>
      </w:pPr>
      <w:r>
        <w:rPr>
          <w:rFonts w:ascii="Palatino;serif" w:hAnsi="Palatino;serif"/>
          <w:b w:val="false"/>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FF"/>
          <w:sz w:val="22"/>
          <w:u w:val="single"/>
        </w:rPr>
        <w:t>http://www.mondelezinternational.com/investors</w:t>
      </w:r>
      <w:r>
        <w:rPr>
          <w:rFonts w:ascii="Times New Roman;sans-serif" w:hAnsi="Times New Roman;sans-serif"/>
          <w:b w:val="false"/>
          <w:color w:val="000000"/>
          <w:sz w:val="22"/>
        </w:rPr>
        <w:t>.</w:t>
      </w:r>
    </w:p>
    <w:p>
      <w:pPr>
        <w:pStyle w:val="TextBody"/>
        <w:bidi w:val="0"/>
        <w:spacing w:lineRule="auto" w:line="288" w:before="0" w:after="240"/>
        <w:ind w:left="0" w:right="0" w:hanging="360"/>
        <w:jc w:val="left"/>
        <w:rPr/>
      </w:pPr>
      <w:r>
        <w:rPr>
          <w:rFonts w:ascii="Palatino;serif" w:hAnsi="Palatino;serif"/>
          <w:b w:val="false"/>
          <w:color w:val="000000"/>
          <w:sz w:val="22"/>
        </w:rPr>
        <w:t>2.</w:t>
      </w:r>
      <w:r>
        <w:rPr>
          <w:rFonts w:ascii="Times New Roman;sans-serif" w:hAnsi="Times New Roman;sans-serif"/>
          <w:b w:val="false"/>
          <w:color w:val="000000"/>
          <w:sz w:val="22"/>
        </w:rPr>
        <w:t>The Company’s most recent Plan prospectus: a copy of which can be found on the Company’s Intranet site located at: https://intranet.mdlz.com/sites/globalhr/comp/Pages/Legal-Documents.aspx.</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acknowledges that he or she may have copies of the above documents sent to him or her, at no charge, on written request being mailed to Corporate Secretary, Mondelēz International, Inc., 905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7505"/>
                <wp:effectExtent l="0" t="0" r="0" b="0"/>
                <wp:wrapNone/>
                <wp:docPr id="283" name="Frame16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West Fulton Market, Suite 200, Chicago, Illinois 60607, U.S.A. The telephone number at the executive offices is +1 847-943-4000.</w:t>
      </w:r>
    </w:p>
    <w:p>
      <w:pPr>
        <w:pStyle w:val="TextBody"/>
        <w:bidi w:val="0"/>
        <w:spacing w:lineRule="auto" w:line="288" w:before="0" w:after="240"/>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 xml:space="preserve">The following provision supplements paragraph 4 of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Option, the Optionee understands and acknowledges that he or she is required to notify the Employer of the amount of any gain realized upon exercise of the Option.</w:t>
      </w:r>
    </w:p>
    <w:p>
      <w:pPr>
        <w:pStyle w:val="TextBody"/>
        <w:bidi w:val="0"/>
        <w:spacing w:lineRule="auto" w:line="288"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Optionee is solely responsible for complying with applicable South African exchange control regulations. In particular, the Optionee may be required to obtain approval from the South African Reserve Bank for payments (including shares of Common Stock received pursuant to the Plan) that the Optionee receives into accounts based outside of South Africa (e.g., a U.S. brokerage account).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Tax Clearance Certificate for Cash Exercises. </w:t>
      </w:r>
      <w:r>
        <w:rPr>
          <w:rFonts w:ascii="Times New Roman;sans-serif" w:hAnsi="Times New Roman;sans-serif"/>
          <w:b w:val="false"/>
          <w:color w:val="000000"/>
          <w:sz w:val="22"/>
        </w:rPr>
        <w:t>If the Optionee exercises the Option by a cash purchase exercise, the Optionee is required to 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Times New Roman;sans-serif" w:hAnsi="Times New Roman;sans-serif"/>
          <w:b w:val="false"/>
          <w:color w:val="000000"/>
          <w:sz w:val="22"/>
          <w:u w:val="single"/>
        </w:rPr>
        <w:t>SARS</w:t>
      </w:r>
      <w:r>
        <w:rPr>
          <w:color w:val="000000"/>
        </w:rPr>
        <w:t>”</w:t>
      </w:r>
      <w:r>
        <w:rPr>
          <w:rFonts w:ascii="Times New Roman;sans-serif" w:hAnsi="Times New Roman;sans-serif"/>
          <w:b w:val="false"/>
          <w:color w:val="000000"/>
          <w:sz w:val="22"/>
        </w:rPr>
        <w:t xml:space="preserve">). The Optionee must renew this Tax Clearance Certificate each twelve (12) months or in such other period as may be required by the SARS.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Optionee exercises the Option by a cashless exercise whereby no funds are remitted offshore for the purchase of shares, he or she is not required to obtain a Tax Clearance Certificate.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Under current South African exchange control policy, if the Optionee is a South African resident, he or she may invest a 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Optionee remits funds out of South Korea to pay the Grant Price for Options, the remittance of funds must be confirmed by a foreign exchange bank in South Korea. This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7505"/>
                <wp:effectExtent l="0" t="0" r="0" b="0"/>
                <wp:wrapNone/>
                <wp:docPr id="284" name="Frame16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Option, the Optionee consents to participation in the Plan and acknowledges that he or she has received a copy of the Plan.</w:t>
      </w:r>
    </w:p>
    <w:p>
      <w:pPr>
        <w:pStyle w:val="TextBody"/>
        <w:bidi w:val="0"/>
        <w:spacing w:lineRule="auto" w:line="30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 </w:t>
      </w:r>
    </w:p>
    <w:p>
      <w:pPr>
        <w:pStyle w:val="TextBody"/>
        <w:bidi w:val="0"/>
        <w:spacing w:lineRule="auto" w:line="304" w:before="0" w:after="240"/>
        <w:jc w:val="left"/>
        <w:rPr/>
      </w:pPr>
      <w:r>
        <w:rPr>
          <w:rFonts w:ascii="Times New Roman;sans-serif" w:hAnsi="Times New Roman;sans-serif"/>
          <w:b w:val="false"/>
          <w:color w:val="000000"/>
          <w:sz w:val="22"/>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304"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7505"/>
                <wp:effectExtent l="0" t="0" r="0" b="0"/>
                <wp:wrapNone/>
                <wp:docPr id="285" name="Frame16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304" w:before="0" w:after="240"/>
        <w:jc w:val="left"/>
        <w:rPr/>
      </w:pPr>
      <w:r>
        <w:rPr>
          <w:rFonts w:ascii="Times New Roman;sans-serif" w:hAnsi="Times New Roman;sans-serif"/>
          <w:b w:val="false"/>
          <w:color w:val="000000"/>
          <w:sz w:val="22"/>
        </w:rPr>
        <w:t>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r>
        <w:rPr>
          <w:color w:val="000000"/>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holds 10% or more of the Company’s share capital, the Optionee must declare the acquisition, ownership and disposition of shares of Common Stock to the Spanish </w:t>
      </w:r>
      <w:r>
        <w:rPr>
          <w:rFonts w:ascii="Times New Roman;sans-serif" w:hAnsi="Times New Roman;sans-serif"/>
          <w:b w:val="false"/>
          <w:i/>
          <w:color w:val="000000"/>
          <w:sz w:val="22"/>
        </w:rPr>
        <w:t>Dirección General de Comercio e Inversiones</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DGCI</w:t>
      </w:r>
      <w:r>
        <w:rPr>
          <w:color w:val="000000"/>
        </w:rPr>
        <w:t>”</w:t>
      </w:r>
      <w:r>
        <w:rPr>
          <w:rFonts w:ascii="Times New Roman;sans-serif" w:hAnsi="Times New Roman;sans-serif"/>
          <w:b w:val="false"/>
          <w:color w:val="000000"/>
          <w:sz w:val="22"/>
        </w:rPr>
        <w:t>) of the Ministry of Economy and Competitiveness. The declaration (via Form 6) must be made in January for shares of Common Stock acquired or disposed of during the prior calendar year and/or for shares of Common Stock owned as of December 31 of the prior calendar year; provided, if the value of the shares of Common Stock acquired or sold exceeds €1,502,530, the declaration must be filed within one month of the acquisition or disposition of the shares of Common Stock, as applicable.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Optionee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SWAZILAND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7505"/>
                <wp:effectExtent l="0" t="0" r="0" b="0"/>
                <wp:wrapNone/>
                <wp:docPr id="286" name="Frame16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45</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this document nor any other materials relating to the Option (i) constitutes a prospectus according to articles 35 et seq. of the Swiss Federal Act on Financial Services (“FinSA”),</w:t>
      </w:r>
      <w:r>
        <w:rPr>
          <w:color w:val="000000"/>
        </w:rPr>
        <w:t xml:space="preserve"> </w:t>
      </w:r>
      <w:r>
        <w:rPr>
          <w:rFonts w:ascii="Times New Roman;sans-serif" w:hAnsi="Times New Roman;sans-serif"/>
          <w:b w:val="false"/>
          <w:color w:val="000000"/>
          <w:sz w:val="22"/>
        </w:rPr>
        <w:t>(ii)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Optionee hereby acknowledges that he or she has read and understood the terms regarding collection, processing 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and the shares of Common Stock to be issued pursuant to the Plan are available only to employees of the Mondelēz Group. The grant of the Option does not constitute a public offer of securities.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may acquire and remit foreign currency (including the Grant Price, proceeds from the sale of 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xml:space="preserve">. Notwithstanding anything to the contrary in the Agreement, due to regulatory requirements in Thailand, the Optionee will be required to pay the Grant Price by a cashless exercise through a licensed securities broker acceptable to the Company, such that all shares of Common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7505"/>
                <wp:effectExtent l="0" t="0" r="0" b="0"/>
                <wp:wrapNone/>
                <wp:docPr id="287" name="Frame17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46</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US$1,000,000 in a 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identification information and purposes of the transaction) to the receiving bank. If the Optionee fails to comply with these obligations, the Optionee may be subject to penalties assessed by the Bank of Thailand.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TÜRKIYE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Optionee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may be required to engage a Turkish financial intermediary to assist with the cash exercise of 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Optionees and is in the nature of providing equity 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7505"/>
                <wp:effectExtent l="0" t="0" r="0" b="0"/>
                <wp:wrapNone/>
                <wp:docPr id="288" name="Frame17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47</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8" w:before="0" w:after="240"/>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bidi w:val="0"/>
        <w:spacing w:lineRule="auto" w:line="288" w:before="0" w:after="240"/>
        <w:jc w:val="left"/>
        <w:rPr/>
      </w:pPr>
      <w:r>
        <w:rPr>
          <w:rFonts w:ascii="Times New Roman;sans-serif" w:hAnsi="Times New Roman;sans-serif"/>
          <w:b w:val="false"/>
          <w:color w:val="000000"/>
          <w:sz w:val="22"/>
        </w:rPr>
        <w:t>Without limitation to paragraph 4 of the Agreement, the Optionee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13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sell the Optionee's Personal Data or share it for cross-context behavioral advertising. If the Optionee would like a copy of the Company’s privacy policy, please contact a local human resources representative.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7505"/>
                <wp:effectExtent l="0" t="0" r="0" b="0"/>
                <wp:wrapNone/>
                <wp:docPr id="289" name="Frame17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48</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Tax Information. </w:t>
      </w:r>
      <w:r>
        <w:rPr>
          <w:rFonts w:ascii="Times New Roman;sans-serif" w:hAnsi="Times New Roman;sans-serif"/>
          <w:b w:val="false"/>
          <w:color w:val="000000"/>
          <w:sz w:val="22"/>
        </w:rPr>
        <w:t xml:space="preserve">The Option is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an incentive stock option within the meaning of the Code.</w:t>
      </w:r>
    </w:p>
    <w:p>
      <w:pPr>
        <w:pStyle w:val="TextBody"/>
        <w:bidi w:val="0"/>
        <w:spacing w:lineRule="auto" w:line="288" w:before="0" w:after="240"/>
        <w:jc w:val="left"/>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Optionee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Option or Common Stock) or other financial assets in an 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Optionee understands that the Data will be collected by the Company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Investment Representation</w:t>
      </w:r>
      <w:r>
        <w:rPr>
          <w:rFonts w:ascii="Times New Roman;sans-serif" w:hAnsi="Times New Roman;sans-serif"/>
          <w:b w:val="false"/>
          <w:color w:val="000000"/>
          <w:sz w:val="22"/>
        </w:rPr>
        <w:t>. As a condition of the grant of the Option, the Optionee acknowledges and agrees that any shares of Common Stock the Optionee may acquire upon exercise of the Option are acquired as and intended to be an investment rather than for the resale of the shares of Common Stock and conversion of such shares into foreign currency.</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exercise the Option or remit funds into Venezuela 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Optionee should consult with his or her personal legal advisor before accepting the Option to ensure compliance with current regulations.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granted under the Plan and the shares of Common Stock issued under the Plan are offered as a personal, private, exclusive transaction and are not subject to Venezuelan government securities regulations. The Option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7505"/>
                <wp:effectExtent l="0" t="0" r="0" b="0"/>
                <wp:wrapNone/>
                <wp:docPr id="290" name="Frame17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49</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49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regulatory requirements in Vietnam,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7505"/>
                <wp:effectExtent l="0" t="0" r="0" b="0"/>
                <wp:wrapNone/>
                <wp:docPr id="291" name="Frame17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9" w:before="0" w:after="0"/>
                        <w:jc w:val="left"/>
                        <w:rPr/>
                      </w:pPr>
                      <w:r>
                        <w:rPr>
                          <w:color w:val="000000"/>
                        </w:rPr>
                        <w:t>    </w:t>
                      </w:r>
                      <w:r>
                        <w:rPr>
                          <w:rFonts w:ascii="Times New Roman;sans-serif" w:hAnsi="Times New Roman;sans-serif"/>
                          <w:b w:val="false"/>
                          <w:color w:val="000000"/>
                          <w:sz w:val="18"/>
                        </w:rPr>
                        <w:t>50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10.5</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(2024-2026 Performance Cycle)</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individual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named in the Long-Term Incentive Grant Notice (the “</w:t>
      </w:r>
      <w:r>
        <w:rPr>
          <w:rFonts w:ascii="Times New Roman;sans-serif" w:hAnsi="Times New Roman;sans-serif"/>
          <w:b w:val="false"/>
          <w:color w:val="000000"/>
          <w:sz w:val="22"/>
          <w:u w:val="single"/>
        </w:rPr>
        <w:t>Notice</w:t>
      </w:r>
      <w:r>
        <w:rPr>
          <w:color w:val="000000"/>
        </w:rPr>
        <w:t>”</w:t>
      </w:r>
      <w:r>
        <w:rPr>
          <w:rFonts w:ascii="Times New Roman;sans-serif" w:hAnsi="Times New Roman;sans-serif"/>
          <w:b w:val="false"/>
          <w:color w:val="000000"/>
          <w:sz w:val="22"/>
        </w:rPr>
        <w:t>) a Long-Term Incentive Grant (the “</w:t>
      </w:r>
      <w:r>
        <w:rPr>
          <w:rFonts w:ascii="Times New Roman;sans-serif" w:hAnsi="Times New Roman;sans-serif"/>
          <w:b w:val="false"/>
          <w:color w:val="000000"/>
          <w:sz w:val="22"/>
          <w:u w:val="single"/>
        </w:rPr>
        <w:t>LTI Grant</w:t>
      </w:r>
      <w:r>
        <w:rPr>
          <w:color w:val="000000"/>
        </w:rPr>
        <w:t>”</w:t>
      </w:r>
      <w:r>
        <w:rPr>
          <w:rFonts w:ascii="Times New Roman;sans-serif" w:hAnsi="Times New Roman;sans-serif"/>
          <w:b w:val="false"/>
          <w:color w:val="000000"/>
          <w:sz w:val="22"/>
        </w:rPr>
        <w:t>) with respect to the Performance Cycle and Performance Goals set forth in the Notice, subject to the terms and provisions of the Notice, this Global Long-Term Incentive Grant Agreement, including any country-specific appendix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and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The LTI Grant is subject to the following terms and conditions (including the country-specific terms set forth in Appendix A to this Agreement):</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pStyle w:val="TextBody"/>
        <w:bidi w:val="0"/>
        <w:spacing w:lineRule="auto" w:line="288" w:before="0" w:after="24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r>
        <w:rPr>
          <w:color w:val="000000"/>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Affiliate</w:t>
      </w:r>
      <w:r>
        <w:rPr>
          <w:rFonts w:ascii="Times New Roman;sans-serif" w:hAnsi="Times New Roman;sans-serif"/>
          <w:b w:val="false"/>
          <w:color w:val="000000"/>
          <w:sz w:val="22"/>
        </w:rPr>
        <w:t>. “Affiliate” means any entity that directly or indirectly through one or more intermediaries controls or is controlled by the Company, in each case, as determined by the Committee.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 “Disability” means permanent and total disability as determined under procedures established by the Company for purposes of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LTI Award Payout</w:t>
      </w:r>
      <w:r>
        <w:rPr>
          <w:rFonts w:ascii="Times New Roman;sans-serif" w:hAnsi="Times New Roman;sans-serif"/>
          <w:b w:val="false"/>
          <w:color w:val="000000"/>
          <w:sz w:val="22"/>
        </w:rPr>
        <w:t xml:space="preserve">.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 </w:t>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16890"/>
                <wp:effectExtent l="0" t="0" r="0" b="0"/>
                <wp:wrapNone/>
                <wp:docPr id="292" name="Frame175"/>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LTI Grant Target</w:t>
      </w:r>
      <w:r>
        <w:rPr>
          <w:rFonts w:ascii="Times New Roman;sans-serif" w:hAnsi="Times New Roman;sans-serif"/>
          <w:b w:val="false"/>
          <w:color w:val="000000"/>
          <w:sz w:val="22"/>
        </w:rPr>
        <w:t>. “LTI Grant Target” means the target number of shares of Common Stock or amount set forth in the Notice.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Maximum Goal Factor</w:t>
      </w:r>
      <w:r>
        <w:rPr>
          <w:rFonts w:ascii="Times New Roman;sans-serif" w:hAnsi="Times New Roman;sans-serif"/>
          <w:b w:val="false"/>
          <w:color w:val="000000"/>
          <w:sz w:val="22"/>
        </w:rPr>
        <w:t>. “Maximum Goal Factor” means the maximum percentage set forth in the Notice.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Participation Period Factor</w:t>
      </w:r>
      <w:r>
        <w:rPr>
          <w:rFonts w:ascii="Times New Roman;sans-serif" w:hAnsi="Times New Roman;sans-serif"/>
          <w:b w:val="false"/>
          <w:color w:val="000000"/>
          <w:sz w:val="22"/>
        </w:rPr>
        <w:t xml:space="preserve">.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Performance Cycle</w:t>
      </w:r>
      <w:r>
        <w:rPr>
          <w:rFonts w:ascii="Times New Roman;sans-serif" w:hAnsi="Times New Roman;sans-serif"/>
          <w:b w:val="false"/>
          <w:color w:val="000000"/>
          <w:sz w:val="22"/>
        </w:rPr>
        <w:t xml:space="preserve">. “Performance Cycle” means the performance period set forth in the Notice over which the attainment of the Performance Goals will be measured for the purpose of determining the LTI Award Payout.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Performance Goal Attainment Factor</w:t>
      </w:r>
      <w:r>
        <w:rPr>
          <w:rFonts w:ascii="Times New Roman;sans-serif" w:hAnsi="Times New Roman;sans-serif"/>
          <w:b w:val="false"/>
          <w:color w:val="000000"/>
          <w:sz w:val="22"/>
        </w:rPr>
        <w:t xml:space="preserve">. “Performance Goal Attainment Factor” means a percentage ranging from 0% to the Maximum Goal Factor representing the level at which the Performance Goals have been attained as determined by the Committee.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xml:space="preserve">.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 </w:t>
      </w:r>
    </w:p>
    <w:p>
      <w:pPr>
        <w:pStyle w:val="TextBody"/>
        <w:bidi w:val="0"/>
        <w:spacing w:lineRule="auto" w:line="288" w:before="0" w:after="24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Incorporation of Terms of Plan</w:t>
      </w:r>
      <w:r>
        <w:rPr>
          <w:rFonts w:ascii="Times New Roman;sans-serif" w:hAnsi="Times New Roman;sans-serif"/>
          <w:b w:val="false"/>
          <w:color w:val="000000"/>
          <w:sz w:val="22"/>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pStyle w:val="TextBody"/>
        <w:bidi w:val="0"/>
        <w:spacing w:lineRule="auto" w:line="288" w:before="0" w:after="24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Vesting and Forfeiture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Forfeiture</w:t>
      </w:r>
      <w:r>
        <w:rPr>
          <w:rFonts w:ascii="Times New Roman;sans-serif" w:hAnsi="Times New Roman;sans-serif"/>
          <w:b w:val="false"/>
          <w:color w:val="000000"/>
          <w:sz w:val="22"/>
        </w:rPr>
        <w:t>. Unless determined otherwise by the Committee or except as expressly provided in this Agreement, if the Participant has not been continuously and actively employed with a member of the Mondelēz Group that employs the Participant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active employment would not include a period of “garden leave” or similar period pursuant to the employment laws of the country where the Participant resides), unless otherwise determined by the Company on a country-by-country basis. Unless otherwise </w:t>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16890"/>
                <wp:effectExtent l="0" t="0" r="0" b="0"/>
                <wp:wrapNone/>
                <wp:docPr id="293" name="Frame176"/>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Death/Disability</w:t>
      </w:r>
      <w:r>
        <w:rPr>
          <w:rFonts w:ascii="Times New Roman;sans-serif" w:hAnsi="Times New Roman;sans-serif"/>
          <w:b w:val="false"/>
          <w:color w:val="000000"/>
          <w:sz w:val="22"/>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w:t>
      </w:r>
      <w:r>
        <w:rPr>
          <w:color w:val="000000"/>
        </w:rPr>
        <w:t xml:space="preserve"> </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2"/>
        </w:rPr>
        <w:t>in the event that the Participant’s Retirement occurs because the Participant is age 65 or older with at least five (5)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181st day following the Grant Date, the Participant shall remain eligible to receive a LTI Award Payout with a Participation Period Factor equal to 100% (the LTI Award Payout will not be prorated) based on actual attainment of the Performance Goals, payable in accordance with the payment timing provisions set forth in paragraph 4(a)(iii) hereof</w:t>
      </w:r>
      <w:r>
        <w:rPr>
          <w:rFonts w:ascii="Times New Roman;sans-serif" w:hAnsi="Times New Roman;sans-serif"/>
          <w:b w:val="false"/>
          <w:color w:val="000000"/>
          <w:sz w:val="24"/>
        </w:rPr>
        <w:t>.</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(B)</w:t>
      </w:r>
      <w:r>
        <w:rPr>
          <w:rFonts w:ascii="Times New Roman;sans-serif" w:hAnsi="Times New Roman;sans-serif"/>
          <w:b w:val="false"/>
          <w:color w:val="000000"/>
          <w:sz w:val="22"/>
        </w:rPr>
        <w:t>in the event that the Employee's Retirement occurs because the Employee is age 55 or older with at least ten (10)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181st day following the Grant Date, the Participant shall remain eligible to receive a prorated LTI Award Payout (calculated pursuant to paragraph 1(c) of this Agreement) based on actual attainment of the Performance Goals, payable in accordance with the payment timing provisions set forth in paragraph 4(a)(iii) hereof.</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purposes of this section 3(b), any prorated LTI Award Payout will be calculated by applying the Participant’s Participation Period Factor as determined in the sole discretion of the Committee, subject to compliance with the payment timing provisions set forth in paragraph 4 hereof.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pStyle w:val="TextBody"/>
        <w:bidi w:val="0"/>
        <w:spacing w:lineRule="auto" w:line="288" w:before="0" w:after="24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Form and Time of Payment</w:t>
      </w:r>
      <w:r>
        <w:rPr>
          <w:rFonts w:ascii="Times New Roman;sans-serif" w:hAnsi="Times New Roman;sans-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16890"/>
                <wp:effectExtent l="0" t="0" r="0" b="0"/>
                <wp:wrapNone/>
                <wp:docPr id="294" name="Frame177"/>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Form of Payment</w:t>
      </w:r>
      <w:r>
        <w:rPr>
          <w:rFonts w:ascii="Times New Roman;sans-serif" w:hAnsi="Times New Roman;sans-serif"/>
          <w:b w:val="false"/>
          <w:color w:val="000000"/>
          <w:sz w:val="22"/>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Certification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Performance Goal Attainment Factor Determination</w:t>
      </w:r>
      <w:r>
        <w:rPr>
          <w:rFonts w:ascii="Times New Roman;sans-serif" w:hAnsi="Times New Roman;sans-serif"/>
          <w:b w:val="false"/>
          <w:color w:val="000000"/>
          <w:sz w:val="22"/>
        </w:rPr>
        <w:t xml:space="preserve">.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 </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Payment Timing</w:t>
      </w:r>
      <w:r>
        <w:rPr>
          <w:rFonts w:ascii="Times New Roman;sans-serif" w:hAnsi="Times New Roman;sans-serif"/>
          <w:b w:val="false"/>
          <w:color w:val="000000"/>
          <w:sz w:val="22"/>
        </w:rPr>
        <w:t xml:space="preserve">. Subject to the terms of this Agreement, including Section 22, the Award shall be paid as follows: </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2"/>
        </w:rPr>
        <w:t>The LTI Award Payout, including a payout upon a Participant’s Retirement described under paragraph 3(b)(ii)(A)</w:t>
      </w:r>
      <w:r>
        <w:rPr>
          <w:color w:val="000000"/>
        </w:rPr>
        <w:t xml:space="preserve"> </w:t>
      </w:r>
      <w:r>
        <w:rPr>
          <w:rFonts w:ascii="Times New Roman;sans-serif" w:hAnsi="Times New Roman;sans-serif"/>
          <w:b w:val="false"/>
          <w:color w:val="000000"/>
          <w:sz w:val="22"/>
        </w:rPr>
        <w:t>hereof or paragraph 3(b)(ii)(B)</w:t>
      </w:r>
      <w:r>
        <w:rPr>
          <w:color w:val="000000"/>
        </w:rPr>
        <w:t xml:space="preserve"> </w:t>
      </w:r>
      <w:r>
        <w:rPr>
          <w:rFonts w:ascii="Times New Roman;sans-serif" w:hAnsi="Times New Roman;sans-serif"/>
          <w:b w:val="false"/>
          <w:color w:val="000000"/>
          <w:sz w:val="22"/>
        </w:rPr>
        <w:t xml:space="preserve">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 </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An Award that becomes payable under paragraph 3(b)(i) hereof in connection with a Participant’s death shall be paid within 75 days following the Participant’s death. </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(C)</w:t>
      </w:r>
      <w:r>
        <w:rPr>
          <w:rFonts w:ascii="Times New Roman;sans-serif" w:hAnsi="Times New Roman;sans-serif"/>
          <w:b w:val="false"/>
          <w:color w:val="000000"/>
          <w:sz w:val="22"/>
        </w:rPr>
        <w:t>An Award that becomes payable in connection with the Participant’s termination resulting from Disability as described under paragraph 3(b)(i) shall be paid within 75 days following such Disability, provided that if the Participant is subject to taxation under the laws of the U.S., the Award is considered Deferred Compensation (as defined in Section 22 hereof) and is payable upon a termination resulting from Disability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Conditions to Payment of an Award</w:t>
      </w:r>
      <w:r>
        <w:rPr>
          <w:rFonts w:ascii="Times New Roman;sans-serif" w:hAnsi="Times New Roman;sans-serif"/>
          <w:b w:val="false"/>
          <w:color w:val="000000"/>
          <w:sz w:val="22"/>
        </w:rPr>
        <w:t>. Notwithstanding any other provision of this Agreement (including without limitation paragraph 3(a) hereof):</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The Company shall not be required to issue or deliver any certificate or certificates (whether in electronic or other form) for any shares of Common Stock in payment of the Award prior to the fulfillment of all of the following conditions: (A) the admission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16890"/>
                <wp:effectExtent l="0" t="0" r="0" b="0"/>
                <wp:wrapNone/>
                <wp:docPr id="295" name="Frame178"/>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Payment Amount</w:t>
      </w:r>
      <w:r>
        <w:rPr>
          <w:rFonts w:ascii="Times New Roman;sans-serif" w:hAnsi="Times New Roman;sans-serif"/>
          <w:b w:val="false"/>
          <w:color w:val="000000"/>
          <w:sz w:val="22"/>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pStyle w:val="TextBody"/>
        <w:bidi w:val="0"/>
        <w:spacing w:lineRule="auto" w:line="288" w:before="0" w:after="24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Treatment Upon a Change in Control</w:t>
      </w:r>
      <w:r>
        <w:rPr>
          <w:rFonts w:ascii="Times New Roman;sans-serif" w:hAnsi="Times New Roman;sans-serif"/>
          <w:b w:val="false"/>
          <w:color w:val="000000"/>
          <w:sz w:val="22"/>
        </w:rPr>
        <w:t>. In the event of a Change in Control (as defined in Section 6(b) of the Plan), the LTI Grant is subject to the terms provided in Section 6 of the Plan.</w:t>
      </w:r>
    </w:p>
    <w:p>
      <w:pPr>
        <w:pStyle w:val="TextBody"/>
        <w:bidi w:val="0"/>
        <w:spacing w:lineRule="auto" w:line="288" w:before="0" w:after="24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16890"/>
                <wp:effectExtent l="0" t="0" r="0" b="0"/>
                <wp:wrapNone/>
                <wp:docPr id="296" name="Frame179"/>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uto" w:line="288" w:before="0" w:after="240"/>
        <w:jc w:val="left"/>
        <w:rPr/>
      </w:pPr>
      <w:r>
        <w:rPr>
          <w:rFonts w:ascii="Times New Roman;sans-serif" w:hAnsi="Times New Roman;sans-serif"/>
          <w:b w:val="false"/>
          <w:color w:val="000000"/>
          <w:sz w:val="22"/>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or unearned Grants (including any unearned portion of the LTI Grant) shall be immediately forfeited;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w:t>
      </w: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16890"/>
                <wp:effectExtent l="0" t="0" r="0" b="0"/>
                <wp:wrapNone/>
                <wp:docPr id="297" name="Frame180"/>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    The Participant is hereby advised in writing to consult with an attorney before entering into the covenants outlined in this Section 6.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Section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16890"/>
                <wp:effectExtent l="0" t="0" r="0" b="0"/>
                <wp:wrapNone/>
                <wp:docPr id="298" name="Frame181"/>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Participant's attorney. The Participant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p>
    <w:p>
      <w:pPr>
        <w:pStyle w:val="TextBody"/>
        <w:bidi w:val="0"/>
        <w:spacing w:lineRule="auto" w:line="288" w:before="0" w:after="24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Participant hereby expressly acknowledges and agrees that the Company shall have the right to reduce, cancel, or withhold against outstanding, unvested, vested, or future cash or equity-based compensation owed or due to the Participant, to the maximum extent permitted under applicable law. No such recovery will be an event giving rise to a right to resign for Good Reason or be deemed a “constructive termination” (or any similar term) as such terms are used in any agreement between the Participant and the Company or under any severance plans applicable to the Participant.</w:t>
      </w:r>
    </w:p>
    <w:p>
      <w:pPr>
        <w:pStyle w:val="TextBody"/>
        <w:bidi w:val="0"/>
        <w:spacing w:lineRule="auto" w:line="288" w:before="0" w:after="24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authorized to satisfy the withholding for any or all Tax-Related Items arising from the vesting or payment of any Award relating to the LTI Grant or sale of shares of Common Stock </w:t>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16890"/>
                <wp:effectExtent l="0" t="0" r="0" b="0"/>
                <wp:wrapNone/>
                <wp:docPr id="299" name="Frame182"/>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 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16890"/>
                <wp:effectExtent l="0" t="0" r="0" b="0"/>
                <wp:wrapNone/>
                <wp:docPr id="300" name="Frame183"/>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By participating in the Plan and in exchange for receiving the LTI Grant, the Participant acknowledges, understands and agrees that: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LTI Grant is exceptional, voluntary and occasional and does not create any contractual or other right to receive future awards, or benefits in lieu of LTI Grants, even if LTI Grants have been made in the past;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LTI Grants, if any, will be at the sole discretion of the Committee;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Participant’s participation in the Plan is voluntary;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LTI Grant and the shares of Common Stock, and the income and value of same, subject to the LTI Grant are not intended to replace any pension rights or compensation;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LTI Grant and the shares of Common Stock subject to the LTI Grant, and the income and value of same, are not part of normal or expected compensation or salary for any purpose;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no claim or entitlement to compensation or damages shall arise from forfeiture of the LTI Grant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acquired under the Plan</w:t>
      </w:r>
      <w:r>
        <w:rPr>
          <w:color w:val="000000"/>
        </w:rPr>
        <w:t xml:space="preserve"> </w:t>
      </w:r>
      <w:r>
        <w:rPr>
          <w:rFonts w:ascii="Times New Roman;sans-serif" w:hAnsi="Times New Roman;sans-serif"/>
          <w:b w:val="false"/>
          <w:color w:val="000000"/>
          <w:sz w:val="22"/>
        </w:rPr>
        <w:t>resulting from (a)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r>
        <w:rPr>
          <w:color w:val="000000"/>
          <w:shd w:fill="FFFFFF" w:val="clear"/>
        </w:rPr>
        <w:t xml:space="preserve"> </w:t>
      </w:r>
      <w:r>
        <w:rPr>
          <w:rFonts w:ascii="Times New Roman;sans-serif" w:hAnsi="Times New Roman;sans-serif"/>
          <w:b w:val="false"/>
          <w:color w:val="000000"/>
          <w:sz w:val="22"/>
          <w:shd w:fill="FFFFFF" w:val="clear"/>
        </w:rPr>
        <w:t xml:space="preserve">and/or (b) the </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16890"/>
                <wp:effectExtent l="0" t="0" r="0" b="0"/>
                <wp:wrapNone/>
                <wp:docPr id="301" name="Frame184"/>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shd w:fill="FFFFFF" w:val="clear"/>
        </w:rPr>
        <w:t>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uto" w:line="288" w:before="0" w:after="240"/>
        <w:ind w:left="0" w:right="0" w:hanging="23"/>
        <w:jc w:val="left"/>
        <w:rPr/>
      </w:pPr>
      <w:r>
        <w:rPr>
          <w:rFonts w:ascii="Times New Roman;sans-serif" w:hAnsi="Times New Roman;sans-serif"/>
          <w:b w:val="false"/>
          <w:color w:val="000000"/>
          <w:sz w:val="22"/>
        </w:rPr>
        <w:t>10.</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Participant hereby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Participant’s participation in the Plan.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 </w:t>
      </w:r>
    </w:p>
    <w:p>
      <w:pPr>
        <w:pStyle w:val="TextBody"/>
        <w:bidi w:val="0"/>
        <w:spacing w:lineRule="auto" w:line="288" w:before="0" w:after="240"/>
        <w:jc w:val="left"/>
        <w:rPr/>
      </w:pPr>
      <w:r>
        <w:rPr>
          <w:rFonts w:ascii="Times New Roman;sans-serif" w:hAnsi="Times New Roman;sans-serif"/>
          <w:b/>
          <w:i/>
          <w:color w:val="000000"/>
          <w:sz w:val="22"/>
        </w:rPr>
        <w:t>The Participant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16890"/>
                <wp:effectExtent l="0" t="0" r="0" b="0"/>
                <wp:wrapNone/>
                <wp:docPr id="302" name="Frame185"/>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pStyle w:val="TextBody"/>
        <w:bidi w:val="0"/>
        <w:spacing w:lineRule="auto" w:line="288" w:before="0" w:after="24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Nontransferability of LTI Grant</w:t>
      </w:r>
      <w:r>
        <w:rPr>
          <w:rFonts w:ascii="Times New Roman;sans-serif" w:hAnsi="Times New Roman;sans-serif"/>
          <w:b w:val="false"/>
          <w:color w:val="000000"/>
          <w:sz w:val="22"/>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pStyle w:val="TextBody"/>
        <w:bidi w:val="0"/>
        <w:spacing w:lineRule="auto" w:line="288" w:before="0" w:after="24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Rights as Shareholder</w:t>
      </w:r>
      <w:r>
        <w:rPr>
          <w:rFonts w:ascii="Times New Roman;sans-serif" w:hAnsi="Times New Roman;sans-serif"/>
          <w:b w:val="false"/>
          <w:color w:val="000000"/>
          <w:sz w:val="22"/>
        </w:rPr>
        <w:t xml:space="preserve">.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provide for the accrual of dividend equivalents on the outstanding LTI Grant which shall be subject to the same vesting restrictions and conditions as the LTI Grant and may be subject to such additional restrictions and conditions as the Committee may establish. </w:t>
      </w:r>
    </w:p>
    <w:p>
      <w:pPr>
        <w:pStyle w:val="TextBody"/>
        <w:bidi w:val="0"/>
        <w:spacing w:lineRule="auto" w:line="288" w:before="0" w:after="240"/>
        <w:jc w:val="left"/>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pStyle w:val="TextBody"/>
        <w:bidi w:val="0"/>
        <w:spacing w:lineRule="auto" w:line="288" w:before="0" w:after="24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NO GUARANTEE OF CONTINUED EMPLOYMENT</w:t>
      </w:r>
      <w:r>
        <w:rPr>
          <w:rFonts w:ascii="Times New Roman;sans-serif" w:hAnsi="Times New Roman;sans-serif"/>
          <w:b w:val="false"/>
          <w:color w:val="000000"/>
          <w:sz w:val="22"/>
        </w:rPr>
        <w:t xml:space="preserve">.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16890"/>
                <wp:effectExtent l="0" t="0" r="0" b="0"/>
                <wp:wrapNone/>
                <wp:docPr id="303" name="Frame186"/>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pStyle w:val="TextBody"/>
        <w:bidi w:val="0"/>
        <w:spacing w:lineRule="auto" w:line="288" w:before="0" w:after="24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pStyle w:val="TextBody"/>
        <w:bidi w:val="0"/>
        <w:spacing w:lineRule="auto" w:line="288" w:before="0" w:after="24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pStyle w:val="TextBody"/>
        <w:bidi w:val="0"/>
        <w:spacing w:lineRule="auto" w:line="288" w:before="0" w:after="24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Administration and Interpretation</w:t>
      </w:r>
      <w:r>
        <w:rPr>
          <w:rFonts w:ascii="Times New Roman;sans-serif" w:hAnsi="Times New Roman;sans-serif"/>
          <w:b w:val="false"/>
          <w:color w:val="000000"/>
          <w:sz w:val="22"/>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16890"/>
                <wp:effectExtent l="0" t="0" r="0" b="0"/>
                <wp:wrapNone/>
                <wp:docPr id="304" name="Frame187"/>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captions used in the Notice and this Agreement are inserted for convenience and shall not be deemed a part of the LTI Grant for construction or interpretation.</w:t>
      </w:r>
    </w:p>
    <w:p>
      <w:pPr>
        <w:pStyle w:val="TextBody"/>
        <w:bidi w:val="0"/>
        <w:spacing w:lineRule="auto" w:line="288" w:before="0" w:after="24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pStyle w:val="TextBody"/>
        <w:bidi w:val="0"/>
        <w:spacing w:lineRule="auto" w:line="288" w:before="0" w:after="24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pStyle w:val="TextBody"/>
        <w:bidi w:val="0"/>
        <w:spacing w:lineRule="auto" w:line="288" w:before="0" w:after="24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pStyle w:val="TextBody"/>
        <w:bidi w:val="0"/>
        <w:spacing w:lineRule="auto" w:line="288" w:before="0" w:after="24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This LTI Grant is intended to be exempt from, or otherwise comply with, Section 409A of the Code and shall be interpreted, operated and administered in a manner consistent with 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in the Agreement, if the Award is considered nonqualified deferred compensation subject to Section 409A of the Code (“Deferred Compensation”) and is settled on or on a date that is by reference to the Participant’s “separation 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 </w:t>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16890"/>
                <wp:effectExtent l="0" t="0" r="0" b="0"/>
                <wp:wrapNone/>
                <wp:docPr id="305" name="Frame188"/>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No Advice Regarding LTI Grant</w:t>
      </w:r>
      <w:r>
        <w:rPr>
          <w:rFonts w:ascii="Times New Roman;sans-serif" w:hAnsi="Times New Roman;sans-serif"/>
          <w:b w:val="false"/>
          <w:color w:val="000000"/>
          <w:sz w:val="22"/>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pStyle w:val="TextBody"/>
        <w:bidi w:val="0"/>
        <w:spacing w:lineRule="auto" w:line="288" w:before="0" w:after="24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88" w:before="0" w:after="24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pStyle w:val="TextBody"/>
        <w:bidi w:val="0"/>
        <w:spacing w:lineRule="auto" w:line="288" w:before="0" w:after="24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88" w:before="0" w:after="24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jc w:val="left"/>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Participant may be subject to insider trading and/or market abuse laws, which affect the Participant’s ability to accept, acquire, sell or</w:t>
      </w:r>
      <w:r>
        <w:rPr>
          <w:color w:val="000000"/>
        </w:rPr>
        <w:t xml:space="preserve"> </w:t>
      </w:r>
      <w:r>
        <w:rPr>
          <w:rFonts w:ascii="Times New Roman;sans-serif" w:hAnsi="Times New Roman;sans-serif"/>
          <w:b w:val="false"/>
          <w:color w:val="000000"/>
          <w:sz w:val="22"/>
        </w:rPr>
        <w:t>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16890"/>
                <wp:effectExtent l="0" t="0" r="0" b="0"/>
                <wp:wrapNone/>
                <wp:docPr id="306" name="Frame189"/>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In addition, the Participant agrees to take any and all actions required by the Company, any other entity in the Mondelēz Group or the local laws, rules and regulations in the Participant’s country of residence (and country of employment, if different) that may be required to comply with such laws, rules and regulations. The Participant acknowledges that it is the Participant’s responsibility to be compliant with such regulations, and the Participant understands and agrees that the Participant should consult his or her personal legal advisor for any details.</w:t>
      </w:r>
    </w:p>
    <w:p>
      <w:pPr>
        <w:pStyle w:val="TextBody"/>
        <w:bidi w:val="0"/>
        <w:spacing w:lineRule="auto" w:line="288" w:before="0" w:after="240"/>
        <w:jc w:val="left"/>
        <w:rPr/>
      </w:pPr>
      <w:r>
        <w:rPr>
          <w:rFonts w:ascii="Times New Roman;sans-serif" w:hAnsi="Times New Roman;sans-serif"/>
          <w:b w:val="false"/>
          <w:color w:val="000000"/>
          <w:sz w:val="22"/>
        </w:rPr>
        <w:t>30.</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16890"/>
                <wp:effectExtent l="0" t="0" r="0" b="0"/>
                <wp:wrapNone/>
                <wp:docPr id="307" name="Frame190"/>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as of the date of the Notice. </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Laura Stein </w:t>
        <w:br/>
        <w:t>Executive Vice President,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 Corporate Secretary</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516890"/>
                <wp:effectExtent l="0" t="0" r="0" b="0"/>
                <wp:wrapNone/>
                <wp:docPr id="308" name="Frame191"/>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uto" w:line="288" w:before="288"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THE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pStyle w:val="TextBody"/>
        <w:bidi w:val="0"/>
        <w:spacing w:lineRule="auto" w:line="288" w:before="28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2024.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pStyle w:val="TextBody"/>
        <w:bidi w:val="0"/>
        <w:spacing w:lineRule="auto" w:line="288" w:before="324"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516890"/>
                <wp:effectExtent l="0" t="0" r="0" b="0"/>
                <wp:wrapNone/>
                <wp:docPr id="309" name="Frame192"/>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EUROPEAN UNION / EUROPEAN ECONOMIC AREA, SWITZERLAND AND THE UNITED KINGDOM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10 of the Agreement:</w:t>
      </w:r>
    </w:p>
    <w:p>
      <w:pPr>
        <w:pStyle w:val="TextBody"/>
        <w:bidi w:val="0"/>
        <w:spacing w:lineRule="auto" w:line="288"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 </w:t>
      </w:r>
    </w:p>
    <w:p>
      <w:pPr>
        <w:pStyle w:val="TextBody"/>
        <w:bidi w:val="0"/>
        <w:spacing w:lineRule="auto" w:line="288"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 </w:t>
      </w:r>
    </w:p>
    <w:p>
      <w:pPr>
        <w:pStyle w:val="TextBody"/>
        <w:bidi w:val="0"/>
        <w:spacing w:lineRule="auto" w:line="288"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18185"/>
                <wp:effectExtent l="0" t="0" r="0" b="0"/>
                <wp:wrapNone/>
                <wp:docPr id="310" name="Frame19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PricewaterhouseCoopers LLP or KPMG LLP with such agreement being a condition to the Participant’s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rPr>
        <w:t xml:space="preserve">The Participant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lineRule="auto" w:line="288"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6 of the Agreement will not apply to Argentinian Participants.</w:t>
      </w:r>
    </w:p>
    <w:p>
      <w:pPr>
        <w:pStyle w:val="TextBody"/>
        <w:bidi w:val="0"/>
        <w:spacing w:lineRule="auto" w:line="288"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9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Participant acknowledges and agrees that such benefits shall not accrue more frequently than on each vesting date.</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18185"/>
                <wp:effectExtent l="0" t="0" r="0" b="0"/>
                <wp:wrapNone/>
                <wp:docPr id="311" name="Frame19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the LTI Grant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xml:space="preserve">). Neither this Agreement nor any other offering material related to the LTI Grant nor the underlying shares of Common Stock may be utilized in connection with any general offering to the public in Argentina.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is solely responsible for complying with the exchange control rules that may apply in 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report holdings of any equity interest in a foreign company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shd w:fill="FFFFFF" w:val="clear"/>
        </w:rPr>
        <w:t xml:space="preserve">Securities Law Disclosure. </w:t>
      </w:r>
      <w:r>
        <w:rPr>
          <w:rFonts w:ascii="Times New Roman;sans-serif" w:hAnsi="Times New Roman;sans-serif"/>
          <w:b w:val="false"/>
          <w:color w:val="000000"/>
          <w:sz w:val="22"/>
          <w:shd w:fill="FFFFFF" w:val="clear"/>
        </w:rPr>
        <w:t xml:space="preserve">This offer is being made under Division 1A, Part 7.12 of the Corporations Act 2001 (Cth). Please note that if the Participant offers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for sale to a person or entity resident in Australia, the offer may be subject to disclosure requirements under Australian law. The Participant should obtain legal advice on the Participant’s disclosure obligations prior to making any such offer.</w:t>
      </w:r>
    </w:p>
    <w:p>
      <w:pPr>
        <w:pStyle w:val="TextBody"/>
        <w:bidi w:val="0"/>
        <w:spacing w:lineRule="auto" w:line="288" w:before="0" w:after="240"/>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Participant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Participant’s behalf, otherwise the Participant will be responsible for complying with any exchange control reporting requirements.</w:t>
      </w:r>
    </w:p>
    <w:p>
      <w:pPr>
        <w:pStyle w:val="TextBody"/>
        <w:bidi w:val="0"/>
        <w:spacing w:lineRule="auto" w:line="288"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18185"/>
                <wp:effectExtent l="0" t="0" r="0" b="0"/>
                <wp:wrapNone/>
                <wp:docPr id="312" name="Frame19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88" w:before="0" w:after="240"/>
        <w:jc w:val="left"/>
        <w:rPr/>
      </w:pPr>
      <w:r>
        <w:rPr>
          <w:rFonts w:ascii="Times New Roman;sans-serif" w:hAnsi="Times New Roman;sans-serif"/>
          <w:b w:val="false"/>
          <w:color w:val="000000"/>
          <w:sz w:val="22"/>
        </w:rPr>
        <w:t>If the Participant sells shares of Common Stock, or receives any cash dividends, the Participant may have exchange control obligations if the Participant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pStyle w:val="TextBody"/>
        <w:bidi w:val="0"/>
        <w:spacing w:lineRule="auto" w:line="288" w:before="0" w:after="240"/>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If the value of securities held in a Belgian or foreign securities account exceeds EUR 1 million, a new “annual securities accounts tax” applies. Belgian residents should consult with their personal tax advisor regarding the new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and receiving the LTI Grant, the Participant acknowledges that he or she agrees to comply with applicable Brazilian laws and pay any and all applicable Tax-Related Items associated with the vesting of the LTI Grant and the payout or sale of any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 xml:space="preserve">By accepting the LTI Grant, the Participant understands, acknowledges and agrees that, for all legal purposes (i) the Participant is making an investment decision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18185"/>
                <wp:effectExtent l="0" t="0" r="0" b="0"/>
                <wp:wrapNone/>
                <wp:docPr id="313" name="Frame19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value of the underlying shares of Common Stock are not fixed and may increase or decrease in value over the vesting period without compensation to the Employee.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if the total sum of all such receivables and securities equals or exceeds BGN50,000 as of the previous calendar year end. The reports are due by March 31.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contact his or her bank in Bulgaria for additional information regarding these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LTI Grants to employees resident in Canada shall be paid in shares of Common Stock only.</w:t>
      </w:r>
    </w:p>
    <w:p>
      <w:pPr>
        <w:pStyle w:val="TextBody"/>
        <w:bidi w:val="0"/>
        <w:spacing w:lineRule="auto" w:line="288" w:before="0" w:after="240"/>
        <w:jc w:val="left"/>
        <w:rPr/>
      </w:pPr>
      <w:r>
        <w:rPr>
          <w:rFonts w:ascii="Times New Roman;sans-serif" w:hAnsi="Times New Roman;sans-serif"/>
          <w:b/>
          <w:color w:val="000000"/>
          <w:sz w:val="22"/>
        </w:rPr>
        <w:t xml:space="preserve">Termination of Employment. </w:t>
      </w:r>
      <w:r>
        <w:rPr>
          <w:rFonts w:ascii="Times New Roman;sans-serif" w:hAnsi="Times New Roman;sans-serif"/>
          <w:b w:val="false"/>
          <w:color w:val="000000"/>
          <w:sz w:val="22"/>
        </w:rPr>
        <w:t>The following provision supplements paragraph 3(b)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 terminated, or (2) the date the Participant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18185"/>
                <wp:effectExtent l="0" t="0" r="0" b="0"/>
                <wp:wrapNone/>
                <wp:docPr id="314" name="Frame19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determine when the Participant is no longer actively employed or providing services and the termination date for purposes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The Participant will not earn or be entitled to pro-rated vesting for that portion of time before the date on which the Participant's right to vest terminates or if the vesting date falls after the end of the Participant’s statutory notice period, nor will the Participant be entitled to any compensation for lost vesting.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Participants resident in Quebec:</w:t>
      </w:r>
    </w:p>
    <w:p>
      <w:pPr>
        <w:pStyle w:val="TextBody"/>
        <w:bidi w:val="0"/>
        <w:spacing w:lineRule="auto" w:line="288" w:before="0" w:after="240"/>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10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acknowledges and agrees that the Participant’s personal information, including sensitive personal information, may be transferred or disclosed outside of the Province of Quebec, including to the United States. The Participant further authorizes the Mondelēz Group to record such information and to keep such information in his or her employee file. The Participant also acknowledges and authorizes the Company and any subsidiary or affiliate or other parties involved in the administration of the Plan to use technology for profiling purposes and to make automated decisions that may have an impact on the Participant or the administration of the Plan.</w:t>
      </w:r>
    </w:p>
    <w:p>
      <w:pPr>
        <w:pStyle w:val="TextBody"/>
        <w:bidi w:val="0"/>
        <w:spacing w:lineRule="auto" w:line="288" w:before="0" w:after="240"/>
        <w:jc w:val="left"/>
        <w:rPr/>
      </w:pPr>
      <w:r>
        <w:rPr>
          <w:rFonts w:ascii="Times New Roman;sans-serif" w:hAnsi="Times New Roman;sans-serif"/>
          <w:b/>
          <w:color w:val="000000"/>
          <w:sz w:val="22"/>
        </w:rPr>
        <w:t xml:space="preserve">Language. </w:t>
      </w:r>
      <w:r>
        <w:rPr>
          <w:rFonts w:ascii="Times New Roman;sans-serif" w:hAnsi="Times New Roman;sans-serif"/>
          <w:b w:val="false"/>
          <w:color w:val="000000"/>
          <w:sz w:val="22"/>
        </w:rPr>
        <w:t xml:space="preserve">A French translation of the Plan and the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Participant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The Participant is required to report any specified foreign property annually on Form T1135 (Foreign Income Verification Statement) if the total cost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18185"/>
                <wp:effectExtent l="0" t="0" r="0" b="0"/>
                <wp:wrapNone/>
                <wp:docPr id="315" name="Frame19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xml:space="preserve">)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constitutes a private offering of securities in Chile effective as of the Grant Date. The LTI Grant is made subject to general ruling N° 336 of the Chilean Superintendence of Securities and Insurance (“</w:t>
      </w:r>
      <w:r>
        <w:rPr>
          <w:rFonts w:ascii="Times New Roman;sans-serif" w:hAnsi="Times New Roman;sans-serif"/>
          <w:b w:val="false"/>
          <w:color w:val="000000"/>
          <w:sz w:val="22"/>
          <w:u w:val="single"/>
        </w:rPr>
        <w:t>SVS</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pStyle w:val="TextBody"/>
        <w:bidi w:val="0"/>
        <w:spacing w:lineRule="auto" w:line="288" w:before="0" w:after="240"/>
        <w:jc w:val="left"/>
        <w:rPr/>
      </w:pPr>
      <w:r>
        <w:rPr>
          <w:rFonts w:ascii="Times New Roman;sans-serif" w:hAnsi="Times New Roman;sans-serif"/>
          <w:b w:val="false"/>
          <w:i/>
          <w:color w:val="000000"/>
          <w:sz w:val="22"/>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Times New Roman;sans-serif" w:hAnsi="Times New Roman;sans-serif"/>
          <w:b w:val="false"/>
          <w:i/>
          <w:color w:val="000000"/>
          <w:sz w:val="22"/>
          <w:u w:val="single"/>
        </w:rPr>
        <w:t>SVS</w:t>
      </w:r>
      <w:r>
        <w:rPr>
          <w:color w:val="000000"/>
        </w:rPr>
        <w:t>”</w:t>
      </w:r>
      <w:r>
        <w:rPr>
          <w:rFonts w:ascii="Times New Roman;sans-serif" w:hAnsi="Times New Roman;sans-serif"/>
          <w:b w:val="false"/>
          <w:i/>
          <w:color w:val="000000"/>
          <w:sz w:val="22"/>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not required to repatriate any funds he or she receives with respect to the LTI Award Payout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Participant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Participant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Participant must report the investments annually to the Central Bank using Annex 3.1 of Chapter XII of the Foreign Exchange Regulations.</w:t>
      </w:r>
    </w:p>
    <w:p>
      <w:pPr>
        <w:pStyle w:val="TextBody"/>
        <w:bidi w:val="0"/>
        <w:spacing w:lineRule="auto" w:line="288" w:before="0" w:after="240"/>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Participant</w:t>
      </w:r>
      <w:r>
        <w:rPr>
          <w:color w:val="000000"/>
        </w:rPr>
        <w:t xml:space="preserve"> </w:t>
      </w:r>
      <w:r>
        <w:rPr>
          <w:rFonts w:ascii="Times New Roman;sans-serif" w:hAnsi="Times New Roman;sans-serif"/>
          <w:b w:val="false"/>
          <w:i/>
          <w:color w:val="000000"/>
          <w:sz w:val="22"/>
        </w:rPr>
        <w:t>should consult with his or her personal legal advisor regarding any exchange control obligations that may apply in connection with the LTI Award Payout.</w:t>
      </w:r>
    </w:p>
    <w:p>
      <w:pPr>
        <w:pStyle w:val="TextBody"/>
        <w:bidi w:val="0"/>
        <w:spacing w:lineRule="auto" w:line="288" w:before="0" w:after="240"/>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xml:space="preserve">. If the Participant holds shares of Common Stock acquired under the Plan outside Chile, the Participant may be required to inform the Chilean 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18185"/>
                <wp:effectExtent l="0" t="0" r="0" b="0"/>
                <wp:wrapNone/>
                <wp:docPr id="316" name="Frame19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July 1 each year, which should be submitted electronically through the CIRS website: </w:t>
      </w:r>
      <w:r>
        <w:rPr>
          <w:rFonts w:ascii="Times New Roman;sans-serif" w:hAnsi="Times New Roman;sans-serif"/>
          <w:b w:val="false"/>
          <w:color w:val="000000"/>
          <w:sz w:val="24"/>
        </w:rPr>
        <w:t>www.sii.cl.</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pStyle w:val="TextBody"/>
        <w:bidi w:val="0"/>
        <w:spacing w:lineRule="auto" w:line="288" w:before="0" w:after="240"/>
        <w:jc w:val="left"/>
        <w:rPr/>
      </w:pPr>
      <w:r>
        <w:rPr>
          <w:rFonts w:ascii="Times New Roman;sans-serif" w:hAnsi="Times New Roman;sans-serif"/>
          <w:b/>
          <w:color w:val="000000"/>
          <w:sz w:val="22"/>
        </w:rPr>
        <w:t>Time and Form of Payment.</w:t>
      </w:r>
      <w:r>
        <w:rPr>
          <w:color w:val="000000"/>
        </w:rPr>
        <w:t xml:space="preserve"> </w:t>
      </w:r>
      <w:r>
        <w:rPr>
          <w:rFonts w:ascii="Times New Roman;sans-serif" w:hAnsi="Times New Roman;sans-serif"/>
          <w:b w:val="false"/>
          <w:color w:val="000000"/>
          <w:sz w:val="22"/>
        </w:rPr>
        <w:t>Due to legal restrictions in China, the LTI Award Payout may be made to the Participant in cash, rather than 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Participant is not required to sell shares of Common Stock immediately upon payment of the LTI Grant, any shares of Common Stock issued to the Participant must be maintained in an account with Morgan Stanley Smith Barney, LLC.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pStyle w:val="TextBody"/>
        <w:bidi w:val="0"/>
        <w:spacing w:lineRule="auto" w:line="288"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 xml:space="preserve">The Participant understands and agrees that, due to exchange control laws in China, he or she will be 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18185"/>
                <wp:effectExtent l="0" t="0" r="0" b="0"/>
                <wp:wrapNone/>
                <wp:docPr id="317" name="Frame20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Section 9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acknowledges that pursuant to Article 128 of the Colombian Labor Code, the Plan and 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18185"/>
                <wp:effectExtent l="0" t="0" r="0" b="0"/>
                <wp:wrapNone/>
                <wp:docPr id="318" name="Frame20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Participant must describe each asset and indicate the jurisdiction in which it is located, its nature and its value.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Participant 's responsibility to comply with Croatian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LTI Grant and the opening and maintenance of a foreign account, including reporting (i) foreign direct investments with a value of CZK 2,500,000 or more in the aggregate or (ii) foreign financial assets with a value of CZK 200,000,000 or more. The Participant should consult their personal legal advisor to ensure compliance with the applicable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xml:space="preserve">. The Participant acknowledges that he or she has received an Employer Statement in Danish, which sets forth the additional terms of the LTI Grant to the extent that the Danish Stock Option Act applies.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18185"/>
                <wp:effectExtent l="0" t="0" r="0" b="0"/>
                <wp:wrapNone/>
                <wp:docPr id="319" name="Frame20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is required to report any accounts holding shares of Common Stock or cash established outside Denmark to the Danish Tax Administration as part of his or her tax return under the section related to foreign affairs and income.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Participant transfers funds into Egypt in connection with the LTI Award Payout, the Participant is required to transfer the funds through a registered bank in Egypt.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Not French-Qualified.</w:t>
      </w:r>
      <w:r>
        <w:rPr>
          <w:color w:val="000000"/>
        </w:rPr>
        <w:t xml:space="preserve"> </w:t>
      </w:r>
      <w:r>
        <w:rPr>
          <w:rFonts w:ascii="Times New Roman;sans-serif" w:hAnsi="Times New Roman;sans-serif"/>
          <w:b w:val="false"/>
          <w:color w:val="000000"/>
          <w:sz w:val="22"/>
        </w:rPr>
        <w:t>The LTI Grant made under this Agreement are not intended to qualify for specific tax and social security treatment pursuant to Sections L. 225-197-1 to L. 225-197-6 of the French Commercial Code, as amended.</w:t>
      </w:r>
    </w:p>
    <w:p>
      <w:pPr>
        <w:pStyle w:val="TextBody"/>
        <w:bidi w:val="0"/>
        <w:spacing w:lineRule="auto" w:line="288"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and receiving the LTI Grant, the Participant confirms having read and understood the Plan and Agreement, including all terms and conditions included therein, which were provided in the English language. The Participant accepts the terms of those documents accordingly.</w:t>
      </w:r>
    </w:p>
    <w:p>
      <w:pPr>
        <w:pStyle w:val="TextBody"/>
        <w:bidi w:val="0"/>
        <w:spacing w:lineRule="auto" w:line="288" w:before="0" w:after="240"/>
        <w:jc w:val="left"/>
        <w:rPr/>
      </w:pPr>
      <w:r>
        <w:rPr>
          <w:rFonts w:ascii="Times New Roman;sans-serif" w:hAnsi="Times New Roman;sans-serif"/>
          <w:b w:val="false"/>
          <w:i/>
          <w:color w:val="000000"/>
          <w:sz w:val="22"/>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18185"/>
                <wp:effectExtent l="0" t="0" r="0" b="0"/>
                <wp:wrapNone/>
                <wp:docPr id="320" name="Frame20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Participant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Cross-border payments in connection with the purchase or sale of securities in excess of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If the Participant receives a payment in excess of this amount (including if the Participant acquires shares of Common Stock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Participant must report the payment and/or the value of the shares of Common Stock withheld or sold to Bundesbank. Such reports must be filed either electronically using the “General Statistics Reporting Portal” (Allgemeine Meldeportal Statistik) available via the Bundesbank’s website (www.bundesbank.de) or by such other method as is permitted or required by Bundesbank. The report must be submitted monthly or within such timing as is permitted or required by Bundesbank.</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€150,000, or (ii) the Participant holds Common Stock exceeding 10% of the total capital of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Section 4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18185"/>
                <wp:effectExtent l="0" t="0" r="0" b="0"/>
                <wp:wrapNone/>
                <wp:docPr id="321" name="Frame20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Participant sell all shares of Common Stock delivered to the Participant, either immediately upon receipt of such shares or upon the Participant’s termination of employment from the Mondelēz Group. In this regard, the Participant agrees that the Company is authorized to instruct its designated broker to assist with any such mandatory sale of shares of Common Stock (on the Participant’s behalf pursuant to this authorization), and the Participant expressly authorizes the designated broker to complete the sale of such shares. The Participant also agrees to sign any agreements, forms and/or consents that may be reasonably requested by the Company (or the designated broker) to effectuate the sale of the shares of Common Stock and shall otherwise cooperate with the Company with respect to such matters, provided that the Participant shall not be permitted to exercise any influence over how, when or whether the sales occur. The Participant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Participant and (if later) the date on which the shares of Common Stock are sold, the amount of proceeds ultimately distributed to the Participant may be more or less than the market value of the shares of Common Stock on the relevant vesting date or the date on which such shares are delivered to the Participant. Upon the sale of the shares of Common Stock, the cash proceeds from the sale of shares (less any applicable Tax-Related Items, brokerage fees or commissions) will be delivered to the Participant in accordance with applicable laws and regulations, as determined by the Company in its sole discretion.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 The Participant is personally responsible for complying with exchange control laws in India, and neither the Company nor the Employer will be liable for any fines or penalties resulting from the Participant’s failure to comply with applicable laws. The Participant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Participant should consult his or her personal tax or legal advisor before selling shares of Common Stock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declare foreign bank accounts and any foreign financial assets (including shares of Common Stock held outside India) in his or her annual tax return. It is the Participant’s responsibility to comply with this reporting obligation and the Participant should consult with his or her personal tax advisor in this regard.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88" w:before="0" w:after="240"/>
        <w:jc w:val="left"/>
        <w:rPr/>
      </w:pPr>
      <w:r>
        <w:rPr>
          <w:rFonts w:ascii="Times New Roman;sans-serif" w:hAnsi="Times New Roman;sans-serif"/>
          <w:b/>
          <w:color w:val="000000"/>
          <w:sz w:val="22"/>
        </w:rPr>
        <w:t xml:space="preserve">Language Consent and Notification. </w:t>
      </w:r>
      <w:r>
        <w:rPr>
          <w:rFonts w:ascii="Times New Roman;sans-serif" w:hAnsi="Times New Roman;sans-serif"/>
          <w:b w:val="false"/>
          <w:color w:val="000000"/>
          <w:sz w:val="22"/>
        </w:rPr>
        <w:t xml:space="preserve">A translation of the documents relating to this LTI grant into Bahasa Indonesia can be provided to the Participant upon request to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By accepting the LTI Grant, the Participant (i) confirms having read and understood the documents relating to this LTI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the Plan and the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18185"/>
                <wp:effectExtent l="0" t="0" r="0" b="0"/>
                <wp:wrapNone/>
                <wp:docPr id="322" name="Frame20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Terjemahan dari dokumen-dokumen terkait dengan pemberian ini ke Bahasa Indonesia dapat disediakan untuk anda berdasarkan permintaan kepada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Participant is a director, shadow director</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Participant must notify the Irish subsidiary or affiliate in writing if (1) the Participant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Award Payout, shares of Common Stock, etc.), (2) the Participant becomes aware of an event giving rise to a notification requirement, or (3) the Participant becomes a director or secretary if such an interest exists at that time. This noti</w:t>
      </w:r>
    </w:p>
    <w:p>
      <w:pPr>
        <w:pStyle w:val="TextBody"/>
        <w:bidi w:val="0"/>
        <w:spacing w:lineRule="auto" w:line="288"/>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18185"/>
                <wp:effectExtent l="0" t="0" r="0" b="0"/>
                <wp:wrapNone/>
                <wp:docPr id="323" name="Frame20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fication requirement also applies with respect to the interests of a spouse or children under the age of 18 (whose interests will be attributed to the director, shadow director or secretary).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participating in the Plan and receiving the LTI Grant, the Participant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are beneficial owners of the investment pursuant to Italian money laundering provisions.</w:t>
      </w:r>
    </w:p>
    <w:p>
      <w:pPr>
        <w:pStyle w:val="TextBody"/>
        <w:bidi w:val="0"/>
        <w:spacing w:lineRule="auto" w:line="288"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 is subject to a foreign assets tax. The 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acquires shares of Common Stock valued at more than ¥100,000,000 in a single transaction, the Participant must file a Securities Acquisition Report with the Ministry of Finance through the Bank of Japan within 20 days of the purchase of the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18185"/>
                <wp:effectExtent l="0" t="0" r="0" b="0"/>
                <wp:wrapNone/>
                <wp:docPr id="324" name="Frame20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Please note that the exchange control regulations in Kazakhstan are subject to change. The Employee should consult with their personal legal advisor regarding any exchange control obligations that the Employee may have prior to the LTI Award Payout or receiving proceeds from the sale of shares of Common Stock acquired under the Plan. The Employee is responsible for ensuring compliance with all exchange control laws in Kazakhstan.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paragraph 10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18185"/>
                <wp:effectExtent l="0" t="0" r="0" b="0"/>
                <wp:wrapNone/>
                <wp:docPr id="325" name="Frame20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3"/>
        <w:gridCol w:w="1735"/>
        <w:gridCol w:w="1739"/>
        <w:gridCol w:w="1392"/>
        <w:gridCol w:w="1392"/>
        <w:gridCol w:w="1974"/>
      </w:tblGrid>
      <w:tr>
        <w:trPr/>
        <w:tc>
          <w:tcPr>
            <w:tcW w:w="197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5447"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Participant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Participant’s participation in the Plan. The Data is supplied by the Employer and also by the Participant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pStyle w:val="TableContents"/>
              <w:bidi w:val="0"/>
              <w:spacing w:lineRule="auto" w:line="288" w:before="0" w:after="240"/>
              <w:jc w:val="left"/>
              <w:rPr/>
            </w:pPr>
            <w:r>
              <w:rPr>
                <w:rFonts w:ascii="Times New Roman;sans-serif" w:hAnsi="Times New Roman;sans-serif"/>
                <w:b/>
                <w:i/>
                <w:color w:val="000000"/>
                <w:sz w:val="22"/>
              </w:rPr>
              <w:t>The Participant understands that Data will be transferred to Morgan Stanley Smith Barney, LLC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Malaysia Sales Sdn Bhd, Lot 9.01 Level 9, 1 First Avenue, 2A, Dataran Bandar Utama, Bandar Utama Damasara, 47800 Petaling Jaya, Selangor, Malaysia. The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tc>
        <w:tc>
          <w:tcPr>
            <w:tcW w:w="4758"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 </w:t>
            </w:r>
          </w:p>
          <w:p>
            <w:pPr>
              <w:pStyle w:val="TableContents"/>
              <w:bidi w:val="0"/>
              <w:spacing w:lineRule="auto" w:line="288" w:before="0" w:after="240"/>
              <w:jc w:val="both"/>
              <w:rPr/>
            </w:pPr>
            <w:r>
              <w:rPr>
                <w:rFonts w:ascii="Times New Roman;sans-serif" w:hAnsi="Times New Roman;sans-serif"/>
                <w:b/>
                <w:i/>
                <w:color w:val="000000"/>
                <w:sz w:val="22"/>
              </w:rPr>
              <w:t>Peserta memahami bahawa Data tersebut akan dipindahkan ke Morgan Stanley Smith Barney, LLC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Pesertadengan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tc>
      </w:tr>
    </w:tbl>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Participant is a director of the Company’s Malaysian subsidiary or affiliate, the Participant is subject to certain notification requirements under the Malaysian Companies Act. Among these requirements is an obligation to notify the Malaysian subsidiary or affiliate in writing when the Participant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LTI Grants or shares of Common Stock) in the Company or any related company. Such notifications must be made within 14 days of receiving or disposing of any interest in the Company or any related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participating in the Plan and receiving this LTI Grant, the Participant expressly recognizes that Mondelēz 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w:t>
      </w:r>
      <w:r>
        <w:rPr>
          <w:color w:val="1F497D"/>
        </w:rPr>
        <w:t xml:space="preserve"> </w:t>
      </w:r>
      <w:r>
        <w:rPr>
          <w:rFonts w:ascii="Times New Roman;sans-serif" w:hAnsi="Times New Roman;sans-serif"/>
          <w:b w:val="false"/>
          <w:color w:val="000000"/>
          <w:sz w:val="22"/>
        </w:rPr>
        <w:t xml:space="preserve">Mondelēz México, S. de R.L. de C.V., located at Av. 18 de Noviembre 1028, Camino a Manzanilla, Heroica Puebla de Zaragoza, Puebla, C.P. 72304. Based on the foregoing, the Participant expressly recognizes that the Plan and the benefits that he or she may derive from participating in the Plan do not establish any rights between the Participant and the Employer, Mondelēz México, S. de R.L. de C.V., and do not form part of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18185"/>
                <wp:effectExtent l="0" t="0" r="0" b="0"/>
                <wp:wrapNone/>
                <wp:docPr id="326" name="Frame20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employment conditions and/or benefits provided by Mondelēz México, S. de R.L. de C.V., and any modification of the Plan or its termination shall not constitute a change or impairment of the terms and conditions of the Participant’s employment.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xml:space="preserve">. By accepting the LTI Grant, the Participant acknowledges that he or she has received copies of the Plan, has reviewed the Plan and the Agreement in their entirety and fully understands and accepts all provisions of the Plan and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88" w:before="0" w:after="240"/>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 participar en el Plan LTI y recibir el Premio LTIP, el Participante expresamente 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México,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Mondelēz México, S. de R.L. de C.V., y no forma parte de las condiciones de trabajo y/o las prestaciones otorgadas por Mondelēz México, S. de R.L. de C.V., y que cualquier modificación al Plan LTI o su terminación no constituye un cambio o impedimento de los términos y condiciones de la relación de trabajo del Participante.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18185"/>
                <wp:effectExtent l="0" t="0" r="0" b="0"/>
                <wp:wrapNone/>
                <wp:docPr id="327" name="Frame21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Premio LTIP, el Participante reconoce que ha recibido copias del Plan LTI, que ha revisado el Plan LTI y el Acuerdo en su totalidad y que entiende y acepta completamente todas las disposiciones contenidas en el Plan LTI y en el Acuerdo.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LTI Grants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18185"/>
                <wp:effectExtent l="0" t="0" r="0" b="0"/>
                <wp:wrapNone/>
                <wp:docPr id="328" name="Frame21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 LTI Award.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is required immediately to repatriate to Pakistan the proceeds from the sale of any 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9 of the Agreement:</w:t>
      </w:r>
    </w:p>
    <w:p>
      <w:pPr>
        <w:pStyle w:val="TextBody"/>
        <w:bidi w:val="0"/>
        <w:spacing w:lineRule="auto" w:line="288" w:before="0" w:after="240"/>
        <w:jc w:val="left"/>
        <w:rPr/>
      </w:pPr>
      <w:r>
        <w:rPr>
          <w:rFonts w:ascii="Times New Roman;sans-serif" w:hAnsi="Times New Roman;sans-serif"/>
          <w:b w:val="false"/>
          <w:color w:val="000000"/>
          <w:sz w:val="22"/>
        </w:rPr>
        <w:t xml:space="preserve">By accepting the LTI Grant, the Participant acknowledges, understands and agrees that the LTI Grant is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Participant.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18185"/>
                <wp:effectExtent l="0" t="0" r="0" b="0"/>
                <wp:wrapNone/>
                <wp:docPr id="329" name="Frame21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LTI Grant is considered a private offering in Peru; therefore, it is not subject to registration. For more 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w:t>
      </w:r>
      <w:r>
        <w:rPr>
          <w:color w:val="000000"/>
        </w:rPr>
        <w:t xml:space="preserve"> </w:t>
      </w:r>
      <w:r>
        <w:rPr>
          <w:rFonts w:ascii="Times New Roman;sans-serif" w:hAnsi="Times New Roman;sans-serif"/>
          <w:b w:val="false"/>
          <w:color w:val="000000"/>
          <w:sz w:val="22"/>
        </w:rPr>
        <w:t>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Participant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88"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Participant acquires shares of Common Stock under the Plan and does not hold the shares of Common Stock with a Portuguese financial intermediary, he or she may need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18185"/>
                <wp:effectExtent l="0" t="0" r="0" b="0"/>
                <wp:wrapNone/>
                <wp:docPr id="330" name="Frame21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to file a report with the Portuguese Central Bank. If the shares of Common Stock are held by a Portuguese financial intermediary, it will file the report for the Participant.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deposits proceeds from the sale of Common Stock in a bank account in Romania, the 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Agreement, the Plan and all other materials that the Participant may receive concerning the LTI Grant and the Participant’s participation in the Plan do not constitute advertising or an offering of securities in Russia. The Common Stock to be issued upon the LTI Award Payout has not and will not be registered in Russia and, therefore, the Common Stock described in any Plan documents may not be offered or placed in public circulation in Russia. In no event will Common Stock to be issued upon the LTI Award Payout be delivered to the Participant in Russia. All Common Stock acquired under the Plan will be maintained on the Participant’s behalf outside of Russia. The Participant will not be permitted to sell Common Stock directly to a Russian legal entity or resident.</w:t>
      </w:r>
    </w:p>
    <w:p>
      <w:pPr>
        <w:pStyle w:val="TextBody"/>
        <w:bidi w:val="0"/>
        <w:spacing w:lineRule="auto" w:line="288" w:before="0" w:after="240"/>
        <w:jc w:val="left"/>
        <w:rPr/>
      </w:pPr>
      <w:r>
        <w:rPr>
          <w:rFonts w:ascii="Times New Roman;sans-serif" w:hAnsi="Times New Roman;sans-serif"/>
          <w:b/>
          <w:color w:val="000000"/>
          <w:sz w:val="22"/>
        </w:rPr>
        <w:t>Settlement of LTI Grant and Sale of Shares.</w:t>
      </w:r>
      <w:r>
        <w:rPr>
          <w:color w:val="000000"/>
        </w:rPr>
        <w:t xml:space="preserve"> </w:t>
      </w:r>
      <w:r>
        <w:rPr>
          <w:rFonts w:ascii="Times New Roman;sans-serif" w:hAnsi="Times New Roman;sans-serif"/>
          <w:b w:val="false"/>
          <w:color w:val="000000"/>
          <w:sz w:val="22"/>
        </w:rPr>
        <w:t>The Optionee understands that no shares of Common Stock will be issued upon vesting of the LTI Grant if the Company, in its sole discretion, determines that such issuance would not comply with applicable laws and regulations in Russia.</w:t>
      </w:r>
      <w:r>
        <w:rPr>
          <w:color w:val="000000"/>
        </w:rPr>
        <w:t xml:space="preserve"> </w:t>
      </w:r>
      <w:r>
        <w:rPr>
          <w:rFonts w:ascii="Times New Roman;sans-serif" w:hAnsi="Times New Roman;sans-serif"/>
          <w:b w:val="false"/>
          <w:color w:val="000000"/>
          <w:sz w:val="22"/>
        </w:rPr>
        <w:t>Notwithstanding anything to the contrary in the Agreement, depending on the development of 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288"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10 of the Agreement:</w:t>
      </w:r>
    </w:p>
    <w:p>
      <w:pPr>
        <w:pStyle w:val="TextBody"/>
        <w:bidi w:val="0"/>
        <w:spacing w:lineRule="auto" w:line="288" w:before="0" w:after="240"/>
        <w:jc w:val="left"/>
        <w:rPr/>
      </w:pPr>
      <w:r>
        <w:rPr>
          <w:rFonts w:ascii="Times New Roman;sans-serif" w:hAnsi="Times New Roman;sans-serif"/>
          <w:b w:val="false"/>
          <w:color w:val="000000"/>
          <w:sz w:val="22"/>
        </w:rPr>
        <w:t>The Participant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xml:space="preserve">)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18185"/>
                <wp:effectExtent l="0" t="0" r="0" b="0"/>
                <wp:wrapNone/>
                <wp:docPr id="331" name="Frame21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Therefore, the Participant understands that refusing to complete a Consent form or withdrawing his or her consent may affect the Participant’s ability to participate in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responsible for complying with any and all Russian foreign exchange control requirements in connection with the LTI Grant, any shares of Common Stock acquired and funds remitted into Russia in connection with the Plan. This may include, in certain circumstances, reporting and repatriation requirements. The foreign exchange control rules and regulations in Russia are subject to frequent change. The Participant should contact their personal advisor to determine applicability of all repatriation, remittance or other exchange control requirements to ensure compliance with all applicable exchange control requirements prior to vesting of the LTI Grant and/or selling shares of Common Stock.</w:t>
      </w:r>
    </w:p>
    <w:p>
      <w:pPr>
        <w:pStyle w:val="TextBody"/>
        <w:bidi w:val="0"/>
        <w:spacing w:lineRule="auto" w:line="288" w:before="0" w:after="240"/>
        <w:jc w:val="left"/>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Participant continues to hold shares of Common Stock acquired at vesting of the LTI Grant after an involuntary termination of employment, the Participant will not be eligible to receive unemployment benefits in Russia.</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Participant’s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the LTI Grant</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Participant should consult with their personal legal advisor to determine the applicability of these reporting requirements to any brokerage account opened in connection with participation in the Plan.</w:t>
      </w:r>
    </w:p>
    <w:p>
      <w:pPr>
        <w:pStyle w:val="TextBody"/>
        <w:bidi w:val="0"/>
        <w:spacing w:lineRule="auto" w:line="288"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Participant should inform the Company if the Participant is covered by these laws because the Participant should not hold shares of Common Stock acquired under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18185"/>
                <wp:effectExtent l="0" t="0" r="0" b="0"/>
                <wp:wrapNone/>
                <wp:docPr id="332" name="Frame21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This document may not be distributed in the Kingdom of Saudi Arabia except to such persons as are permitted under the Offer of Securities Regulations and Continuing Obligations issued by the Capital Market Authority.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Participant is permitted to acquire shares of 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Transfer Restrictions. </w:t>
      </w:r>
      <w:r>
        <w:rPr>
          <w:rFonts w:ascii="Times New Roman;sans-serif" w:hAnsi="Times New Roman;sans-serif"/>
          <w:b w:val="false"/>
          <w:color w:val="000000"/>
          <w:sz w:val="22"/>
        </w:rPr>
        <w:t>The Participant agrees that any shares of Common Stock acquired pursuant to the LTI Grant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is being made pursuant to the “Qualifying Person” exemption under section 273(1)(f) of the SFA and is not made to the Participant with a view to the LTI Grant being subsequently offered for sale to any other party. The Plan has not been lodged or registered as a prospectus with the Monetary Authority of Singapore.</w:t>
      </w:r>
    </w:p>
    <w:p>
      <w:pPr>
        <w:pStyle w:val="TextBody"/>
        <w:bidi w:val="0"/>
        <w:spacing w:lineRule="auto" w:line="288"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Grant,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when the shares of Common Stock are sold), or (iii) becoming a director, associate director or shadow director.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18185"/>
                <wp:effectExtent l="0" t="0" r="0" b="0"/>
                <wp:wrapNone/>
                <wp:docPr id="333" name="Frame21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Participant e’s brokerage account with the Company’s designated broker).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xml:space="preserve">. In compliance with South African Securities Law, the documents listed below are available for the Participant’s review on the Company’s public site or intranet site, as applicable, as listed below: </w:t>
      </w:r>
    </w:p>
    <w:p>
      <w:pPr>
        <w:pStyle w:val="TextBody"/>
        <w:bidi w:val="0"/>
        <w:spacing w:lineRule="auto" w:line="288" w:before="0" w:after="240"/>
        <w:ind w:left="0" w:right="0" w:hanging="360"/>
        <w:jc w:val="left"/>
        <w:rPr/>
      </w:pPr>
      <w:r>
        <w:rPr>
          <w:rFonts w:ascii="Times New Roman;sans-serif" w:hAnsi="Times New Roman;sans-serif"/>
          <w:b w:val="false"/>
          <w:i/>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FF"/>
          <w:sz w:val="22"/>
          <w:u w:val="single"/>
        </w:rPr>
        <w:t>http://www.mondelezinternational.com/investors</w:t>
      </w:r>
      <w:r>
        <w:rPr>
          <w:rFonts w:ascii="Times New Roman;sans-serif" w:hAnsi="Times New Roman;sans-serif"/>
          <w:b w:val="false"/>
          <w:color w:val="000000"/>
          <w:sz w:val="22"/>
        </w:rPr>
        <w:t>.</w:t>
      </w:r>
    </w:p>
    <w:p>
      <w:pPr>
        <w:pStyle w:val="TextBody"/>
        <w:bidi w:val="0"/>
        <w:spacing w:lineRule="auto" w:line="288" w:before="0" w:after="240"/>
        <w:ind w:left="0" w:right="0" w:hanging="360"/>
        <w:jc w:val="left"/>
        <w:rPr/>
      </w:pPr>
      <w:r>
        <w:rPr>
          <w:rFonts w:ascii="Times New Roman;sans-serif" w:hAnsi="Times New Roman;sans-serif"/>
          <w:b w:val="false"/>
          <w:i/>
          <w:color w:val="000000"/>
          <w:sz w:val="22"/>
        </w:rPr>
        <w:t>2.</w:t>
      </w:r>
      <w:r>
        <w:rPr>
          <w:rFonts w:ascii="Times New Roman;sans-serif" w:hAnsi="Times New Roman;sans-serif"/>
          <w:b w:val="false"/>
          <w:color w:val="000000"/>
          <w:sz w:val="22"/>
        </w:rPr>
        <w:t xml:space="preserve">The Company’s most recent Plan prospectus: a copy of which can be found on the Company’s Intranet site located at: </w:t>
      </w:r>
      <w:r>
        <w:rPr>
          <w:rFonts w:ascii="Times New Roman;sans-serif" w:hAnsi="Times New Roman;sans-serif"/>
          <w:b w:val="false"/>
          <w:color w:val="0000FF"/>
          <w:sz w:val="22"/>
          <w:u w:val="single"/>
        </w:rPr>
        <w:t>https://intranet.mdlz.com/sites/globalhr/comp/Pages/Legal-Documents.aspx</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rPr>
        <w:t>The Participant acknowledges that he or she may have copies of the above documents sent to him or her, at no charge, on written request being mailed to Corporate Secretary, Mondelēz International, Inc., 905 West Fulton Market, Suite 200, Chicago, Illinois 60607, U.S.A.</w:t>
      </w:r>
      <w:r>
        <w:rPr>
          <w:color w:val="000000"/>
        </w:rPr>
        <w:t xml:space="preserve"> </w:t>
      </w:r>
      <w:r>
        <w:rPr>
          <w:rFonts w:ascii="Times New Roman;sans-serif" w:hAnsi="Times New Roman;sans-serif"/>
          <w:b w:val="false"/>
          <w:color w:val="000000"/>
          <w:sz w:val="22"/>
        </w:rPr>
        <w:t>The telephone number at the executive offices is +1 847-943-4000.</w:t>
      </w:r>
    </w:p>
    <w:p>
      <w:pPr>
        <w:pStyle w:val="TextBody"/>
        <w:bidi w:val="0"/>
        <w:spacing w:lineRule="auto" w:line="288" w:before="0" w:after="240"/>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8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participating in the Plan and receiving the LTI Grant, the Participant understands and acknowledges that he or she is required to notify the Employer of the amount of any gain realized upon vesting of the LTI Grant.</w:t>
      </w:r>
    </w:p>
    <w:p>
      <w:pPr>
        <w:pStyle w:val="TextBody"/>
        <w:bidi w:val="0"/>
        <w:spacing w:lineRule="auto" w:line="288"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Participant is solely responsible for complying with applicable South African exchange control regulations. In particular, the Participant may be required to obtain approval from the South African Reserve Bank for payments (including shares of Common Stock received pursuant to the Plan) that the Participant receives into accounts based outside of South Africa (e.g., a U.S. brokerage account).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18185"/>
                <wp:effectExtent l="0" t="0" r="0" b="0"/>
                <wp:wrapNone/>
                <wp:docPr id="334" name="Frame21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 </w:t>
      </w:r>
      <w:r>
        <w:rPr>
          <w:color w:val="000000"/>
        </w:rPr>
        <w:t xml:space="preserve">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9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LTI Grant, the Participant consents to participation in the Plan and acknowledges that he or she has received a copy of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 </w:t>
      </w:r>
    </w:p>
    <w:p>
      <w:pPr>
        <w:pStyle w:val="TextBody"/>
        <w:bidi w:val="0"/>
        <w:spacing w:lineRule="auto" w:line="288" w:before="0" w:after="240"/>
        <w:jc w:val="left"/>
        <w:rPr/>
      </w:pPr>
      <w:r>
        <w:rPr>
          <w:rFonts w:ascii="Times New Roman;sans-serif" w:hAnsi="Times New Roman;sans-serif"/>
          <w:b w:val="false"/>
          <w:color w:val="000000"/>
          <w:sz w:val="22"/>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18185"/>
                <wp:effectExtent l="0" t="0" r="0" b="0"/>
                <wp:wrapNone/>
                <wp:docPr id="335" name="Frame21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acknowledges and freely accepts that should any or all of the assumptions be mistaken or should any of the conditions not be met for any reason, then the LTI Grant made to the Participant shall be null and void.</w:t>
      </w:r>
      <w:r>
        <w:rPr>
          <w:color w:val="000000"/>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Participant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8 of the Agreement, by accepting the LTI Grants,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Neither this document nor any other materials relating to the LTI Grant (i) constitutes a prospectus according to articles 35 et seq. of the Swiss Federal Act on Financial Services (“FinSA”), (ii) may be publicly distributed or otherwise made publicly available in Switzerland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18185"/>
                <wp:effectExtent l="0" t="0" r="0" b="0"/>
                <wp:wrapNone/>
                <wp:docPr id="336" name="Frame21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Participant hereby acknowledges that he or she has read and understood the terms regarding collection, 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and the shares of Common Stock to be issued pursuant to the Plan are available only to Participants of the Mondelēz Group. The LTI Grant does not constitute a public offer of securities.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may acquire and remit foreign currency (including proceeds from the sale of shares of 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receives proceeds from the sale of shares of Common Stock or cash dividends in relation to the shares of Common Stock in excess of US$1,000,000 in a single transaction, the Participant must immediately repatriate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288" w:before="0" w:after="240"/>
        <w:jc w:val="left"/>
        <w:rPr/>
      </w:pPr>
      <w:r>
        <w:rPr>
          <w:rFonts w:ascii="Times New Roman;sans-serif" w:hAnsi="Times New Roman;sans-serif"/>
          <w:b w:val="false"/>
          <w:color w:val="000000"/>
          <w:sz w:val="22"/>
        </w:rPr>
        <w:t>If the Participant does not repatriate such funds and utilizes them offshore for permissible purposes (</w:t>
      </w:r>
      <w:r>
        <w:rPr>
          <w:rFonts w:ascii="Times New Roman;sans-serif" w:hAnsi="Times New Roman;sans-serif"/>
          <w:b w:val="false"/>
          <w:i/>
          <w:color w:val="000000"/>
          <w:sz w:val="22"/>
        </w:rPr>
        <w:t>i.e.</w:t>
      </w:r>
      <w:r>
        <w:rPr>
          <w:rFonts w:ascii="Times New Roman;sans-serif" w:hAnsi="Times New Roman;sans-serif"/>
          <w:b w:val="false"/>
          <w:color w:val="000000"/>
          <w:sz w:val="22"/>
        </w:rPr>
        <w:t>, purposes not listed in the negative list prescribed by the Bank of Thailand), the Participant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18185"/>
                <wp:effectExtent l="0" t="0" r="0" b="0"/>
                <wp:wrapNone/>
                <wp:docPr id="337" name="Frame22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TÜRKIYE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Participant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engage a Turkish financial intermediary to assist with the sale of shares 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u w:val="single"/>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solely responsible for complying with applicable Ukraine exchange control regulations. 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Participants and is in the nature of providing equity 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18185"/>
                <wp:effectExtent l="0" t="0" r="0" b="0"/>
                <wp:wrapNone/>
                <wp:docPr id="338" name="Frame22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bidi w:val="0"/>
        <w:spacing w:lineRule="auto" w:line="288" w:before="0" w:after="240"/>
        <w:jc w:val="left"/>
        <w:rPr/>
      </w:pPr>
      <w:r>
        <w:rPr>
          <w:rFonts w:ascii="Times New Roman;sans-serif" w:hAnsi="Times New Roman;sans-serif"/>
          <w:b w:val="false"/>
          <w:color w:val="000000"/>
          <w:sz w:val="22"/>
        </w:rPr>
        <w:t>Without limitation to paragraph 8 of the Agreement, the Participant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UNITED STATES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10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applicable data protection laws, the Participant is hereby notified that the Company collects, processes, uses and transfers certain personally-identifiable information about the Participant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18185"/>
                <wp:effectExtent l="0" t="0" r="0" b="0"/>
                <wp:wrapNone/>
                <wp:docPr id="339" name="Frame22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or is capable of being associated with a particular individual. The Company does not sell the Participant's Personal Data or share it for cross-context behavioral advertising. If the Participant would like a copy of the Company’s privacy policy, please contact a local human resources representative.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Participant holds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Common Stock) or other financial assets in an 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Consent</w:t>
      </w:r>
      <w:r>
        <w:rPr>
          <w:rFonts w:ascii="Times New Roman;sans-serif" w:hAnsi="Times New Roman;sans-serif"/>
          <w:b w:val="false"/>
          <w:color w:val="000000"/>
          <w:sz w:val="22"/>
        </w:rPr>
        <w:t>. The Participant understands that the Data will be collected by the Employer and will be transferred to the Company 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LTI Grant, the Participant acknowledges and agrees that any shares of Common Stock the Participant may acquire upon the settlement of the LTI Grant are acquired as and intended to be an investment rather than for the resale of the shares of Common Stock and conversion of shares into foreign currency.</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LTI Grant or remit funds into Venezuela 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Participant should consult with his or her personal legal advisor before accepting the LTI Grant to ensure compliance with current regulations.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granted under the Plan and the shares of Common Stock issued under the Plan are offered as a personal, private, exclusive transaction and are not subject to Venezuelan government securities regulations.</w:t>
      </w:r>
      <w:r>
        <w:rPr>
          <w:color w:val="000000"/>
        </w:rPr>
        <w:t xml:space="preserve"> </w:t>
      </w:r>
      <w:r>
        <w:rPr>
          <w:rFonts w:ascii="Times New Roman;sans-serif" w:hAnsi="Times New Roman;sans-serif"/>
          <w:b w:val="false"/>
          <w:color w:val="000000"/>
          <w:sz w:val="22"/>
        </w:rPr>
        <w:t xml:space="preserve">The LTI Grant granted under the Plan does not qualify as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18185"/>
                <wp:effectExtent l="0" t="0" r="0" b="0"/>
                <wp:wrapNone/>
                <wp:docPr id="340" name="Frame22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 public offering under the laws of the Bolivarian Republic of Venezuela and, therefore, it is not required to request the previous authorization of the National Superintendent of Securities.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18185"/>
                <wp:effectExtent l="0" t="0" r="0" b="0"/>
                <wp:wrapNone/>
                <wp:docPr id="341" name="Frame22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10.6</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(2024-2026 Performance Cycle)</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individual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named in the Long-Term Incentive Grant Notice (the “</w:t>
      </w:r>
      <w:r>
        <w:rPr>
          <w:rFonts w:ascii="Times New Roman;sans-serif" w:hAnsi="Times New Roman;sans-serif"/>
          <w:b w:val="false"/>
          <w:color w:val="000000"/>
          <w:sz w:val="22"/>
          <w:u w:val="single"/>
        </w:rPr>
        <w:t>Notice</w:t>
      </w:r>
      <w:r>
        <w:rPr>
          <w:color w:val="000000"/>
        </w:rPr>
        <w:t>”</w:t>
      </w:r>
      <w:r>
        <w:rPr>
          <w:rFonts w:ascii="Times New Roman;sans-serif" w:hAnsi="Times New Roman;sans-serif"/>
          <w:b w:val="false"/>
          <w:color w:val="000000"/>
          <w:sz w:val="22"/>
        </w:rPr>
        <w:t>) a Long-Term Incentive Grant (the “</w:t>
      </w:r>
      <w:r>
        <w:rPr>
          <w:rFonts w:ascii="Times New Roman;sans-serif" w:hAnsi="Times New Roman;sans-serif"/>
          <w:b w:val="false"/>
          <w:color w:val="000000"/>
          <w:sz w:val="22"/>
          <w:u w:val="single"/>
        </w:rPr>
        <w:t>LTI Grant</w:t>
      </w:r>
      <w:r>
        <w:rPr>
          <w:color w:val="000000"/>
        </w:rPr>
        <w:t>”</w:t>
      </w:r>
      <w:r>
        <w:rPr>
          <w:rFonts w:ascii="Times New Roman;sans-serif" w:hAnsi="Times New Roman;sans-serif"/>
          <w:b w:val="false"/>
          <w:color w:val="000000"/>
          <w:sz w:val="22"/>
        </w:rPr>
        <w:t>) with respect to the Performance Cycle and Performance Goals set forth in the Notice, subject to the terms and provisions of the Notice, this Global Long-Term Incentive Grant Agreement, including any country-specific appendix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and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The LTI Grant is subject to the following terms and conditions (including the country-specific terms set forth in Appendix A to this Agreement):</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pStyle w:val="TextBody"/>
        <w:bidi w:val="0"/>
        <w:spacing w:lineRule="auto" w:line="288" w:before="0" w:after="24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r>
        <w:rPr>
          <w:color w:val="000000"/>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Affiliate</w:t>
      </w:r>
      <w:r>
        <w:rPr>
          <w:rFonts w:ascii="Times New Roman;sans-serif" w:hAnsi="Times New Roman;sans-serif"/>
          <w:b w:val="false"/>
          <w:color w:val="000000"/>
          <w:sz w:val="22"/>
        </w:rPr>
        <w:t>. “Affiliate” means any entity that directly or indirectly through one or more intermediaries controls or is controlled by the Company, in each case, as determined by the Committee.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 “Disability” means permanent and total disability as determined under procedures established by the Company for purposes of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LTI Award Payout</w:t>
      </w:r>
      <w:r>
        <w:rPr>
          <w:rFonts w:ascii="Times New Roman;sans-serif" w:hAnsi="Times New Roman;sans-serif"/>
          <w:b w:val="false"/>
          <w:color w:val="000000"/>
          <w:sz w:val="22"/>
        </w:rPr>
        <w:t xml:space="preserve">.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 </w:t>
      </w:r>
    </w:p>
    <w:p>
      <w:pPr>
        <w:pStyle w:val="TextBody"/>
        <w:bidi w:val="0"/>
        <w:spacing w:before="0" w:after="0"/>
        <w:jc w:val="righ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516890"/>
                <wp:effectExtent l="0" t="0" r="0" b="0"/>
                <wp:wrapNone/>
                <wp:docPr id="342" name="Frame225"/>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LTI Grant Target</w:t>
      </w:r>
      <w:r>
        <w:rPr>
          <w:rFonts w:ascii="Times New Roman;sans-serif" w:hAnsi="Times New Roman;sans-serif"/>
          <w:b w:val="false"/>
          <w:color w:val="000000"/>
          <w:sz w:val="22"/>
        </w:rPr>
        <w:t>. “LTI Grant Target” means the target number of shares of Common Stock or amount set forth in the Notice.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Maximum Goal Factor</w:t>
      </w:r>
      <w:r>
        <w:rPr>
          <w:rFonts w:ascii="Times New Roman;sans-serif" w:hAnsi="Times New Roman;sans-serif"/>
          <w:b w:val="false"/>
          <w:color w:val="000000"/>
          <w:sz w:val="22"/>
        </w:rPr>
        <w:t>. “Maximum Goal Factor” means the maximum percentage set forth in the Notice.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Participation Period Factor</w:t>
      </w:r>
      <w:r>
        <w:rPr>
          <w:rFonts w:ascii="Times New Roman;sans-serif" w:hAnsi="Times New Roman;sans-serif"/>
          <w:b w:val="false"/>
          <w:color w:val="000000"/>
          <w:sz w:val="22"/>
        </w:rPr>
        <w:t xml:space="preserve">.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Performance Cycle</w:t>
      </w:r>
      <w:r>
        <w:rPr>
          <w:rFonts w:ascii="Times New Roman;sans-serif" w:hAnsi="Times New Roman;sans-serif"/>
          <w:b w:val="false"/>
          <w:color w:val="000000"/>
          <w:sz w:val="22"/>
        </w:rPr>
        <w:t xml:space="preserve">. “Performance Cycle” means the performance period set forth in the Notice over which the attainment of the Performance Goals will be measured for the purpose of determining the LTI Award Payout.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Performance Goal Attainment Factor</w:t>
      </w:r>
      <w:r>
        <w:rPr>
          <w:rFonts w:ascii="Times New Roman;sans-serif" w:hAnsi="Times New Roman;sans-serif"/>
          <w:b w:val="false"/>
          <w:color w:val="000000"/>
          <w:sz w:val="22"/>
        </w:rPr>
        <w:t xml:space="preserve">. “Performance Goal Attainment Factor” means a percentage ranging from 0% to the Maximum Goal Factor representing the level at which the Performance Goals have been attained as determined by the Committee.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xml:space="preserve">.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 </w:t>
      </w:r>
    </w:p>
    <w:p>
      <w:pPr>
        <w:pStyle w:val="TextBody"/>
        <w:bidi w:val="0"/>
        <w:spacing w:lineRule="auto" w:line="288" w:before="0" w:after="24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Incorporation of Terms of Plan</w:t>
      </w:r>
      <w:r>
        <w:rPr>
          <w:rFonts w:ascii="Times New Roman;sans-serif" w:hAnsi="Times New Roman;sans-serif"/>
          <w:b w:val="false"/>
          <w:color w:val="000000"/>
          <w:sz w:val="22"/>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pStyle w:val="TextBody"/>
        <w:bidi w:val="0"/>
        <w:spacing w:lineRule="auto" w:line="288" w:before="0" w:after="24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Vesting and Forfeiture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Forfeiture</w:t>
      </w:r>
      <w:r>
        <w:rPr>
          <w:rFonts w:ascii="Times New Roman;sans-serif" w:hAnsi="Times New Roman;sans-serif"/>
          <w:b w:val="false"/>
          <w:color w:val="000000"/>
          <w:sz w:val="22"/>
        </w:rPr>
        <w:t>. Unless determined otherwise by the Committee or except as expressly provided in this Agreement, if the Participant has not been continuously and actively employed with a member of the Mondelēz Group that employs the Participant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t>
      </w:r>
    </w:p>
    <w:p>
      <w:pPr>
        <w:pStyle w:val="TextBody"/>
        <w:bidi w:val="0"/>
        <w:spacing w:before="0" w:after="0"/>
        <w:jc w:val="righ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516890"/>
                <wp:effectExtent l="0" t="0" r="0" b="0"/>
                <wp:wrapNone/>
                <wp:docPr id="343" name="Frame226"/>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when a Participant is no longer actively employed for purposes of the LTI Grant, subject to compliance with Section 409A of the Code.</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Death/Disability</w:t>
      </w:r>
      <w:r>
        <w:rPr>
          <w:rFonts w:ascii="Times New Roman;sans-serif" w:hAnsi="Times New Roman;sans-serif"/>
          <w:b w:val="false"/>
          <w:color w:val="000000"/>
          <w:sz w:val="22"/>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w:t>
      </w:r>
      <w:r>
        <w:rPr>
          <w:color w:val="000000"/>
        </w:rPr>
        <w:t xml:space="preserve"> </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2"/>
        </w:rPr>
        <w:t>in the event that the Participant’s Retirement occurs because the Participant is age 65 or older with at least five (5)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181st day following the Grant Date, the Participant shall remain eligible to receive a LTI Award Payout with a Participation Period Factor equal to 100% (the LTI Award Payout will not be prorated) based on actual attainment of the Performance Goals, payable in accordance with the payment timing provisions set forth in paragraph 4(a)(iii) hereof</w:t>
      </w:r>
      <w:r>
        <w:rPr>
          <w:rFonts w:ascii="Times New Roman;sans-serif" w:hAnsi="Times New Roman;sans-serif"/>
          <w:b w:val="false"/>
          <w:color w:val="000000"/>
          <w:sz w:val="24"/>
        </w:rPr>
        <w:t>.</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(B)</w:t>
      </w:r>
      <w:r>
        <w:rPr>
          <w:rFonts w:ascii="Times New Roman;sans-serif" w:hAnsi="Times New Roman;sans-serif"/>
          <w:b w:val="false"/>
          <w:color w:val="000000"/>
          <w:sz w:val="22"/>
        </w:rPr>
        <w:t>in the event that the Employee's Retirement occurs because the Employee is age 55 or older with at least ten (10)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181st day following the Grant Date, the Participant shall remain eligible to receive a prorated LTI Award Payout (calculated pursuant to paragraph 1(c) of this Agreement) based on actual attainment of the Performance Goals, payable in accordance with the payment timing provisions set forth in paragraph 4(a)(iii) hereof.</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purposes of this section 3(b), any prorated LTI Award Payout will be calculated by applying the Participant’s Participation Period Factor as determined in the sole discretion of the Committee, subject to compliance with the payment timing provisions set forth in paragraph 4 hereof.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pStyle w:val="TextBody"/>
        <w:bidi w:val="0"/>
        <w:spacing w:lineRule="auto" w:line="288" w:before="0" w:after="24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Form and Time of Payment</w:t>
      </w:r>
      <w:r>
        <w:rPr>
          <w:rFonts w:ascii="Times New Roman;sans-serif" w:hAnsi="Times New Roman;sans-serif"/>
          <w:b w:val="false"/>
          <w:color w:val="000000"/>
          <w:sz w:val="22"/>
        </w:rPr>
        <w:t>.</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Form of Payment</w:t>
      </w:r>
      <w:r>
        <w:rPr>
          <w:rFonts w:ascii="Times New Roman;sans-serif" w:hAnsi="Times New Roman;sans-serif"/>
          <w:b w:val="false"/>
          <w:color w:val="000000"/>
          <w:sz w:val="22"/>
        </w:rPr>
        <w:t xml:space="preserve">.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516890"/>
                <wp:effectExtent l="0" t="0" r="0" b="0"/>
                <wp:wrapNone/>
                <wp:docPr id="344" name="Frame227"/>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the LTI Award Payout shall be rounded up to the next whole share of Common Stock (no fractional shares of Common Stock shall be issued in payment of an Award).</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Certification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Performance Goal Attainment Factor Determination</w:t>
      </w:r>
      <w:r>
        <w:rPr>
          <w:rFonts w:ascii="Times New Roman;sans-serif" w:hAnsi="Times New Roman;sans-serif"/>
          <w:b w:val="false"/>
          <w:color w:val="000000"/>
          <w:sz w:val="22"/>
        </w:rPr>
        <w:t xml:space="preserve">.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 </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Payment Timing</w:t>
      </w:r>
      <w:r>
        <w:rPr>
          <w:rFonts w:ascii="Times New Roman;sans-serif" w:hAnsi="Times New Roman;sans-serif"/>
          <w:b w:val="false"/>
          <w:color w:val="000000"/>
          <w:sz w:val="22"/>
        </w:rPr>
        <w:t xml:space="preserve">. Subject to the terms of this Agreement, including Section 22, the Award shall be paid as follows: </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(A)</w:t>
      </w:r>
      <w:r>
        <w:rPr>
          <w:rFonts w:ascii="Times New Roman;sans-serif" w:hAnsi="Times New Roman;sans-serif"/>
          <w:b w:val="false"/>
          <w:color w:val="000000"/>
          <w:sz w:val="22"/>
        </w:rPr>
        <w:t>The LTI Award Payout, including a payout upon a Participant’s Retirement described under paragraph 3(b)(ii)(A)</w:t>
      </w:r>
      <w:r>
        <w:rPr>
          <w:color w:val="000000"/>
        </w:rPr>
        <w:t xml:space="preserve"> </w:t>
      </w:r>
      <w:r>
        <w:rPr>
          <w:rFonts w:ascii="Times New Roman;sans-serif" w:hAnsi="Times New Roman;sans-serif"/>
          <w:b w:val="false"/>
          <w:color w:val="000000"/>
          <w:sz w:val="22"/>
        </w:rPr>
        <w:t>hereof or paragraph 3(b)(ii)(B)</w:t>
      </w:r>
      <w:r>
        <w:rPr>
          <w:color w:val="000000"/>
        </w:rPr>
        <w:t xml:space="preserve"> </w:t>
      </w:r>
      <w:r>
        <w:rPr>
          <w:rFonts w:ascii="Times New Roman;sans-serif" w:hAnsi="Times New Roman;sans-serif"/>
          <w:b w:val="false"/>
          <w:color w:val="000000"/>
          <w:sz w:val="22"/>
        </w:rPr>
        <w:t xml:space="preserve">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 </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An Award that becomes payable under paragraph 3(b)(i) hereof in connection with a Participant’s death shall be paid within 75 days following the Participant’s death. </w:t>
      </w:r>
    </w:p>
    <w:p>
      <w:pPr>
        <w:pStyle w:val="TextBody"/>
        <w:bidi w:val="0"/>
        <w:spacing w:lineRule="auto" w:line="288" w:before="0" w:after="240"/>
        <w:ind w:left="0" w:right="0" w:firstLine="2160"/>
        <w:jc w:val="left"/>
        <w:rPr/>
      </w:pPr>
      <w:r>
        <w:rPr>
          <w:rFonts w:ascii="Times New Roman;sans-serif" w:hAnsi="Times New Roman;sans-serif"/>
          <w:b w:val="false"/>
          <w:color w:val="000000"/>
          <w:sz w:val="20"/>
        </w:rPr>
        <w:t>(C)</w:t>
      </w:r>
      <w:r>
        <w:rPr>
          <w:rFonts w:ascii="Times New Roman;sans-serif" w:hAnsi="Times New Roman;sans-serif"/>
          <w:b w:val="false"/>
          <w:color w:val="000000"/>
          <w:sz w:val="22"/>
        </w:rPr>
        <w:t>An Award that becomes payable in connection with the Participant’s termination resulting from Disability as described under paragraph 3(b)(i) shall be paid within 75 days following such Disability, provided that if the Participant is subject to taxation under the laws of the U.S., the Award is considered Deferred Compensation (as defined in Section 22 hereof) and is payable upon a termination resulting from Disability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Conditions to Payment of an Award</w:t>
      </w:r>
      <w:r>
        <w:rPr>
          <w:rFonts w:ascii="Times New Roman;sans-serif" w:hAnsi="Times New Roman;sans-serif"/>
          <w:b w:val="false"/>
          <w:color w:val="000000"/>
          <w:sz w:val="22"/>
        </w:rPr>
        <w:t>. Notwithstanding any other provision of this Agreement (including without limitation paragraph 3(a) hereof):</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rPr>
        <w:t xml:space="preserve">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w:t>
      </w:r>
    </w:p>
    <w:p>
      <w:pPr>
        <w:pStyle w:val="TextBody"/>
        <w:bidi w:val="0"/>
        <w:spacing w:before="0" w:after="0"/>
        <w:jc w:val="righ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516890"/>
                <wp:effectExtent l="0" t="0" r="0" b="0"/>
                <wp:wrapNone/>
                <wp:docPr id="345" name="Frame228"/>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Payment Amount</w:t>
      </w:r>
      <w:r>
        <w:rPr>
          <w:rFonts w:ascii="Times New Roman;sans-serif" w:hAnsi="Times New Roman;sans-serif"/>
          <w:b w:val="false"/>
          <w:color w:val="000000"/>
          <w:sz w:val="22"/>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pStyle w:val="TextBody"/>
        <w:bidi w:val="0"/>
        <w:spacing w:lineRule="auto" w:line="288" w:before="0" w:after="24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Treatment Upon a Change in Control</w:t>
      </w:r>
      <w:r>
        <w:rPr>
          <w:rFonts w:ascii="Times New Roman;sans-serif" w:hAnsi="Times New Roman;sans-serif"/>
          <w:b w:val="false"/>
          <w:color w:val="000000"/>
          <w:sz w:val="22"/>
        </w:rPr>
        <w:t>. In the event of a Change in Control (as defined in Section 6(b) of the Plan), the LTI Grant is subject to the terms provided in Section 6 of the Plan.</w:t>
      </w:r>
    </w:p>
    <w:p>
      <w:pPr>
        <w:pStyle w:val="TextBody"/>
        <w:bidi w:val="0"/>
        <w:spacing w:lineRule="auto" w:line="288" w:before="0" w:after="24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Confidential Information</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or unearned Grants (including any unearned portion of the LTI Grant) shall be immediately forfeited;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w:t>
      </w:r>
    </w:p>
    <w:p>
      <w:pPr>
        <w:pStyle w:val="TextBody"/>
        <w:bidi w:val="0"/>
        <w:spacing w:before="0" w:after="0"/>
        <w:jc w:val="righ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516890"/>
                <wp:effectExtent l="0" t="0" r="0" b="0"/>
                <wp:wrapNone/>
                <wp:docPr id="346" name="Frame229"/>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purposes of this paragraph, net proceeds shall mean the Fair Market Value of the shares of Common Stock less any Tax-Related Items;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The Participant is hereby advised in writing to consult with an attorney before entering into the covenants outlined in this Section 6.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Section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Participant's attorney. The Participant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    For purposes of this Section 6, the Company and any member of the Mondelēz Group shall be deemed to be third-party beneficiaries with the right to seek enforcement of any of the provisions </w:t>
      </w:r>
    </w:p>
    <w:p>
      <w:pPr>
        <w:pStyle w:val="TextBody"/>
        <w:bidi w:val="0"/>
        <w:spacing w:before="0" w:after="0"/>
        <w:jc w:val="righ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516890"/>
                <wp:effectExtent l="0" t="0" r="0" b="0"/>
                <wp:wrapNone/>
                <wp:docPr id="347" name="Frame230"/>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 this Section 6. Further, for purposes of this Section 6, references to acting directly or indirectly include acting jointly with or through another person.</w:t>
      </w:r>
    </w:p>
    <w:p>
      <w:pPr>
        <w:pStyle w:val="TextBody"/>
        <w:bidi w:val="0"/>
        <w:spacing w:lineRule="auto" w:line="288" w:before="0" w:after="24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Participant hereby expressly acknowledges and agrees that the Company shall have the right to reduce, cancel, or withhold against outstanding, unvested, vested, or future cash or equity-based compensation owed or due to the Participant, to the maximum extent permitted under applicable law. No such recovery will be an event giving rise to a right to resign for Good Reason or be deemed a “constructive termination” (or any similar term) as such terms are used in any agreement between the Participant and the Company or under any severance plans applicable to the Participant.</w:t>
      </w:r>
    </w:p>
    <w:p>
      <w:pPr>
        <w:pStyle w:val="TextBody"/>
        <w:bidi w:val="0"/>
        <w:spacing w:lineRule="auto" w:line="288" w:before="0" w:after="24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pStyle w:val="TextBody"/>
        <w:bidi w:val="0"/>
        <w:spacing w:before="0" w:after="0"/>
        <w:jc w:val="righ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516890"/>
                <wp:effectExtent l="0" t="0" r="0" b="0"/>
                <wp:wrapNone/>
                <wp:docPr id="348" name="Frame231"/>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 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pStyle w:val="TextBody"/>
        <w:bidi w:val="0"/>
        <w:spacing w:lineRule="auto" w:line="288" w:before="0" w:after="24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By participating in the Plan and in exchange for receiving the LTI Grant, the Participant acknowledges, understands and agrees that: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LTI Grant is exceptional, voluntary and occasional and does not create any contractual or other right to receive future awards, or benefits in lieu of LTI Grants, even if LTI Grants have been made in the past;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LTI Grants, if any, will be at the sole discretion of the Committee;</w:t>
      </w:r>
    </w:p>
    <w:p>
      <w:pPr>
        <w:pStyle w:val="TextBody"/>
        <w:bidi w:val="0"/>
        <w:spacing w:before="0" w:after="0"/>
        <w:jc w:val="righ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516890"/>
                <wp:effectExtent l="0" t="0" r="0" b="0"/>
                <wp:wrapNone/>
                <wp:docPr id="349" name="Frame232"/>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Participant’s participation in the Plan is voluntary;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LTI Grant and the shares of Common Stock, and the income and value of same, subject to the LTI Grant are not intended to replace any pension rights or compensation;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LTI Grant and the shares of Common Stock subject to the LTI Grant, and the income and value of same, are not part of normal or expected compensation or salary for any purpose;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no claim or entitlement to compensation or damages shall arise from forfeiture of the LTI Grant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acquired under the Plan</w:t>
      </w:r>
      <w:r>
        <w:rPr>
          <w:color w:val="000000"/>
        </w:rPr>
        <w:t xml:space="preserve"> </w:t>
      </w:r>
      <w:r>
        <w:rPr>
          <w:rFonts w:ascii="Times New Roman;sans-serif" w:hAnsi="Times New Roman;sans-serif"/>
          <w:b w:val="false"/>
          <w:color w:val="000000"/>
          <w:sz w:val="22"/>
        </w:rPr>
        <w:t>resulting from (a)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r>
        <w:rPr>
          <w:color w:val="000000"/>
          <w:shd w:fill="FFFFFF" w:val="clear"/>
        </w:rPr>
        <w:t xml:space="preserve">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uto" w:line="288" w:before="0" w:after="240"/>
        <w:ind w:left="0" w:right="0" w:hanging="23"/>
        <w:jc w:val="left"/>
        <w:rPr/>
      </w:pPr>
      <w:r>
        <w:rPr>
          <w:rFonts w:ascii="Times New Roman;sans-serif" w:hAnsi="Times New Roman;sans-serif"/>
          <w:b w:val="false"/>
          <w:color w:val="000000"/>
          <w:sz w:val="22"/>
        </w:rPr>
        <w:t>10.</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Participant hereby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Participant’s participation in the Plan.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516890"/>
                <wp:effectExtent l="0" t="0" r="0" b="0"/>
                <wp:wrapNone/>
                <wp:docPr id="350" name="Frame233"/>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pPr>
      <w:r>
        <w:rPr>
          <w:rFonts w:ascii="Times New Roman;sans-serif" w:hAnsi="Times New Roman;sans-serif"/>
          <w:b/>
          <w:i/>
          <w:color w:val="000000"/>
          <w:sz w:val="22"/>
        </w:rPr>
        <w:t>The Participant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pStyle w:val="TextBody"/>
        <w:bidi w:val="0"/>
        <w:spacing w:lineRule="auto" w:line="288" w:before="0" w:after="24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Nontransferability of LTI Grant</w:t>
      </w:r>
      <w:r>
        <w:rPr>
          <w:rFonts w:ascii="Times New Roman;sans-serif" w:hAnsi="Times New Roman;sans-serif"/>
          <w:b w:val="false"/>
          <w:color w:val="000000"/>
          <w:sz w:val="22"/>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pStyle w:val="TextBody"/>
        <w:bidi w:val="0"/>
        <w:spacing w:before="0" w:after="0"/>
        <w:jc w:val="righ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516890"/>
                <wp:effectExtent l="0" t="0" r="0" b="0"/>
                <wp:wrapNone/>
                <wp:docPr id="351" name="Frame234"/>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Rights as Shareholder</w:t>
      </w:r>
      <w:r>
        <w:rPr>
          <w:rFonts w:ascii="Times New Roman;sans-serif" w:hAnsi="Times New Roman;sans-serif"/>
          <w:b w:val="false"/>
          <w:color w:val="000000"/>
          <w:sz w:val="22"/>
        </w:rPr>
        <w:t xml:space="preserve">.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provide for the accrual of dividend equivalents on the outstanding LTI Grant which shall be subject to the same vesting restrictions and conditions as the LTI Grant and may be subject to such additional restrictions and conditions as the Committee may establish. </w:t>
      </w:r>
    </w:p>
    <w:p>
      <w:pPr>
        <w:pStyle w:val="TextBody"/>
        <w:bidi w:val="0"/>
        <w:spacing w:lineRule="auto" w:line="288" w:before="0" w:after="240"/>
        <w:jc w:val="left"/>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pStyle w:val="TextBody"/>
        <w:bidi w:val="0"/>
        <w:spacing w:lineRule="auto" w:line="288" w:before="0" w:after="24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NO GUARANTEE OF CONTINUED EMPLOYMENT</w:t>
      </w:r>
      <w:r>
        <w:rPr>
          <w:rFonts w:ascii="Times New Roman;sans-serif" w:hAnsi="Times New Roman;sans-serif"/>
          <w:b w:val="false"/>
          <w:color w:val="000000"/>
          <w:sz w:val="22"/>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pStyle w:val="TextBody"/>
        <w:bidi w:val="0"/>
        <w:spacing w:lineRule="auto" w:line="288" w:before="0" w:after="24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w:t>
      </w:r>
    </w:p>
    <w:p>
      <w:pPr>
        <w:pStyle w:val="TextBody"/>
        <w:bidi w:val="0"/>
        <w:spacing w:before="0" w:after="0"/>
        <w:jc w:val="righ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516890"/>
                <wp:effectExtent l="0" t="0" r="0" b="0"/>
                <wp:wrapNone/>
                <wp:docPr id="352" name="Frame235"/>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litigation shall be conducted in the courts of Henrico County, Virginia, or the federal courts for the United States for the Eastern District of Virginia.</w:t>
      </w:r>
    </w:p>
    <w:p>
      <w:pPr>
        <w:pStyle w:val="TextBody"/>
        <w:bidi w:val="0"/>
        <w:spacing w:lineRule="auto" w:line="288" w:before="0" w:after="24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pStyle w:val="TextBody"/>
        <w:bidi w:val="0"/>
        <w:spacing w:lineRule="auto" w:line="288" w:before="0" w:after="24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Administration and Interpretation</w:t>
      </w:r>
      <w:r>
        <w:rPr>
          <w:rFonts w:ascii="Times New Roman;sans-serif" w:hAnsi="Times New Roman;sans-serif"/>
          <w:b w:val="false"/>
          <w:color w:val="000000"/>
          <w:sz w:val="22"/>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pStyle w:val="TextBody"/>
        <w:bidi w:val="0"/>
        <w:spacing w:lineRule="auto" w:line="288" w:before="0" w:after="24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captions used in the Notice and this Agreement are inserted for convenience and shall not be deemed a part of the LTI Grant for construction or interpretation.</w:t>
      </w:r>
    </w:p>
    <w:p>
      <w:pPr>
        <w:pStyle w:val="TextBody"/>
        <w:bidi w:val="0"/>
        <w:spacing w:lineRule="auto" w:line="288" w:before="0" w:after="24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pStyle w:val="TextBody"/>
        <w:bidi w:val="0"/>
        <w:spacing w:lineRule="auto" w:line="288" w:before="0" w:after="24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pStyle w:val="TextBody"/>
        <w:bidi w:val="0"/>
        <w:spacing w:lineRule="auto" w:line="288" w:before="0" w:after="24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516890"/>
                <wp:effectExtent l="0" t="0" r="0" b="0"/>
                <wp:wrapNone/>
                <wp:docPr id="353" name="Frame236"/>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This LTI Grant is intended to be exempt from, or otherwise comply with, Section 409A of the Code and shall be interpreted, operated and administered in a manner consistent with 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in the Agreement, if the Award is considered nonqualified deferred compensation subject to Section 409A of the Code (“Deferred Compensation”) and is settled on or on a date that is by reference to the Participant’s “separation 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 </w:t>
      </w:r>
    </w:p>
    <w:p>
      <w:pPr>
        <w:pStyle w:val="TextBody"/>
        <w:bidi w:val="0"/>
        <w:spacing w:lineRule="auto" w:line="288" w:before="0" w:after="24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No Advice Regarding LTI Grant</w:t>
      </w:r>
      <w:r>
        <w:rPr>
          <w:rFonts w:ascii="Times New Roman;sans-serif" w:hAnsi="Times New Roman;sans-serif"/>
          <w:b w:val="false"/>
          <w:color w:val="000000"/>
          <w:sz w:val="22"/>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pStyle w:val="TextBody"/>
        <w:bidi w:val="0"/>
        <w:spacing w:lineRule="auto" w:line="288" w:before="0" w:after="24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88" w:before="0" w:after="24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pStyle w:val="TextBody"/>
        <w:bidi w:val="0"/>
        <w:spacing w:lineRule="auto" w:line="288" w:before="0" w:after="24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516890"/>
                <wp:effectExtent l="0" t="0" r="0" b="0"/>
                <wp:wrapNone/>
                <wp:docPr id="354" name="Frame237"/>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jc w:val="left"/>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Participant may be subject to insider trading and/or market abuse laws, which affect the Participant’s ability to accept, acquire, sell or</w:t>
      </w:r>
      <w:r>
        <w:rPr>
          <w:color w:val="000000"/>
        </w:rPr>
        <w:t xml:space="preserve"> </w:t>
      </w:r>
      <w:r>
        <w:rPr>
          <w:rFonts w:ascii="Times New Roman;sans-serif" w:hAnsi="Times New Roman;sans-serif"/>
          <w:b w:val="false"/>
          <w:color w:val="000000"/>
          <w:sz w:val="22"/>
        </w:rPr>
        <w:t>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pStyle w:val="TextBody"/>
        <w:bidi w:val="0"/>
        <w:spacing w:lineRule="auto" w:line="288" w:before="0" w:after="240"/>
        <w:jc w:val="left"/>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In addition, the Participant agrees to take any and all actions required by the Company, any other entity in the Mondelēz Group or the local laws, rules and regulations in the Participant’s country of residence (and country of employment, if different) that may be required to comply with such laws, rules and regulations. The Participant acknowledges that it is the Participant’s responsibility to be compliant with such regulations, and the Participant understands and agrees that the Participant should consult his or her personal legal advisor for any details.</w:t>
      </w:r>
    </w:p>
    <w:p>
      <w:pPr>
        <w:pStyle w:val="TextBody"/>
        <w:bidi w:val="0"/>
        <w:spacing w:lineRule="auto" w:line="288" w:before="0" w:after="240"/>
        <w:jc w:val="left"/>
        <w:rPr/>
      </w:pPr>
      <w:r>
        <w:rPr>
          <w:rFonts w:ascii="Times New Roman;sans-serif" w:hAnsi="Times New Roman;sans-serif"/>
          <w:b w:val="false"/>
          <w:color w:val="000000"/>
          <w:sz w:val="22"/>
        </w:rPr>
        <w:t>30.</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516890"/>
                <wp:effectExtent l="0" t="0" r="0" b="0"/>
                <wp:wrapNone/>
                <wp:docPr id="355" name="Frame238"/>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as of the date of the Notice. </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Laura Stein </w:t>
        <w:br/>
        <w:t>Executive Vice President,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 Corporate Secretary</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516890"/>
                <wp:effectExtent l="0" t="0" r="0" b="0"/>
                <wp:wrapNone/>
                <wp:docPr id="356" name="Frame239"/>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uto" w:line="288" w:before="288"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THE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pStyle w:val="TextBody"/>
        <w:bidi w:val="0"/>
        <w:spacing w:lineRule="auto" w:line="288" w:before="28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2024.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pStyle w:val="TextBody"/>
        <w:bidi w:val="0"/>
        <w:spacing w:lineRule="auto" w:line="288" w:before="324"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516890"/>
                <wp:effectExtent l="0" t="0" r="0" b="0"/>
                <wp:wrapNone/>
                <wp:docPr id="357" name="Frame240"/>
                <a:graphic xmlns:a="http://schemas.openxmlformats.org/drawingml/2006/main">
                  <a:graphicData uri="http://schemas.microsoft.com/office/word/2010/wordprocessingShape">
                    <wps:wsp>
                      <wps:cNvSpPr txBox="1"/>
                      <wps:spPr>
                        <a:xfrm>
                          <a:off x="0" y="0"/>
                          <a:ext cx="6480175" cy="516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EUROPEAN UNION / EUROPEAN ECONOMIC AREA, SWITZERLAND AND THE UNITED KINGDOM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10 of the Agreement:</w:t>
      </w:r>
    </w:p>
    <w:p>
      <w:pPr>
        <w:pStyle w:val="TextBody"/>
        <w:bidi w:val="0"/>
        <w:spacing w:lineRule="auto" w:line="288"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 </w:t>
      </w:r>
    </w:p>
    <w:p>
      <w:pPr>
        <w:pStyle w:val="TextBody"/>
        <w:bidi w:val="0"/>
        <w:spacing w:lineRule="auto" w:line="288"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 </w:t>
      </w:r>
    </w:p>
    <w:p>
      <w:pPr>
        <w:pStyle w:val="TextBody"/>
        <w:bidi w:val="0"/>
        <w:spacing w:lineRule="auto" w:line="288"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18185"/>
                <wp:effectExtent l="0" t="0" r="0" b="0"/>
                <wp:wrapNone/>
                <wp:docPr id="358" name="Frame24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PricewaterhouseCoopers LLP or KPMG LLP with such agreement being a condition to the Participant’s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rPr>
        <w:t xml:space="preserve">The Participant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lineRule="auto" w:line="288"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6 of the Agreement will not apply to Argentinian Participants.</w:t>
      </w:r>
    </w:p>
    <w:p>
      <w:pPr>
        <w:pStyle w:val="TextBody"/>
        <w:bidi w:val="0"/>
        <w:spacing w:lineRule="auto" w:line="288"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9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Participant acknowledges and agrees that such benefits shall not accrue more frequently than on each vesting date.</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18185"/>
                <wp:effectExtent l="0" t="0" r="0" b="0"/>
                <wp:wrapNone/>
                <wp:docPr id="359" name="Frame24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the LTI Grant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xml:space="preserve">). Neither this Agreement nor any other offering material related to the LTI Grant nor the underlying shares of Common Stock may be utilized in connection with any general offering to the public in Argentina.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is solely responsible for complying with the exchange control rules that may apply in 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report holdings of any equity interest in a foreign company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shd w:fill="FFFFFF" w:val="clear"/>
        </w:rPr>
        <w:t xml:space="preserve">Securities Law Disclosure. </w:t>
      </w:r>
      <w:r>
        <w:rPr>
          <w:rFonts w:ascii="Times New Roman;sans-serif" w:hAnsi="Times New Roman;sans-serif"/>
          <w:b w:val="false"/>
          <w:color w:val="000000"/>
          <w:sz w:val="22"/>
          <w:shd w:fill="FFFFFF" w:val="clear"/>
        </w:rPr>
        <w:t xml:space="preserve">This offer is being made under Division 1A, Part 7.12 of the Corporations Act 2001 (Cth). Please note that if the Participant offers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for sale to a person or entity resident in Australia, the offer may be subject to disclosure requirements under Australian law. The Participant should obtain legal advice on the Participant’s disclosure obligations prior to making any such offer.</w:t>
      </w:r>
    </w:p>
    <w:p>
      <w:pPr>
        <w:pStyle w:val="TextBody"/>
        <w:bidi w:val="0"/>
        <w:spacing w:lineRule="auto" w:line="288" w:before="0" w:after="240"/>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Participant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Participant’s behalf, otherwise the Participant will be responsible for complying with any exchange control reporting requirements.</w:t>
      </w:r>
    </w:p>
    <w:p>
      <w:pPr>
        <w:pStyle w:val="TextBody"/>
        <w:bidi w:val="0"/>
        <w:spacing w:lineRule="auto" w:line="288"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18185"/>
                <wp:effectExtent l="0" t="0" r="0" b="0"/>
                <wp:wrapNone/>
                <wp:docPr id="360" name="Frame24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88" w:before="0" w:after="240"/>
        <w:jc w:val="left"/>
        <w:rPr/>
      </w:pPr>
      <w:r>
        <w:rPr>
          <w:rFonts w:ascii="Times New Roman;sans-serif" w:hAnsi="Times New Roman;sans-serif"/>
          <w:b w:val="false"/>
          <w:color w:val="000000"/>
          <w:sz w:val="22"/>
        </w:rPr>
        <w:t>If the Participant sells shares of Common Stock, or receives any cash dividends, the Participant may have exchange control obligations if the Participant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pStyle w:val="TextBody"/>
        <w:bidi w:val="0"/>
        <w:spacing w:lineRule="auto" w:line="288" w:before="0" w:after="240"/>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If the value of securities held in a Belgian or foreign securities account exceeds EUR 1 million, a new “annual securities accounts tax” applies. Belgian residents should consult with their personal tax advisor regarding the new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and receiving the LTI Grant, the Participant acknowledges that he or she agrees to comply with applicable Brazilian laws and pay any and all applicable Tax-Related Items associated with the vesting of the LTI Grant and the payout or sale of any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 xml:space="preserve">By accepting the LTI Grant, the Participant understands, acknowledges and agrees that, for all legal purposes (i) the Participant is making an investment decision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18185"/>
                <wp:effectExtent l="0" t="0" r="0" b="0"/>
                <wp:wrapNone/>
                <wp:docPr id="361" name="Frame24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value of the underlying shares of Common Stock are not fixed and may increase or decrease in value over the vesting period without compensation to the Employee.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if the total sum of all such receivables and securities equals or exceeds BGN50,000 as of the previous calendar year end. The reports are due by March 31.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contact his or her bank in Bulgaria for additional information regarding these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LTI Grants to employees resident in Canada shall be paid in shares of Common Stock only.</w:t>
      </w:r>
    </w:p>
    <w:p>
      <w:pPr>
        <w:pStyle w:val="TextBody"/>
        <w:bidi w:val="0"/>
        <w:spacing w:lineRule="auto" w:line="288" w:before="0" w:after="240"/>
        <w:jc w:val="left"/>
        <w:rPr/>
      </w:pPr>
      <w:r>
        <w:rPr>
          <w:rFonts w:ascii="Times New Roman;sans-serif" w:hAnsi="Times New Roman;sans-serif"/>
          <w:b/>
          <w:color w:val="000000"/>
          <w:sz w:val="22"/>
        </w:rPr>
        <w:t xml:space="preserve">Termination of Employment. </w:t>
      </w:r>
      <w:r>
        <w:rPr>
          <w:rFonts w:ascii="Times New Roman;sans-serif" w:hAnsi="Times New Roman;sans-serif"/>
          <w:b w:val="false"/>
          <w:color w:val="000000"/>
          <w:sz w:val="22"/>
        </w:rPr>
        <w:t>The following provision supplements paragraph 3(b)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 terminated, or (2) the date the Participant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718185"/>
                <wp:effectExtent l="0" t="0" r="0" b="0"/>
                <wp:wrapNone/>
                <wp:docPr id="362" name="Frame24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determine when the Participant is no longer actively employed or providing services and the termination date for purposes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The Participant will not earn or be entitled to pro-rated vesting for that portion of time before the date on which the Participant's right to vest terminates or if the vesting date falls after the end of the Participant’s statutory notice period, nor will the Participant be entitled to any compensation for lost vesting.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Participants resident in Quebec:</w:t>
      </w:r>
    </w:p>
    <w:p>
      <w:pPr>
        <w:pStyle w:val="TextBody"/>
        <w:bidi w:val="0"/>
        <w:spacing w:lineRule="auto" w:line="288" w:before="0" w:after="240"/>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10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acknowledges and agrees that the Participant’s personal information, including sensitive personal information, may be transferred or disclosed outside of the Province of Quebec, including to the United States. The Participant further authorizes the Mondelēz Group to record such information and to keep such information in his or her employee file. The Participant also acknowledges and authorizes the Company and any subsidiary or affiliate or other parties involved in the administration of the Plan to use technology for profiling purposes and to make automated decisions that may have an impact on the Participant or the administration of the Plan.</w:t>
      </w:r>
    </w:p>
    <w:p>
      <w:pPr>
        <w:pStyle w:val="TextBody"/>
        <w:bidi w:val="0"/>
        <w:spacing w:lineRule="auto" w:line="288" w:before="0" w:after="240"/>
        <w:jc w:val="left"/>
        <w:rPr/>
      </w:pPr>
      <w:r>
        <w:rPr>
          <w:rFonts w:ascii="Times New Roman;sans-serif" w:hAnsi="Times New Roman;sans-serif"/>
          <w:b/>
          <w:color w:val="000000"/>
          <w:sz w:val="22"/>
        </w:rPr>
        <w:t xml:space="preserve">Language. </w:t>
      </w:r>
      <w:r>
        <w:rPr>
          <w:rFonts w:ascii="Times New Roman;sans-serif" w:hAnsi="Times New Roman;sans-serif"/>
          <w:b w:val="false"/>
          <w:color w:val="000000"/>
          <w:sz w:val="22"/>
        </w:rPr>
        <w:t xml:space="preserve">A French translation of the Plan and the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Participant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The Participant is required to report any specified foreign property annually on Form T1135 (Foreign Income Verification Statement) if the total cost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18185"/>
                <wp:effectExtent l="0" t="0" r="0" b="0"/>
                <wp:wrapNone/>
                <wp:docPr id="363" name="Frame24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xml:space="preserve">)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constitutes a private offering of securities in Chile effective as of the Grant Date. The LTI Grant is made subject to general ruling N° 336 of the Chilean Superintendence of Securities and Insurance (“</w:t>
      </w:r>
      <w:r>
        <w:rPr>
          <w:rFonts w:ascii="Times New Roman;sans-serif" w:hAnsi="Times New Roman;sans-serif"/>
          <w:b w:val="false"/>
          <w:color w:val="000000"/>
          <w:sz w:val="22"/>
          <w:u w:val="single"/>
        </w:rPr>
        <w:t>SVS</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pStyle w:val="TextBody"/>
        <w:bidi w:val="0"/>
        <w:spacing w:lineRule="auto" w:line="288" w:before="0" w:after="240"/>
        <w:jc w:val="left"/>
        <w:rPr/>
      </w:pPr>
      <w:r>
        <w:rPr>
          <w:rFonts w:ascii="Times New Roman;sans-serif" w:hAnsi="Times New Roman;sans-serif"/>
          <w:b w:val="false"/>
          <w:i/>
          <w:color w:val="000000"/>
          <w:sz w:val="22"/>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Times New Roman;sans-serif" w:hAnsi="Times New Roman;sans-serif"/>
          <w:b w:val="false"/>
          <w:i/>
          <w:color w:val="000000"/>
          <w:sz w:val="22"/>
          <w:u w:val="single"/>
        </w:rPr>
        <w:t>SVS</w:t>
      </w:r>
      <w:r>
        <w:rPr>
          <w:color w:val="000000"/>
        </w:rPr>
        <w:t>”</w:t>
      </w:r>
      <w:r>
        <w:rPr>
          <w:rFonts w:ascii="Times New Roman;sans-serif" w:hAnsi="Times New Roman;sans-serif"/>
          <w:b w:val="false"/>
          <w:i/>
          <w:color w:val="000000"/>
          <w:sz w:val="22"/>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not required to repatriate any funds he or she receives with respect to the LTI Award Payout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Participant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Participant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Participant must report the investments annually to the Central Bank using Annex 3.1 of Chapter XII of the Foreign Exchange Regulations.</w:t>
      </w:r>
    </w:p>
    <w:p>
      <w:pPr>
        <w:pStyle w:val="TextBody"/>
        <w:bidi w:val="0"/>
        <w:spacing w:lineRule="auto" w:line="288" w:before="0" w:after="240"/>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Participant</w:t>
      </w:r>
      <w:r>
        <w:rPr>
          <w:color w:val="000000"/>
        </w:rPr>
        <w:t xml:space="preserve"> </w:t>
      </w:r>
      <w:r>
        <w:rPr>
          <w:rFonts w:ascii="Times New Roman;sans-serif" w:hAnsi="Times New Roman;sans-serif"/>
          <w:b w:val="false"/>
          <w:i/>
          <w:color w:val="000000"/>
          <w:sz w:val="22"/>
        </w:rPr>
        <w:t>should consult with his or her personal legal advisor regarding any exchange control obligations that may apply in connection with the LTI Award Payout.</w:t>
      </w:r>
    </w:p>
    <w:p>
      <w:pPr>
        <w:pStyle w:val="TextBody"/>
        <w:bidi w:val="0"/>
        <w:spacing w:lineRule="auto" w:line="288" w:before="0" w:after="240"/>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xml:space="preserve">. If the Participant holds shares of Common Stock acquired under the Plan outside Chile, the Participant may be required to inform the Chilean 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718185"/>
                <wp:effectExtent l="0" t="0" r="0" b="0"/>
                <wp:wrapNone/>
                <wp:docPr id="364" name="Frame24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July 1 each year, which should be submitted electronically through the CIRS website: </w:t>
      </w:r>
      <w:r>
        <w:rPr>
          <w:rFonts w:ascii="Times New Roman;sans-serif" w:hAnsi="Times New Roman;sans-serif"/>
          <w:b w:val="false"/>
          <w:color w:val="000000"/>
          <w:sz w:val="24"/>
        </w:rPr>
        <w:t>www.sii.cl.</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pStyle w:val="TextBody"/>
        <w:bidi w:val="0"/>
        <w:spacing w:lineRule="auto" w:line="288" w:before="0" w:after="240"/>
        <w:jc w:val="left"/>
        <w:rPr/>
      </w:pPr>
      <w:r>
        <w:rPr>
          <w:rFonts w:ascii="Times New Roman;sans-serif" w:hAnsi="Times New Roman;sans-serif"/>
          <w:b/>
          <w:color w:val="000000"/>
          <w:sz w:val="22"/>
        </w:rPr>
        <w:t>Time and Form of Payment.</w:t>
      </w:r>
      <w:r>
        <w:rPr>
          <w:color w:val="000000"/>
        </w:rPr>
        <w:t xml:space="preserve"> </w:t>
      </w:r>
      <w:r>
        <w:rPr>
          <w:rFonts w:ascii="Times New Roman;sans-serif" w:hAnsi="Times New Roman;sans-serif"/>
          <w:b w:val="false"/>
          <w:color w:val="000000"/>
          <w:sz w:val="22"/>
        </w:rPr>
        <w:t>Due to legal restrictions in China, the LTI Award Payout may be made to the Participant in cash, rather than 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Participant is not required to sell shares of Common Stock immediately upon payment of the LTI Grant, any shares of Common Stock issued to the Participant must be maintained in an account with Morgan Stanley Smith Barney, LLC.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pStyle w:val="TextBody"/>
        <w:bidi w:val="0"/>
        <w:spacing w:lineRule="auto" w:line="288"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 xml:space="preserve">The Participant understands and agrees that, due to exchange control laws in China, he or she will be 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18185"/>
                <wp:effectExtent l="0" t="0" r="0" b="0"/>
                <wp:wrapNone/>
                <wp:docPr id="365" name="Frame24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Section 9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acknowledges that pursuant to Article 128 of the Colombian Labor Code, the Plan and 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718185"/>
                <wp:effectExtent l="0" t="0" r="0" b="0"/>
                <wp:wrapNone/>
                <wp:docPr id="366" name="Frame24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Participant must describe each asset and indicate the jurisdiction in which it is located, its nature and its value.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Participant 's responsibility to comply with Croatian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LTI Grant and the opening and maintenance of a foreign account, including reporting (i) foreign direct investments with a value of CZK 2,500,000 or more in the aggregate or (ii) foreign financial assets with a value of CZK 200,000,000 or more. The Participant should consult their personal legal advisor to ensure compliance with the applicable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xml:space="preserve">. The Participant acknowledges that he or she has received an Employer Statement in Danish, which sets forth the additional terms of the LTI Grant to the extent that the Danish Stock Option Act applies.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18185"/>
                <wp:effectExtent l="0" t="0" r="0" b="0"/>
                <wp:wrapNone/>
                <wp:docPr id="367" name="Frame25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is required to report any accounts holding shares of Common Stock or cash established outside Denmark to the Danish Tax Administration as part of his or her tax return under the section related to foreign affairs and income.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Participant transfers funds into Egypt in connection with the LTI Award Payout, the Participant is required to transfer the funds through a registered bank in Egypt.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Not French-Qualified.</w:t>
      </w:r>
      <w:r>
        <w:rPr>
          <w:color w:val="000000"/>
        </w:rPr>
        <w:t xml:space="preserve"> </w:t>
      </w:r>
      <w:r>
        <w:rPr>
          <w:rFonts w:ascii="Times New Roman;sans-serif" w:hAnsi="Times New Roman;sans-serif"/>
          <w:b w:val="false"/>
          <w:color w:val="000000"/>
          <w:sz w:val="22"/>
        </w:rPr>
        <w:t>The LTI Grant made under this Agreement are not intended to qualify for specific tax and social security treatment pursuant to Sections L. 225-197-1 to L. 225-197-6 of the French Commercial Code, as amended.</w:t>
      </w:r>
    </w:p>
    <w:p>
      <w:pPr>
        <w:pStyle w:val="TextBody"/>
        <w:bidi w:val="0"/>
        <w:spacing w:lineRule="auto" w:line="288"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and receiving the LTI Grant, the Participant confirms having read and understood the Plan and Agreement, including all terms and conditions included therein, which were provided in the English language. The Participant accepts the terms of those documents accordingly.</w:t>
      </w:r>
    </w:p>
    <w:p>
      <w:pPr>
        <w:pStyle w:val="TextBody"/>
        <w:bidi w:val="0"/>
        <w:spacing w:lineRule="auto" w:line="288" w:before="0" w:after="240"/>
        <w:jc w:val="left"/>
        <w:rPr/>
      </w:pPr>
      <w:r>
        <w:rPr>
          <w:rFonts w:ascii="Times New Roman;sans-serif" w:hAnsi="Times New Roman;sans-serif"/>
          <w:b w:val="false"/>
          <w:i/>
          <w:color w:val="000000"/>
          <w:sz w:val="22"/>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718185"/>
                <wp:effectExtent l="0" t="0" r="0" b="0"/>
                <wp:wrapNone/>
                <wp:docPr id="368" name="Frame25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Participant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Cross-border payments in connection with the purchase or sale of securities in excess of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If the Participant receives a payment in excess of this amount (including if the Participant acquires shares of Common Stock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Participant must report the payment and/or the value of the shares of Common Stock withheld or sold to Bundesbank. Such reports must be filed either electronically using the “General Statistics Reporting Portal” (Allgemeine Meldeportal Statistik) available via the Bundesbank’s website (www.bundesbank.de) or by such other method as is permitted or required by Bundesbank. The report must be submitted monthly or within such timing as is permitted or required by Bundesbank.</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€150,000, or (ii) the Participant holds Common Stock exceeding 10% of the total capital of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Section 4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18185"/>
                <wp:effectExtent l="0" t="0" r="0" b="0"/>
                <wp:wrapNone/>
                <wp:docPr id="369" name="Frame25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Participant sell all shares of Common Stock delivered to the Participant, either immediately upon receipt of such shares or upon the Participant’s termination of employment from the Mondelēz Group. In this regard, the Participant agrees that the Company is authorized to instruct its designated broker to assist with any such mandatory sale of shares of Common Stock (on the Participant’s behalf pursuant to this authorization), and the Participant expressly authorizes the designated broker to complete the sale of such shares. The Participant also agrees to sign any agreements, forms and/or consents that may be reasonably requested by the Company (or the designated broker) to effectuate the sale of the shares of Common Stock and shall otherwise cooperate with the Company with respect to such matters, provided that the Participant shall not be permitted to exercise any influence over how, when or whether the sales occur. The Participant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Participant and (if later) the date on which the shares of Common Stock are sold, the amount of proceeds ultimately distributed to the Participant may be more or less than the market value of the shares of Common Stock on the relevant vesting date or the date on which such shares are delivered to the Participant. Upon the sale of the shares of Common Stock, the cash proceeds from the sale of shares (less any applicable Tax-Related Items, brokerage fees or commissions) will be delivered to the Participant in accordance with applicable laws and regulations, as determined by the Company in its sole discretion.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 The Participant is personally responsible for complying with exchange control laws in India, and neither the Company nor the Employer will be liable for any fines or penalties resulting from the Participant’s failure to comply with applicable laws. The Participant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Participant should consult his or her personal tax or legal advisor before selling shares of Common Stock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declare foreign bank accounts and any foreign financial assets (including shares of Common Stock held outside India) in his or her annual tax return. It is the Participant’s responsibility to comply with this reporting obligation and the Participant should consult with his or her personal tax advisor in this regard.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88" w:before="0" w:after="240"/>
        <w:jc w:val="left"/>
        <w:rPr/>
      </w:pPr>
      <w:r>
        <w:rPr>
          <w:rFonts w:ascii="Times New Roman;sans-serif" w:hAnsi="Times New Roman;sans-serif"/>
          <w:b/>
          <w:color w:val="000000"/>
          <w:sz w:val="22"/>
        </w:rPr>
        <w:t xml:space="preserve">Language Consent and Notification. </w:t>
      </w:r>
      <w:r>
        <w:rPr>
          <w:rFonts w:ascii="Times New Roman;sans-serif" w:hAnsi="Times New Roman;sans-serif"/>
          <w:b w:val="false"/>
          <w:color w:val="000000"/>
          <w:sz w:val="22"/>
        </w:rPr>
        <w:t xml:space="preserve">A translation of the documents relating to this LTI grant into Bahasa Indonesia can be provided to the Participant upon request to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By accepting the LTI Grant, the Participant (i) confirms having read and understood the documents relating to this LTI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the Plan and the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718185"/>
                <wp:effectExtent l="0" t="0" r="0" b="0"/>
                <wp:wrapNone/>
                <wp:docPr id="370" name="Frame25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Terjemahan dari dokumen-dokumen terkait dengan pemberian ini ke Bahasa Indonesia dapat disediakan untuk anda berdasarkan permintaan kepada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Participant is a director, shadow director</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Participant must notify the Irish subsidiary or affiliate in writing if (1) the Participant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288"/>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18185"/>
                <wp:effectExtent l="0" t="0" r="0" b="0"/>
                <wp:wrapNone/>
                <wp:docPr id="371" name="Frame25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participating in the Plan and receiving the LTI Grant, the Participant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are beneficial owners of the investment pursuant to Italian money laundering provisions.</w:t>
      </w:r>
    </w:p>
    <w:p>
      <w:pPr>
        <w:pStyle w:val="TextBody"/>
        <w:bidi w:val="0"/>
        <w:spacing w:lineRule="auto" w:line="288"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 is subject to a foreign assets tax. The 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acquires shares of Common Stock valued at more than ¥100,000,000 in a single transaction, the Participant must file a Securities Acquisition Report with the Ministry of Finance through the Bank of Japan within 20 days of the purchase of the shares of Common Stock.</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 Participant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718185"/>
                <wp:effectExtent l="0" t="0" r="0" b="0"/>
                <wp:wrapNone/>
                <wp:docPr id="372" name="Frame25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include details of any outstanding LTI Grant, shares of Common Stock or cash held by the Participant in the report.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Please note that the exchange control regulations in Kazakhstan are subject to change. The Employee should consult with their personal legal advisor regarding any exchange control obligations that the Employee may have prior to the LTI Award Payout or receiving proceeds from the sale of shares of Common Stock acquired under the Plan. The Employee is responsible for ensuring compliance with all exchange control laws in Kazakhstan.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paragraph 10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718185"/>
                <wp:effectExtent l="0" t="0" r="0" b="0"/>
                <wp:wrapNone/>
                <wp:docPr id="373" name="Frame25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3"/>
        <w:gridCol w:w="1735"/>
        <w:gridCol w:w="1739"/>
        <w:gridCol w:w="1392"/>
        <w:gridCol w:w="1392"/>
        <w:gridCol w:w="1974"/>
      </w:tblGrid>
      <w:tr>
        <w:trPr/>
        <w:tc>
          <w:tcPr>
            <w:tcW w:w="197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5447"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Participant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Participant’s participation in the Plan. The Data is supplied by the Employer and also by the Participant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pStyle w:val="TableContents"/>
              <w:bidi w:val="0"/>
              <w:spacing w:lineRule="auto" w:line="288" w:before="0" w:after="240"/>
              <w:jc w:val="left"/>
              <w:rPr/>
            </w:pPr>
            <w:r>
              <w:rPr>
                <w:rFonts w:ascii="Times New Roman;sans-serif" w:hAnsi="Times New Roman;sans-serif"/>
                <w:b/>
                <w:i/>
                <w:color w:val="000000"/>
                <w:sz w:val="22"/>
              </w:rPr>
              <w:t>The Participant understands that Data will be transferred to Morgan Stanley Smith Barney, LLC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Malaysia Sales Sdn Bhd, Lot 9.01 Level 9, 1 First Avenue, 2A, Dataran Bandar Utama, Bandar Utama Damasara, 47800 Petaling Jaya, Selangor, Malaysia. The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tc>
        <w:tc>
          <w:tcPr>
            <w:tcW w:w="4758"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 </w:t>
            </w:r>
          </w:p>
          <w:p>
            <w:pPr>
              <w:pStyle w:val="TableContents"/>
              <w:bidi w:val="0"/>
              <w:spacing w:lineRule="auto" w:line="288" w:before="0" w:after="240"/>
              <w:jc w:val="both"/>
              <w:rPr/>
            </w:pPr>
            <w:r>
              <w:rPr>
                <w:rFonts w:ascii="Times New Roman;sans-serif" w:hAnsi="Times New Roman;sans-serif"/>
                <w:b/>
                <w:i/>
                <w:color w:val="000000"/>
                <w:sz w:val="22"/>
              </w:rPr>
              <w:t>Peserta memahami bahawa Data tersebut akan dipindahkan ke Morgan Stanley Smith Barney, LLC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Pesertadengan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tc>
      </w:tr>
    </w:tbl>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Participant is a director of the Company’s Malaysian subsidiary or affiliate, the Participant is subject to certain notification requirements under the Malaysian Companies Act. Among these requirements is an obligation to notify the Malaysian subsidiary or affiliate in writing when the Participant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LTI Grants or shares of Common Stock) in the Company or any related company. Such notifications must be made within 14 days of receiving or disposing of any interest in the Company or any related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participating in the Plan and receiving this LTI Grant, the Participant expressly recognizes that Mondelēz 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w:t>
      </w:r>
      <w:r>
        <w:rPr>
          <w:color w:val="1F497D"/>
        </w:rPr>
        <w:t xml:space="preserve"> </w:t>
      </w:r>
      <w:r>
        <w:rPr>
          <w:rFonts w:ascii="Times New Roman;sans-serif" w:hAnsi="Times New Roman;sans-serif"/>
          <w:b w:val="false"/>
          <w:color w:val="000000"/>
          <w:sz w:val="22"/>
        </w:rPr>
        <w:t xml:space="preserve">Mondelēz México, S. de R.L. de C.V., located at Av. 18 de Noviembre 1028, Camino a Manzanilla, Heroica Puebla de Zaragoza, Puebla, C.P. 72304. Based on the foregoing, the Participant expressly recognizes that the Plan and the benefits that he or she may derive from participating in the Plan do not establish any rights between the Participant and the Employer, Mondelēz México, S. de R.L. de C.V., and do not form part of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718185"/>
                <wp:effectExtent l="0" t="0" r="0" b="0"/>
                <wp:wrapNone/>
                <wp:docPr id="374" name="Frame25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employment conditions and/or benefits provided by Mondelēz México, S. de R.L. de C.V., and any modification of the Plan or its termination shall not constitute a change or impairment of the terms and conditions of the Participant’s employment.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xml:space="preserve">. By accepting the LTI Grant, the Participant acknowledges that he or she has received copies of the Plan, has reviewed the Plan and the Agreement in their entirety and fully understands and accepts all provisions of the Plan and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88" w:before="0" w:after="240"/>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 participar en el Plan LTI y recibir el Premio LTIP, el Participante expresamente 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México,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Mondelēz México, S. de R.L. de C.V., y no forma parte de las condiciones de trabajo y/o las prestaciones otorgadas por Mondelēz México, S. de R.L. de C.V., y que cualquier modificación al Plan LTI o su terminación no constituye un cambio o impedimento de los términos y condiciones de la relación de trabajo del Participante.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718185"/>
                <wp:effectExtent l="0" t="0" r="0" b="0"/>
                <wp:wrapNone/>
                <wp:docPr id="375" name="Frame25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Premio LTIP, el Participante reconoce que ha recibido copias del Plan LTI, que ha revisado el Plan LTI y el Acuerdo en su totalidad y que entiende y acepta completamente todas las disposiciones contenidas en el Plan LTI y en el Acuerdo.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LTI Grants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718185"/>
                <wp:effectExtent l="0" t="0" r="0" b="0"/>
                <wp:wrapNone/>
                <wp:docPr id="376" name="Frame25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 LTI Award.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is required immediately to repatriate to Pakistan the proceeds from the sale of any 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9 of the Agreement:</w:t>
      </w:r>
    </w:p>
    <w:p>
      <w:pPr>
        <w:pStyle w:val="TextBody"/>
        <w:bidi w:val="0"/>
        <w:spacing w:lineRule="auto" w:line="288" w:before="0" w:after="240"/>
        <w:jc w:val="left"/>
        <w:rPr/>
      </w:pPr>
      <w:r>
        <w:rPr>
          <w:rFonts w:ascii="Times New Roman;sans-serif" w:hAnsi="Times New Roman;sans-serif"/>
          <w:b w:val="false"/>
          <w:color w:val="000000"/>
          <w:sz w:val="22"/>
        </w:rPr>
        <w:t xml:space="preserve">By accepting the LTI Grant, the Participant acknowledges, understands and agrees that the LTI Grant is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718185"/>
                <wp:effectExtent l="0" t="0" r="0" b="0"/>
                <wp:wrapNone/>
                <wp:docPr id="377" name="Frame26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LTI Grant is considered a private offering in Peru; therefore, it is not subject to registration. For more 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w:t>
      </w:r>
      <w:r>
        <w:rPr>
          <w:color w:val="000000"/>
        </w:rPr>
        <w:t xml:space="preserve"> </w:t>
      </w:r>
      <w:r>
        <w:rPr>
          <w:rFonts w:ascii="Times New Roman;sans-serif" w:hAnsi="Times New Roman;sans-serif"/>
          <w:b w:val="false"/>
          <w:color w:val="000000"/>
          <w:sz w:val="22"/>
        </w:rPr>
        <w:t>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Participant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88"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718185"/>
                <wp:effectExtent l="0" t="0" r="0" b="0"/>
                <wp:wrapNone/>
                <wp:docPr id="378" name="Frame26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Participant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Participant.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deposits proceeds from the sale of Common Stock in a bank account in Romania, the 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Agreement, the Plan and all other materials that the Participant may receive concerning the LTI Grant and the Participant’s participation in the Plan do not constitute advertising or an offering of securities in Russia. The Common Stock to be issued upon the LTI Award Payout has not and will not be registered in Russia and, therefore, the Common Stock described in any Plan documents may not be offered or placed in public circulation in Russia. In no event will Common Stock to be issued upon the LTI Award Payout be delivered to the Participant in Russia. All Common Stock acquired under the Plan will be maintained on the Participant’s behalf outside of Russia. The Participant will not be permitted to sell Common Stock directly to a Russian legal entity or resident.</w:t>
      </w:r>
    </w:p>
    <w:p>
      <w:pPr>
        <w:pStyle w:val="TextBody"/>
        <w:bidi w:val="0"/>
        <w:spacing w:lineRule="auto" w:line="288" w:before="0" w:after="240"/>
        <w:jc w:val="left"/>
        <w:rPr/>
      </w:pPr>
      <w:r>
        <w:rPr>
          <w:rFonts w:ascii="Times New Roman;sans-serif" w:hAnsi="Times New Roman;sans-serif"/>
          <w:b/>
          <w:color w:val="000000"/>
          <w:sz w:val="22"/>
        </w:rPr>
        <w:t>Settlement of LTI Grant and Sale of Shares.</w:t>
      </w:r>
      <w:r>
        <w:rPr>
          <w:color w:val="000000"/>
        </w:rPr>
        <w:t xml:space="preserve"> </w:t>
      </w:r>
      <w:r>
        <w:rPr>
          <w:rFonts w:ascii="Times New Roman;sans-serif" w:hAnsi="Times New Roman;sans-serif"/>
          <w:b w:val="false"/>
          <w:color w:val="000000"/>
          <w:sz w:val="22"/>
        </w:rPr>
        <w:t>The Optionee understands that no shares of Common Stock will be issued upon vesting of the LTI Grant if the Company, in its sole discretion, determines that such issuance would not comply with applicable laws and regulations in Russia.</w:t>
      </w:r>
      <w:r>
        <w:rPr>
          <w:color w:val="000000"/>
        </w:rPr>
        <w:t xml:space="preserve"> </w:t>
      </w:r>
      <w:r>
        <w:rPr>
          <w:rFonts w:ascii="Times New Roman;sans-serif" w:hAnsi="Times New Roman;sans-serif"/>
          <w:b w:val="false"/>
          <w:color w:val="000000"/>
          <w:sz w:val="22"/>
        </w:rPr>
        <w:t>Notwithstanding anything to the contrary in the Agreement, depending on the development of 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288"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10 of the Agreement:</w:t>
      </w:r>
    </w:p>
    <w:p>
      <w:pPr>
        <w:pStyle w:val="TextBody"/>
        <w:bidi w:val="0"/>
        <w:spacing w:lineRule="auto" w:line="288" w:before="0" w:after="240"/>
        <w:jc w:val="left"/>
        <w:rPr/>
      </w:pPr>
      <w:r>
        <w:rPr>
          <w:rFonts w:ascii="Times New Roman;sans-serif" w:hAnsi="Times New Roman;sans-serif"/>
          <w:b w:val="false"/>
          <w:color w:val="000000"/>
          <w:sz w:val="22"/>
        </w:rPr>
        <w:t>The Participant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xml:space="preserve">)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18185"/>
                <wp:effectExtent l="0" t="0" r="0" b="0"/>
                <wp:wrapNone/>
                <wp:docPr id="379" name="Frame26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responsible for complying with any and all Russian foreign exchange control requirements in connection with the LTI Grant, any shares of Common Stock acquired and funds remitted into Russia in connection with the Plan. This may include, in certain circumstances, reporting and repatriation requirements. The foreign exchange control rules and regulations in Russia are subject to frequent change. The Participant should contact their personal advisor to determine applicability of all repatriation, remittance or other exchange control requirements to ensure compliance with all applicable exchange control requirements prior to vesting of the LTI Grant and/or selling shares of Common Stock.</w:t>
      </w:r>
    </w:p>
    <w:p>
      <w:pPr>
        <w:pStyle w:val="TextBody"/>
        <w:bidi w:val="0"/>
        <w:spacing w:lineRule="auto" w:line="288" w:before="0" w:after="240"/>
        <w:jc w:val="left"/>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Participant continues to hold shares of Common Stock acquired at vesting of the LTI Grant after an involuntary termination of employment, the Participant will not be eligible to receive unemployment benefits in Russia.</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Participant’s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the LTI Grant</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Participant should consult with their personal legal advisor to determine the applicability of these reporting requirements to any brokerage account opened in connection with participation in the Plan.</w:t>
      </w:r>
    </w:p>
    <w:p>
      <w:pPr>
        <w:pStyle w:val="TextBody"/>
        <w:bidi w:val="0"/>
        <w:spacing w:lineRule="auto" w:line="288"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Participant should inform the Company if the Participant is covered by these laws because the Participant should not hold shares of Common Stock acquired under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718185"/>
                <wp:effectExtent l="0" t="0" r="0" b="0"/>
                <wp:wrapNone/>
                <wp:docPr id="380" name="Frame263"/>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This document may not be distributed in the Kingdom of Saudi Arabia except to such persons as are permitted under the Offer of Securities Regulations and Continuing Obligations issued by the Capital Market Authority.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Participant is permitted to acquire shares of 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Transfer Restrictions. </w:t>
      </w:r>
      <w:r>
        <w:rPr>
          <w:rFonts w:ascii="Times New Roman;sans-serif" w:hAnsi="Times New Roman;sans-serif"/>
          <w:b w:val="false"/>
          <w:color w:val="000000"/>
          <w:sz w:val="22"/>
        </w:rPr>
        <w:t>The Participant agrees that any shares of Common Stock acquired pursuant to the LTI Grant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is being made pursuant to the “Qualifying Person” exemption under section 273(1)(f) of the SFA and is not made to the Participant with a view to the LTI Grant being subsequently offered for sale to any other party. The Plan has not been lodged or registered as a prospectus with the Monetary Authority of Singapore.</w:t>
      </w:r>
    </w:p>
    <w:p>
      <w:pPr>
        <w:pStyle w:val="TextBody"/>
        <w:bidi w:val="0"/>
        <w:spacing w:lineRule="auto" w:line="288"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Grant,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when the shares of Common Stock are sold), or (iii) becoming a director, associate director or shadow director.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718185"/>
                <wp:effectExtent l="0" t="0" r="0" b="0"/>
                <wp:wrapNone/>
                <wp:docPr id="381" name="Frame264"/>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Participant e’s brokerage account with the Company’s designated broker).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xml:space="preserve">. In compliance with South African Securities Law, the documents listed below are available for the Participant’s review on the Company’s public site or intranet site, as applicable, as listed below: </w:t>
      </w:r>
    </w:p>
    <w:p>
      <w:pPr>
        <w:pStyle w:val="TextBody"/>
        <w:bidi w:val="0"/>
        <w:spacing w:lineRule="auto" w:line="288" w:before="0" w:after="240"/>
        <w:ind w:left="0" w:right="0" w:hanging="360"/>
        <w:jc w:val="left"/>
        <w:rPr/>
      </w:pPr>
      <w:r>
        <w:rPr>
          <w:rFonts w:ascii="Times New Roman;sans-serif" w:hAnsi="Times New Roman;sans-serif"/>
          <w:b w:val="false"/>
          <w:i/>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FF"/>
          <w:sz w:val="22"/>
          <w:u w:val="single"/>
        </w:rPr>
        <w:t>http://www.mondelezinternational.com/investors</w:t>
      </w:r>
      <w:r>
        <w:rPr>
          <w:rFonts w:ascii="Times New Roman;sans-serif" w:hAnsi="Times New Roman;sans-serif"/>
          <w:b w:val="false"/>
          <w:color w:val="000000"/>
          <w:sz w:val="22"/>
        </w:rPr>
        <w:t>.</w:t>
      </w:r>
    </w:p>
    <w:p>
      <w:pPr>
        <w:pStyle w:val="TextBody"/>
        <w:bidi w:val="0"/>
        <w:spacing w:lineRule="auto" w:line="288" w:before="0" w:after="240"/>
        <w:ind w:left="0" w:right="0" w:hanging="360"/>
        <w:jc w:val="left"/>
        <w:rPr/>
      </w:pPr>
      <w:r>
        <w:rPr>
          <w:rFonts w:ascii="Times New Roman;sans-serif" w:hAnsi="Times New Roman;sans-serif"/>
          <w:b w:val="false"/>
          <w:i/>
          <w:color w:val="000000"/>
          <w:sz w:val="22"/>
        </w:rPr>
        <w:t>2.</w:t>
      </w:r>
      <w:r>
        <w:rPr>
          <w:rFonts w:ascii="Times New Roman;sans-serif" w:hAnsi="Times New Roman;sans-serif"/>
          <w:b w:val="false"/>
          <w:color w:val="000000"/>
          <w:sz w:val="22"/>
        </w:rPr>
        <w:t xml:space="preserve">The Company’s most recent Plan prospectus: a copy of which can be found on the Company’s Intranet site located at: </w:t>
      </w:r>
      <w:r>
        <w:rPr>
          <w:rFonts w:ascii="Times New Roman;sans-serif" w:hAnsi="Times New Roman;sans-serif"/>
          <w:b w:val="false"/>
          <w:color w:val="0000FF"/>
          <w:sz w:val="22"/>
          <w:u w:val="single"/>
        </w:rPr>
        <w:t>https://intranet.mdlz.com/sites/globalhr/comp/Pages/Legal-Documents.aspx</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rPr>
        <w:t>The Participant acknowledges that he or she may have copies of the above documents sent to him or her, at no charge, on written request being mailed to Corporate Secretary, Mondelēz International, Inc., 905 West Fulton Market, Suite 200, Chicago, Illinois 60607, U.S.A.</w:t>
      </w:r>
      <w:r>
        <w:rPr>
          <w:color w:val="000000"/>
        </w:rPr>
        <w:t xml:space="preserve"> </w:t>
      </w:r>
      <w:r>
        <w:rPr>
          <w:rFonts w:ascii="Times New Roman;sans-serif" w:hAnsi="Times New Roman;sans-serif"/>
          <w:b w:val="false"/>
          <w:color w:val="000000"/>
          <w:sz w:val="22"/>
        </w:rPr>
        <w:t>The telephone number at the executive offices is +1 847-943-4000.</w:t>
      </w:r>
    </w:p>
    <w:p>
      <w:pPr>
        <w:pStyle w:val="TextBody"/>
        <w:bidi w:val="0"/>
        <w:spacing w:lineRule="auto" w:line="288" w:before="0" w:after="240"/>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8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participating in the Plan and receiving the LTI Grant, the Participant understands and acknowledges that he or she is required to notify the Employer of the amount of any gain realized upon vesting of the LTI Grant.</w:t>
      </w:r>
    </w:p>
    <w:p>
      <w:pPr>
        <w:pStyle w:val="TextBody"/>
        <w:bidi w:val="0"/>
        <w:spacing w:lineRule="auto" w:line="288"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Participant is solely responsible for complying with applicable South African exchange control regulations. In particular, the Participant may be required to obtain approval from the South African Reserve Bank for payments (including shares of Common Stock received pursuant to the Plan) that the Participant receives into accounts based outside of South Africa (e.g., a U.S. brokerage account).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718185"/>
                <wp:effectExtent l="0" t="0" r="0" b="0"/>
                <wp:wrapNone/>
                <wp:docPr id="382" name="Frame26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 </w:t>
      </w:r>
      <w:r>
        <w:rPr>
          <w:color w:val="000000"/>
        </w:rPr>
        <w:t xml:space="preserve">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9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LTI Grant, the Participant consents to participation in the Plan and acknowledges that he or she has received a copy of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 </w:t>
      </w:r>
    </w:p>
    <w:p>
      <w:pPr>
        <w:pStyle w:val="TextBody"/>
        <w:bidi w:val="0"/>
        <w:spacing w:lineRule="auto" w:line="288" w:before="0" w:after="240"/>
        <w:jc w:val="left"/>
        <w:rPr/>
      </w:pPr>
      <w:r>
        <w:rPr>
          <w:rFonts w:ascii="Times New Roman;sans-serif" w:hAnsi="Times New Roman;sans-serif"/>
          <w:b w:val="false"/>
          <w:color w:val="000000"/>
          <w:sz w:val="22"/>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718185"/>
                <wp:effectExtent l="0" t="0" r="0" b="0"/>
                <wp:wrapNone/>
                <wp:docPr id="383" name="Frame266"/>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acknowledges and freely accepts that should any or all of the assumptions be mistaken or should any of the conditions not be met for any reason, then the LTI Grant made to the Participant shall be null and void.</w:t>
      </w:r>
      <w:r>
        <w:rPr>
          <w:color w:val="000000"/>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Participant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8 of the Agreement, by accepting the LTI Grants,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Neither this document nor any other materials relating to the LTI Grant (i) constitutes a prospectus according to articles 35 et seq. of the Swiss Federal Act on Financial Services (“FinSA”), (ii) may be publicly distributed or otherwise made publicly available in Switzerland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718185"/>
                <wp:effectExtent l="0" t="0" r="0" b="0"/>
                <wp:wrapNone/>
                <wp:docPr id="384" name="Frame267"/>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Participant hereby acknowledges that he or she has read and understood the terms regarding collection, 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and the shares of Common Stock to be issued pursuant to the Plan are available only to Participants of the Mondelēz Group. The LTI Grant does not constitute a public offer of securities.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may acquire and remit foreign currency (including proceeds from the sale of shares of 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receives proceeds from the sale of shares of Common Stock or cash dividends in relation to the shares of Common Stock in excess of US$1,000,000 in a single transaction, the Participant must immediately repatriate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288" w:before="0" w:after="240"/>
        <w:jc w:val="left"/>
        <w:rPr/>
      </w:pPr>
      <w:r>
        <w:rPr>
          <w:rFonts w:ascii="Times New Roman;sans-serif" w:hAnsi="Times New Roman;sans-serif"/>
          <w:b w:val="false"/>
          <w:color w:val="000000"/>
          <w:sz w:val="22"/>
        </w:rPr>
        <w:t>If the Participant does not repatriate such funds and utilizes them offshore for permissible purposes (</w:t>
      </w:r>
      <w:r>
        <w:rPr>
          <w:rFonts w:ascii="Times New Roman;sans-serif" w:hAnsi="Times New Roman;sans-serif"/>
          <w:b w:val="false"/>
          <w:i/>
          <w:color w:val="000000"/>
          <w:sz w:val="22"/>
        </w:rPr>
        <w:t>i.e.</w:t>
      </w:r>
      <w:r>
        <w:rPr>
          <w:rFonts w:ascii="Times New Roman;sans-serif" w:hAnsi="Times New Roman;sans-serif"/>
          <w:b w:val="false"/>
          <w:color w:val="000000"/>
          <w:sz w:val="22"/>
        </w:rPr>
        <w:t>, purposes not listed in the negative list prescribed by the Bank of Thailand), the Participant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718185"/>
                <wp:effectExtent l="0" t="0" r="0" b="0"/>
                <wp:wrapNone/>
                <wp:docPr id="385" name="Frame268"/>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TÜRKIYE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Participant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engage a Turkish financial intermediary to assist with the sale of shares 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u w:val="single"/>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solely responsible for complying with applicable Ukraine exchange control regulations. 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Participants and is in the nature of providing equity 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718185"/>
                <wp:effectExtent l="0" t="0" r="0" b="0"/>
                <wp:wrapNone/>
                <wp:docPr id="386" name="Frame269"/>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bidi w:val="0"/>
        <w:spacing w:lineRule="auto" w:line="288" w:before="0" w:after="240"/>
        <w:jc w:val="left"/>
        <w:rPr/>
      </w:pPr>
      <w:r>
        <w:rPr>
          <w:rFonts w:ascii="Times New Roman;sans-serif" w:hAnsi="Times New Roman;sans-serif"/>
          <w:b w:val="false"/>
          <w:color w:val="000000"/>
          <w:sz w:val="22"/>
        </w:rPr>
        <w:t>Without limitation to paragraph 8 of the Agreement, the Participant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UNITED STATES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10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applicable data protection laws, the Participant is hereby notified that the Company collects, processes, uses and transfers certain personally-identifiable information about the Participant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18185"/>
                <wp:effectExtent l="0" t="0" r="0" b="0"/>
                <wp:wrapNone/>
                <wp:docPr id="387" name="Frame270"/>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or is capable of being associated with a particular individual. The Company does not sell the Participant's Personal Data or share it for cross-context behavioral advertising. If the Participant would like a copy of the Company’s privacy policy, please contact a local human resources representative.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Participant holds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Common Stock) or other financial assets in an 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Consent</w:t>
      </w:r>
      <w:r>
        <w:rPr>
          <w:rFonts w:ascii="Times New Roman;sans-serif" w:hAnsi="Times New Roman;sans-serif"/>
          <w:b w:val="false"/>
          <w:color w:val="000000"/>
          <w:sz w:val="22"/>
        </w:rPr>
        <w:t>. The Participant understands that the Data will be collected by the Employer and will be transferred to the Company 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LTI Grant, the Participant acknowledges and agrees that any shares of Common Stock the Participant may acquire upon the settlement of the LTI Grant are acquired as and intended to be an investment rather than for the resale of the shares of Common Stock and conversion of shares into foreign currency.</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LTI Grant or remit funds into Venezuela 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Participant should consult with his or her personal legal advisor before accepting the LTI Grant to ensure compliance with current regulations.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granted under the Plan and the shares of Common Stock issued under the Plan are offered as a personal, private, exclusive transaction and are not subject to Venezuelan government securities regulations.</w:t>
      </w:r>
      <w:r>
        <w:rPr>
          <w:color w:val="000000"/>
        </w:rPr>
        <w:t xml:space="preserve"> </w:t>
      </w:r>
      <w:r>
        <w:rPr>
          <w:rFonts w:ascii="Times New Roman;sans-serif" w:hAnsi="Times New Roman;sans-serif"/>
          <w:b w:val="false"/>
          <w:color w:val="000000"/>
          <w:sz w:val="22"/>
        </w:rPr>
        <w:t xml:space="preserve">The LTI Grant granted under the Plan does not qualify as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718185"/>
                <wp:effectExtent l="0" t="0" r="0" b="0"/>
                <wp:wrapNone/>
                <wp:docPr id="388" name="Frame271"/>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 public offering under the laws of the Bolivarian Republic of Venezuela and, therefore, it is not required to request the previous authorization of the National Superintendent of Securities.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10.7</w:t>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18185"/>
                <wp:effectExtent l="0" t="0" r="0" b="0"/>
                <wp:wrapNone/>
                <wp:docPr id="389" name="Frame272"/>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Employee</w:t>
      </w:r>
      <w:r>
        <w:rPr>
          <w:color w:val="000000"/>
        </w:rPr>
        <w:t>”</w:t>
      </w:r>
      <w:r>
        <w:rPr>
          <w:rFonts w:ascii="Times New Roman;sans-serif" w:hAnsi="Times New Roman;sans-serif"/>
          <w:b w:val="false"/>
          <w:color w:val="000000"/>
          <w:sz w:val="22"/>
        </w:rPr>
        <w:t>) named in the award statement provided to the Employee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as of the date set forth in the Award Statement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pursuant to the provisions of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Deferred Stock Units (the “</w:t>
      </w:r>
      <w:r>
        <w:rPr>
          <w:rFonts w:ascii="Times New Roman;sans-serif" w:hAnsi="Times New Roman;sans-serif"/>
          <w:b w:val="false"/>
          <w:color w:val="000000"/>
          <w:sz w:val="22"/>
          <w:u w:val="single"/>
        </w:rPr>
        <w:t>Grant</w:t>
      </w:r>
      <w:r>
        <w:rPr>
          <w:color w:val="000000"/>
        </w:rPr>
        <w:t>”</w:t>
      </w:r>
      <w:r>
        <w:rPr>
          <w:rFonts w:ascii="Times New Roman;sans-serif" w:hAnsi="Times New Roman;sans-serif"/>
          <w:b w:val="false"/>
          <w:color w:val="000000"/>
          <w:sz w:val="22"/>
        </w:rPr>
        <w:t>) representing a right to receive a corresponding number of shares of Common Stock of the Company set forth in the Award Statement, upon and subject to the restrictions, terms and conditions set forth below</w:t>
      </w:r>
      <w:r>
        <w:rPr>
          <w:color w:val="00C000"/>
          <w:u w:val="single"/>
        </w:rPr>
        <w:t xml:space="preserve"> </w:t>
      </w:r>
      <w:r>
        <w:rPr>
          <w:rFonts w:ascii="Times New Roman;sans-serif" w:hAnsi="Times New Roman;sans-serif"/>
          <w:b w:val="false"/>
          <w:color w:val="000000"/>
          <w:sz w:val="22"/>
          <w:u w:val="single"/>
        </w:rPr>
        <w:t>(including the country-specific terms set forth in the attached Appendix A)</w:t>
      </w:r>
      <w:r>
        <w:rPr>
          <w:rFonts w:ascii="Times New Roman;sans-serif" w:hAnsi="Times New Roman;sans-serif"/>
          <w:b w:val="false"/>
          <w:color w:val="000000"/>
          <w:sz w:val="22"/>
        </w:rPr>
        <w:t>, in the Award Statement and in the Plan. Capitalized terms not otherwise defined in this Global Deferred Stock Unit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Grant is subject to the following terms and conditions (including the country-specific terms set forth in Appendix A to this Agreement):</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Restrictions</w:t>
      </w:r>
      <w:r>
        <w:rPr>
          <w:rFonts w:ascii="Times New Roman;sans-serif" w:hAnsi="Times New Roman;sans-serif"/>
          <w:b w:val="false"/>
          <w:color w:val="000000"/>
          <w:sz w:val="22"/>
        </w:rPr>
        <w:t>. Except as expressly provided in this Agreement, the restrictions on the Deferred Stock Units shall lapse and the Deferred Stock Units shall vest on the Vesting Date shown in the Award Statement (the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xml:space="preserve">), provided that the Employee remains an active employee of the Mondelēz Group during the entire period commencing on the Grant Date and ending on the Vesting Date.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Termination of Employment Before Vesting Date</w:t>
      </w:r>
      <w:r>
        <w:rPr>
          <w:rFonts w:ascii="Times New Roman;sans-serif" w:hAnsi="Times New Roman;sans-serif"/>
          <w:b w:val="false"/>
          <w:color w:val="000000"/>
          <w:sz w:val="22"/>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Employee’s death or Disability (as defined below in paragraph 21), the restrictions on the Deferred Stock Units shall lapse and the Deferred Stock Units shall become fully vested on the date of the Employee’s death or termination due to Disability; or </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    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the Company in its sole discretion; and (iii) the Retirement date occurs on or after the 181st day following the Grant Date then:</w:t>
      </w:r>
    </w:p>
    <w:p>
      <w:pPr>
        <w:pStyle w:val="TextBody"/>
        <w:bidi w:val="0"/>
        <w:spacing w:before="0" w:after="0"/>
        <w:jc w:val="righ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357505"/>
                <wp:effectExtent l="0" t="0" r="0" b="0"/>
                <wp:wrapNone/>
                <wp:docPr id="390" name="Frame27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in the event that the Employee's Retirement occurs because the Employee is age 65 or older with at least five (5) or more years of active continuous employment with the Mondelēz Group, the restrictions on the Deferred Stock Units shall lapse and the Deferred Stock Units shall become fully vested on the date of the Employee’s Retirement; </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in the event that the Employee's Retirement occurs because the Employee is age 55 or older with at least ten (10) or more years of active continuous employment with the Mondelēz Group,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clarity, in the event any of (i), (ii) or (iii) of this subsection 2(b) are not met then, unless determined otherwise by the Committee, the Employee shall forfeit all rights to the Deferred Stock Units and the shares of Common Stock underlying the Deferred Stock Units.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Voting and Dividend Rights</w:t>
      </w:r>
      <w:r>
        <w:rPr>
          <w:rFonts w:ascii="Times New Roman;sans-serif" w:hAnsi="Times New Roman;sans-serif"/>
          <w:b w:val="false"/>
          <w:color w:val="000000"/>
          <w:sz w:val="22"/>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be eligible to receive cash payments (less applicable Tax-Related Items (as defined below)) in lieu of dividends otherwise payable with respect to shares of Common Stock equal in number to the unpaid Deferred Stock Units that have not been forfeited, which shall be subject to the same vesting restrictions as the underlying Deferred Stock Units and be paid following the vesting of such Deferred Stock Units within the timeframe set forth in Section 7 below.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Employee acknowledges that regardless of any action taken by the Company or, if different, the Employee’s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xml:space="preserve">),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w:t>
      </w:r>
    </w:p>
    <w:p>
      <w:pPr>
        <w:pStyle w:val="TextBody"/>
        <w:bidi w:val="0"/>
        <w:spacing w:before="0" w:after="0"/>
        <w:jc w:val="righ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357505"/>
                <wp:effectExtent l="0" t="0" r="0" b="0"/>
                <wp:wrapNone/>
                <wp:docPr id="391" name="Frame27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 xml:space="preserve">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w:t>
      </w:r>
    </w:p>
    <w:p>
      <w:pPr>
        <w:pStyle w:val="TextBody"/>
        <w:bidi w:val="0"/>
        <w:spacing w:before="0" w:after="0"/>
        <w:jc w:val="righ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357505"/>
                <wp:effectExtent l="0" t="0" r="0" b="0"/>
                <wp:wrapNone/>
                <wp:docPr id="392" name="Frame27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from the applicable tax authorities. In the event of under-withholding, the Employee may be required to pay any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Death of Employee</w:t>
      </w:r>
      <w:r>
        <w:rPr>
          <w:rFonts w:ascii="Times New Roman;sans-serif" w:hAnsi="Times New Roman;sans-serif"/>
          <w:b w:val="false"/>
          <w:color w:val="000000"/>
          <w:sz w:val="22"/>
        </w:rPr>
        <w:t>. If any of the Deferred Stock Units shall vest upon the death of the Employee, any Common Stock received in payment of the vested Deferred Stock Units shall be registered in the name of and delivered to the estate of the Employee.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Payment of Deferred Stock Units</w:t>
      </w:r>
      <w:r>
        <w:rPr>
          <w:rFonts w:ascii="Times New Roman;sans-serif" w:hAnsi="Times New Roman;sans-serif"/>
          <w:b w:val="false"/>
          <w:color w:val="000000"/>
          <w:sz w:val="22"/>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Section 9), such issuance shall be made to the Employee (or, in the event of his or her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Special Payment Provisions</w:t>
      </w:r>
      <w:r>
        <w:rPr>
          <w:rFonts w:ascii="Times New Roman;sans-serif" w:hAnsi="Times New Roman;sans-serif"/>
          <w:b w:val="false"/>
          <w:color w:val="000000"/>
          <w:sz w:val="22"/>
        </w:rPr>
        <w:t>.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 prohibited distribution under Section 409A of the Code.</w:t>
      </w:r>
    </w:p>
    <w:p>
      <w:pPr>
        <w:pStyle w:val="TextBody"/>
        <w:bidi w:val="0"/>
        <w:spacing w:lineRule="auto" w:line="288" w:before="0" w:after="240"/>
        <w:jc w:val="left"/>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Confidential Information</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employees and the Mondelēz Group by providing an ownership interest in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357505"/>
                <wp:effectExtent l="0" t="0" r="0" b="0"/>
                <wp:wrapNone/>
                <wp:docPr id="393" name="Frame27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Deferred Stock Units) shall be immediately forfeited;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w:t>
      </w:r>
    </w:p>
    <w:p>
      <w:pPr>
        <w:pStyle w:val="TextBody"/>
        <w:bidi w:val="0"/>
        <w:spacing w:before="0" w:after="0"/>
        <w:jc w:val="righ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57505"/>
                <wp:effectExtent l="0" t="0" r="0" b="0"/>
                <wp:wrapNone/>
                <wp:docPr id="394" name="Frame27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(e)The Employee is hereby advised in writing to consult with an attorney before entering into the covenants outlined in this Section 9. The Employee acknowledges that prior to acceptance of this Agreement, the Employee has been advised by the Company of the Employee's right to seek independent advice from an attorney of the Employee's own selection regarding this Agreement, including the restraints imposed upon him or her pursuant to this Section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 expressly set forth herein, and that the Employee is relying only upon their own judgment and any advice provided by the Employee's attorney. The Employee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9, the Company and any member of the Mondelēz Group shall be deemed to be third-party beneficiaries with the right to seek enforcement of any of the provisions of this Section 9. Further, for purposes of this Section 9, references to acting directly or indirectly include acting jointly with or through another person.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Clawback Policy/ Forfeiture</w:t>
      </w:r>
      <w:r>
        <w:rPr>
          <w:rFonts w:ascii="Times New Roman;sans-serif" w:hAnsi="Times New Roman;sans-serif"/>
          <w:b w:val="false"/>
          <w:color w:val="000000"/>
          <w:sz w:val="22"/>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the Company’s Dodd-Frank Clawback Policy, the Company’s Compensation Recoupment Policy, and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Employee hereby expressly acknowledges and agrees that the Company shall have the right to reduce, cancel, or withhold against outstanding, unvested, vested, or future cash or equity-based compensation owed or due to the Employee, to the maximum extent permitted under applicable law. No such recovery will be an event giving rise to a right to resign for Good Reason or be deemed a “constructive termination” (or any similar term) as such terms are used in any agreement between the Employee and the Company or under any severance plans applicable to the Employee.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Original Issue or Transfer Taxes</w:t>
      </w:r>
      <w:r>
        <w:rPr>
          <w:rFonts w:ascii="Times New Roman;sans-serif" w:hAnsi="Times New Roman;sans-serif"/>
          <w:b w:val="false"/>
          <w:color w:val="000000"/>
          <w:sz w:val="22"/>
        </w:rPr>
        <w:t>. The Company shall pay all original issue or transfer taxes and all fees and expenses incident to the delivery of the shares of Common Stock underlying the vested Deferred Stock Units, except as otherwise provided in paragraph 5.</w:t>
      </w:r>
    </w:p>
    <w:p>
      <w:pPr>
        <w:pStyle w:val="TextBody"/>
        <w:bidi w:val="0"/>
        <w:spacing w:before="0" w:after="0"/>
        <w:jc w:val="righ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57505"/>
                <wp:effectExtent l="0" t="0" r="0" b="0"/>
                <wp:wrapNone/>
                <wp:docPr id="395" name="Frame27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Grant Confers No Rights to Continued Employment</w:t>
      </w:r>
      <w:r>
        <w:rPr>
          <w:rFonts w:ascii="Times New Roman;sans-serif" w:hAnsi="Times New Roman;sans-serif"/>
          <w:b w:val="false"/>
          <w:color w:val="000000"/>
          <w:sz w:val="22"/>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In accepting the Deferred Stock Units, the Employee acknowledges, understands, and agrees that:</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(a)</w:t>
      </w:r>
      <w:r>
        <w:rPr>
          <w:rFonts w:ascii="Times New Roman;sans-serif" w:hAnsi="Times New Roman;sans-serif"/>
          <w:b w:val="false"/>
          <w:color w:val="0000FF"/>
          <w:sz w:val="22"/>
          <w:u w:val="single"/>
        </w:rPr>
        <w:t>the Plan is established voluntarily by the Company, it is discretionary in nature and it may be modified, amended, suspended or terminated by the Company at any time, to the extent permitted by the Plan</w:t>
      </w:r>
      <w:r>
        <w:rPr>
          <w:rFonts w:ascii="Times New Roman;sans-serif" w:hAnsi="Times New Roman;sans-serif"/>
          <w:b w:val="false"/>
          <w:color w:val="000000"/>
          <w:sz w:val="22"/>
        </w:rPr>
        <w:t>;</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(b)the Grant is exceptional, voluntary and occasional and does not create any contractual or other right to receive future Grants, or benefits in lieu of Deferred Stock Units, even if Deferred Stock Units have been granted in the past;</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(c)all decisions with respect to future Grants, if any, will be at the sole discretion of the Committee;</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(d)the Employee’s participation in the Plan is voluntary;</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(e)the Deferred Stock Units and the shares of Common Stock subject to the Deferred Stock Units, and the income and value of same, are not intended to replace any pension rights or compensation;</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(f)the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(g)the future value of the underlying shares of Common Stock is unknown, indeterminable and cannot be predicted;</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(h)unless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 </w:t>
      </w:r>
    </w:p>
    <w:p>
      <w:pPr>
        <w:pStyle w:val="TextBody"/>
        <w:bidi w:val="0"/>
        <w:spacing w:before="0" w:after="0"/>
        <w:jc w:val="righ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57505"/>
                <wp:effectExtent l="0" t="0" r="0" b="0"/>
                <wp:wrapNone/>
                <wp:docPr id="396" name="Frame27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(j)unless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(k)the Deferred Stock Units and the shares of Common Stock subject to the Deferred Stock Units, and the income and value of same, are not part of normal or expected compensation or salary for any purpose;</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(l)neither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 xml:space="preserve">(m)no claim or entitlement to compensation or damages shall arise from forfeiture of the Deferred Stock Units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 xml:space="preserve">acquired under the Plan </w:t>
      </w:r>
      <w:r>
        <w:rPr>
          <w:rFonts w:ascii="Times New Roman;sans-serif" w:hAnsi="Times New Roman;sans-serif"/>
          <w:b w:val="false"/>
          <w:color w:val="000000"/>
          <w:sz w:val="22"/>
        </w:rPr>
        <w:t xml:space="preserve">resulting from (a)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14.    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Employee hereby explicitly and unambiguously consents to the collection, use and transfer, in electronic or other form, of his or her personal data as described in this Agreement and any other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Employee’s participation in the Plan.</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The Employee understands that Data will be transferred to Morgan Stanley Smith Barney, LLC and its affiliates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w:t>
      </w:r>
    </w:p>
    <w:p>
      <w:pPr>
        <w:pStyle w:val="TextBody"/>
        <w:bidi w:val="0"/>
        <w:spacing w:before="0" w:after="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57505"/>
                <wp:effectExtent l="0" t="0" r="0" b="0"/>
                <wp:wrapNone/>
                <wp:docPr id="397" name="Frame28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i/>
          <w:color w:val="000000"/>
          <w:sz w:val="22"/>
        </w:rPr>
        <w:t>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57505"/>
                <wp:effectExtent l="0" t="0" r="0" b="0"/>
                <wp:wrapNone/>
                <wp:docPr id="398" name="Frame28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 unless otherwise required by applicable law.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57505"/>
                <wp:effectExtent l="0" t="0" r="0" b="0"/>
                <wp:wrapNone/>
                <wp:docPr id="399" name="Frame28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For the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 xml:space="preserve">means, unless otherwise determined by the Committee in its sole discretion, the termination of employment on or after either (i) the date the Employee is age 55 or older with at least ten (10) or more years of active continuous employment with the Mondelēz Group or (ii) the date the Employee is age 65 or older with at least five (5) or more years of active continuous employment with the Mondelēz Group.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in this Agreement will be held invalid or unenforceable, such provision will be severable from, and such invalidity or unenforceability will not be construed to have any effect on, the remaining provisions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before="0" w:after="0"/>
        <w:jc w:val="righ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57505"/>
                <wp:effectExtent l="0" t="0" r="0" b="0"/>
                <wp:wrapNone/>
                <wp:docPr id="400" name="Frame28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25.    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26.    </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Employee may be subject to insider trading and/or market abuse laws, which may affect the Employee’s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27.    </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In addition, the Employee agrees to take any and all actions required by the Company, any other entity in the Mondelēz Group or the local laws, rules and regulations in the Employee’s country of residence (and country of employment, if different) that may be required to comply with such laws, rules and regulations. The Employee acknowledges that it is the Employee’s responsibility to be compliant with such regulations, and the Employee should consult his or her personal legal advisor for any details.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28.    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29.    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57505"/>
                <wp:effectExtent l="0" t="0" r="0" b="0"/>
                <wp:wrapNone/>
                <wp:docPr id="401" name="Frame28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30.    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57505"/>
                <wp:effectExtent l="0" t="0" r="0" b="0"/>
                <wp:wrapNone/>
                <wp:docPr id="402" name="Frame28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before="0" w:after="240"/>
        <w:ind w:left="0" w:right="0" w:firstLine="720"/>
        <w:jc w:val="left"/>
        <w:rPr/>
      </w:pPr>
      <w:r>
        <w:rPr/>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before="0" w:after="0"/>
        <w:jc w:val="both"/>
        <w:rPr/>
      </w:pPr>
      <w:r>
        <w:rPr/>
      </w:r>
    </w:p>
    <w:p>
      <w:pPr>
        <w:pStyle w:val="TextBody"/>
        <w:bidi w:val="0"/>
        <w:spacing w:lineRule="auto" w:line="288" w:before="0" w:after="240"/>
        <w:jc w:val="left"/>
        <w:rPr>
          <w:color w:val="000000"/>
        </w:rPr>
      </w:pPr>
      <w:r>
        <w:rPr>
          <w:color w:val="000000"/>
        </w:rPr>
        <w:t xml:space="preserve">     </w:t>
      </w:r>
      <w:r>
        <w:rPr>
          <w:rFonts w:ascii="Times New Roman;sans-serif" w:hAnsi="Times New Roman;sans-serif"/>
          <w:b w:val="false"/>
          <w:color w:val="000000"/>
          <w:sz w:val="24"/>
        </w:rPr>
        <w:t>/s/ Laura Stein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Laura Stein </w:t>
        <w:br/>
        <w:t xml:space="preserve">Executive Vice President,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 Corporate Secretary</w:t>
      </w:r>
    </w:p>
    <w:p>
      <w:pPr>
        <w:pStyle w:val="TextBody"/>
        <w:bidi w:val="0"/>
        <w:spacing w:before="0" w:after="24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57505"/>
                <wp:effectExtent l="0" t="0" r="0" b="0"/>
                <wp:wrapNone/>
                <wp:docPr id="403" name="Frame28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uto" w:line="288" w:before="0" w:after="240"/>
        <w:jc w:val="left"/>
        <w:rPr/>
      </w:pPr>
      <w:r>
        <w:rPr>
          <w:rFonts w:ascii="Times New Roman;sans-serif" w:hAnsi="Times New Roman;sans-serif"/>
          <w:b w:val="false"/>
          <w:color w:val="000000"/>
          <w:sz w:val="22"/>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2024.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pStyle w:val="TextBody"/>
        <w:bidi w:val="0"/>
        <w:spacing w:lineRule="auto" w:line="288"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 xml:space="preserve">EUROPEAN UNION / EUROPEAN ECONOMIC AREA, SWITZERLAND AND THE UNITED KINGDOM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lineRule="auto" w:line="288"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 processing of the Employee's Personal Data (as defined below) in connection with the Agreement and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357505"/>
                <wp:effectExtent l="0" t="0" r="0" b="0"/>
                <wp:wrapNone/>
                <wp:docPr id="404" name="Frame28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 </w:t>
      </w:r>
    </w:p>
    <w:p>
      <w:pPr>
        <w:pStyle w:val="TextBody"/>
        <w:bidi w:val="0"/>
        <w:spacing w:lineRule="auto" w:line="288"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Morgan Stanley Smith Barney, LLC (“Morgan Stanley”), an independent service provider based in the United States which assists the Company with the implementation, administration and management of the Plan. Morgan Stanley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Morgan Stanley, PricewaterhouseCoopers LLP or KPMG LLP with such agreement being a condition to the Employee’s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rPr>
        <w:t xml:space="preserve">The Employee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before="0" w:after="0"/>
        <w:jc w:val="righ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357505"/>
                <wp:effectExtent l="0" t="0" r="0" b="0"/>
                <wp:wrapNone/>
                <wp:docPr id="405" name="Frame28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ALGERIA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9 of the Agreement will not apply to Argentinian Employees.</w:t>
      </w:r>
    </w:p>
    <w:p>
      <w:pPr>
        <w:pStyle w:val="TextBody"/>
        <w:bidi w:val="0"/>
        <w:spacing w:lineRule="auto" w:line="288"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Employee acknowledges and agrees that such benefits shall not accrue more frequently than on each vesting date.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Neither the Units nor the underlying shares of Common Stock are publicly offered or listed on any stock exchange in Argentina and, as a result, have not been and will not be </w:t>
      </w:r>
    </w:p>
    <w:p>
      <w:pPr>
        <w:pStyle w:val="TextBody"/>
        <w:bidi w:val="0"/>
        <w:spacing w:before="0" w:after="0"/>
        <w:jc w:val="righ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357505"/>
                <wp:effectExtent l="0" t="0" r="0" b="0"/>
                <wp:wrapNone/>
                <wp:docPr id="406" name="Frame28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Neither this Agreement nor any other offering material related to the Units nor the underlying shares of Common Stock may be utilized in connection with any general offering to the public in Argentina.</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the exchange control rules that may apply in 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shd w:fill="FFFFFF" w:val="clear"/>
        </w:rPr>
        <w:t xml:space="preserve">Securities Law Disclosure. </w:t>
      </w:r>
      <w:r>
        <w:rPr>
          <w:rFonts w:ascii="Times New Roman;sans-serif" w:hAnsi="Times New Roman;sans-serif"/>
          <w:b w:val="false"/>
          <w:color w:val="000000"/>
          <w:sz w:val="22"/>
          <w:shd w:fill="FFFFFF" w:val="clear"/>
        </w:rPr>
        <w:t xml:space="preserve">This offer is being made under Division 1A, Part 7.12 of the Corporations Act 2001 (Cth). Please note that if the Employee offers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for sale to a person or entity resident in Australia, the offer may be subject to disclosure requirements under Australian law. The Employee should obtain legal advice on the Employee’s disclosure obligations prior to making any such offer.</w:t>
      </w:r>
    </w:p>
    <w:p>
      <w:pPr>
        <w:pStyle w:val="TextBody"/>
        <w:bidi w:val="0"/>
        <w:spacing w:lineRule="auto" w:line="288" w:before="0" w:after="240"/>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Employee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Employee’s behalf, otherwise the Employee will be responsible for complying with any exchange control reporting requirements.</w:t>
      </w:r>
    </w:p>
    <w:p>
      <w:pPr>
        <w:pStyle w:val="TextBody"/>
        <w:bidi w:val="0"/>
        <w:spacing w:lineRule="auto" w:line="288"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Employee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Employee must report the </w:t>
      </w:r>
    </w:p>
    <w:p>
      <w:pPr>
        <w:pStyle w:val="TextBody"/>
        <w:bidi w:val="0"/>
        <w:spacing w:before="0" w:after="0"/>
        <w:jc w:val="righ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57505"/>
                <wp:effectExtent l="0" t="0" r="0" b="0"/>
                <wp:wrapNone/>
                <wp:docPr id="407" name="Frame29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88" w:before="0" w:after="240"/>
        <w:jc w:val="left"/>
        <w:rPr/>
      </w:pPr>
      <w:r>
        <w:rPr>
          <w:rFonts w:ascii="Times New Roman;sans-serif" w:hAnsi="Times New Roman;sans-serif"/>
          <w:b w:val="false"/>
          <w:color w:val="000000"/>
          <w:sz w:val="22"/>
        </w:rPr>
        <w:t>If the Employee sells shares of Common Stock, or receives any cash dividends, the Employee may have exchange control obligations if the Employee holds the cash proceeds outside Austria. If the transaction volume of all the Employee’s accounts abroad meets or exceeds a certain threshold, the Employee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Nasdaq Global Select Market).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BANGLADESH</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Bangladesh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securities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w:t>
      </w:r>
    </w:p>
    <w:p>
      <w:pPr>
        <w:pStyle w:val="TextBody"/>
        <w:bidi w:val="0"/>
        <w:spacing w:before="0" w:after="0"/>
        <w:jc w:val="righ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57505"/>
                <wp:effectExtent l="0" t="0" r="0" b="0"/>
                <wp:wrapNone/>
                <wp:docPr id="408" name="Frame29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 </w:t>
      </w:r>
    </w:p>
    <w:p>
      <w:pPr>
        <w:pStyle w:val="TextBody"/>
        <w:bidi w:val="0"/>
        <w:spacing w:lineRule="auto" w:line="288" w:before="0" w:after="24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A stock exchange tax applies to transactions executed by Belgian residents through a non-Belgian financial intermediary, such as a U.S. broker. The stock exchange tax will apply when shares of Common Stock acquired upon vesting of the Deferred Stock Units are sold.</w:t>
      </w:r>
    </w:p>
    <w:p>
      <w:pPr>
        <w:pStyle w:val="TextBody"/>
        <w:bidi w:val="0"/>
        <w:spacing w:lineRule="auto" w:line="288" w:before="0" w:after="240"/>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Deferred Stock Units, the Employee acknowledges that he or she agrees to comply with applicable Brazilian laws and pay any and all applicable Tax-Related Items associated with the vesting of the Deferred Stock Units, the receipt of any dividends and the sale of shares of Common Stock acquired under the Plan. </w:t>
      </w:r>
    </w:p>
    <w:p>
      <w:pPr>
        <w:pStyle w:val="TextBody"/>
        <w:bidi w:val="0"/>
        <w:spacing w:lineRule="auto" w:line="288" w:before="0" w:after="240"/>
        <w:jc w:val="left"/>
        <w:rPr/>
      </w:pPr>
      <w:r>
        <w:rPr>
          <w:rFonts w:ascii="Times New Roman;sans-serif" w:hAnsi="Times New Roman;sans-serif"/>
          <w:b/>
          <w:color w:val="000000"/>
          <w:sz w:val="22"/>
        </w:rPr>
        <w:t>Labor Law Acknowledgment</w:t>
      </w:r>
      <w:r>
        <w:rPr>
          <w:rFonts w:ascii="Times New Roman;sans-serif" w:hAnsi="Times New Roman;sans-serif"/>
          <w:b w:val="false"/>
          <w:color w:val="000000"/>
          <w:sz w:val="22"/>
        </w:rPr>
        <w:t>. By accepting the Deferred Stock Units, the Employee understands, acknowledges and agrees that, for all legal purposes (i) the Employee is making an investment decision and (ii) the value of the underlying shares of Common Stock are not fixed and may increase or decrease in value over the vesting period without compensation to the Employee.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57505"/>
                <wp:effectExtent l="0" t="0" r="0" b="0"/>
                <wp:wrapNone/>
                <wp:docPr id="409" name="Frame29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BGN50,000 as of the previous calendar year end. The reports are due by March 31.</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contact his or her bank in Bulgaria for additional information regarding these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Deferred Stock Units granted to employees resident in Canada shall be paid in shares of Common Stock only.</w:t>
      </w:r>
    </w:p>
    <w:p>
      <w:pPr>
        <w:pStyle w:val="TextBody"/>
        <w:bidi w:val="0"/>
        <w:spacing w:lineRule="auto" w:line="288" w:before="0" w:after="240"/>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or (2) the date the Employee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The Employee will not earn or be entitled to pro-rated vesting for that portion of time before the date on which the Employee’s right to vest terminates or if the vesting date falls after the end of the Employee’s statutory notice period, nor will the Employee be entitled to any compensation for lost vesting.</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Employees resident in Quebec:</w:t>
      </w:r>
    </w:p>
    <w:p>
      <w:pPr>
        <w:pStyle w:val="TextBody"/>
        <w:bidi w:val="0"/>
        <w:spacing w:lineRule="auto" w:line="288" w:before="0" w:after="24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The following provision supplements paragraph 14 of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acknowledges and agrees that the Employee’s personal information, including sensitive personal information, may be transferred or disclosed outside of the Province of Quebec, including to the United States. The Employee further authorizes the Mondelēz Group to record such information and to keep such information in his or her employee file. The Employee also acknowledges and authorizes the Company and any subsidiary or affiliate or other parties involved in the administration of the Plan to use technology for profiling purposes </w:t>
      </w:r>
    </w:p>
    <w:p>
      <w:pPr>
        <w:pStyle w:val="TextBody"/>
        <w:bidi w:val="0"/>
        <w:spacing w:before="0" w:after="0"/>
        <w:jc w:val="righ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57505"/>
                <wp:effectExtent l="0" t="0" r="0" b="0"/>
                <wp:wrapNone/>
                <wp:docPr id="410" name="Frame29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and to make automated decisions that may have an impact on the Employee or the administration of the Plan.</w:t>
      </w:r>
    </w:p>
    <w:p>
      <w:pPr>
        <w:pStyle w:val="TextBody"/>
        <w:bidi w:val="0"/>
        <w:spacing w:lineRule="auto" w:line="288" w:before="0" w:after="240"/>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 French translation of the Plan and the Agreement can be made available to the Employee as soon as reasonably practicable upon the Employee’s request. The Employee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bidi w:val="0"/>
        <w:spacing w:lineRule="auto" w:line="288" w:before="0" w:after="240"/>
        <w:jc w:val="left"/>
        <w:rPr/>
      </w:pPr>
      <w:r>
        <w:rPr>
          <w:rFonts w:ascii="Times New Roman;sans-serif" w:hAnsi="Times New Roman;sans-serif"/>
          <w:b w:val="false"/>
          <w:i/>
          <w:color w:val="000000"/>
          <w:sz w:val="22"/>
        </w:rPr>
        <w:t>Une traduction française du Plan et du présent Contrat pourra êtremise à la disposition de Employé(e) dès que raisonnablement possible à la demande de l'Employé. Le</w:t>
      </w:r>
      <w:r>
        <w:rPr>
          <w:color w:val="000000"/>
        </w:rPr>
        <w:t xml:space="preserve"> </w:t>
      </w:r>
      <w:r>
        <w:rPr>
          <w:rFonts w:ascii="Times New Roman;sans-serif" w:hAnsi="Times New Roman;sans-serif"/>
          <w:b w:val="false"/>
          <w:i/>
          <w:color w:val="000000"/>
          <w:sz w:val="22"/>
        </w:rPr>
        <w:t>Employé(e)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Employee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specified foreign property annually on Form T1135 (Foreign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 xml:space="preserve">” </w:t>
      </w:r>
      <w:r>
        <w:rPr>
          <w:rFonts w:ascii="Times New Roman;sans-serif" w:hAnsi="Times New Roman;sans-serif"/>
          <w:b w:val="false"/>
          <w:color w:val="000000"/>
          <w:sz w:val="22"/>
        </w:rPr>
        <w:t>)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288" w:before="10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offer of Deferred Stock Units constitutes a private offering of securities in Chile effective as of the Grant Date. The offer of Deferred Stock Units is made subject to general ruling N° 336 of the Chilean Commission for the Financial Market (“</w:t>
      </w:r>
      <w:r>
        <w:rPr>
          <w:rFonts w:ascii="Times New Roman;sans-serif" w:hAnsi="Times New Roman;sans-serif"/>
          <w:b w:val="false"/>
          <w:color w:val="000000"/>
          <w:sz w:val="22"/>
          <w:u w:val="single"/>
        </w:rPr>
        <w:t>CMF</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CMF, and, therefore, such securities are not subject to oversight of the CMF.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CMF, a public offering of such securities cannot be made in Chile.</w:t>
      </w:r>
    </w:p>
    <w:p>
      <w:pPr>
        <w:pStyle w:val="TextBody"/>
        <w:bidi w:val="0"/>
        <w:spacing w:before="0" w:after="0"/>
        <w:jc w:val="righ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57505"/>
                <wp:effectExtent l="0" t="0" r="0" b="0"/>
                <wp:wrapNone/>
                <wp:docPr id="411" name="Frame29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i/>
          <w:color w:val="000000"/>
          <w:sz w:val="22"/>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sans-serif" w:hAnsi="Times New Roman;sans-serif"/>
          <w:b w:val="false"/>
          <w:i/>
          <w:color w:val="000000"/>
          <w:sz w:val="22"/>
          <w:u w:val="single"/>
        </w:rPr>
        <w:t>CMF</w:t>
      </w:r>
      <w:r>
        <w:rPr>
          <w:color w:val="000000"/>
        </w:rPr>
        <w:t>”</w:t>
      </w:r>
      <w:r>
        <w:rPr>
          <w:rFonts w:ascii="Times New Roman;sans-serif" w:hAnsi="Times New Roman;sans-serif"/>
          <w:b w:val="false"/>
          <w:i/>
          <w:color w:val="000000"/>
          <w:sz w:val="22"/>
        </w:rPr>
        <w:t xml:space="preserve">).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 </w:t>
      </w:r>
    </w:p>
    <w:p>
      <w:pPr>
        <w:pStyle w:val="TextBody"/>
        <w:bidi w:val="0"/>
        <w:spacing w:lineRule="auto" w:line="288" w:before="10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not required to repatriate any funds he or she receives with respect to the Deferred Stock Units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Employee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Employee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Employee must report the investments annually to the Central Bank using Annex 3.1 of Chapter XII of the Foreign Exchange Regulations.</w:t>
      </w:r>
    </w:p>
    <w:p>
      <w:pPr>
        <w:pStyle w:val="TextBody"/>
        <w:bidi w:val="0"/>
        <w:spacing w:lineRule="auto" w:line="288" w:before="100" w:after="240"/>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Employee should consult with his or her personal legal advisor regarding any exchange control obligations that may apply in connection with the Deferred Stock Units.</w:t>
      </w:r>
    </w:p>
    <w:p>
      <w:pPr>
        <w:pStyle w:val="TextBody"/>
        <w:bidi w:val="0"/>
        <w:spacing w:lineRule="auto" w:line="288" w:before="100" w:after="240"/>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Employee holds shares of Common Stock acquired under the Plan outside Chile, the Employee will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July 1 each year, which should be submitted electronically through the CIRS website: </w:t>
      </w:r>
      <w:r>
        <w:rPr>
          <w:rFonts w:ascii="Times New Roman;sans-serif" w:hAnsi="Times New Roman;sans-serif"/>
          <w:b w:val="false"/>
          <w:color w:val="0000FF"/>
          <w:sz w:val="22"/>
          <w:u w:val="single"/>
          <w:shd w:fill="FFFFFF" w:val="clear"/>
        </w:rPr>
        <w:t>www.sii.cl.</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pStyle w:val="TextBody"/>
        <w:bidi w:val="0"/>
        <w:spacing w:lineRule="auto" w:line="288" w:before="0" w:after="240"/>
        <w:jc w:val="left"/>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 xml:space="preserve">Due to legal restrictions in China, upon the vesting of Deferred Stock Units,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w:t>
      </w:r>
    </w:p>
    <w:p>
      <w:pPr>
        <w:pStyle w:val="TextBody"/>
        <w:bidi w:val="0"/>
        <w:spacing w:before="0" w:after="0"/>
        <w:jc w:val="righ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57505"/>
                <wp:effectExtent l="0" t="0" r="0" b="0"/>
                <wp:wrapNone/>
                <wp:docPr id="412" name="Frame29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Employee is not required to sell shares of Common Stock immediately upon vesting, any shares of Common Stock issued to the Employee must be maintained in an account with Morgan Stanley Smith Barney, LLC (“Morgan Stanley”)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pStyle w:val="TextBody"/>
        <w:bidi w:val="0"/>
        <w:spacing w:lineRule="auto" w:line="288"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Employee understands and agrees that, due to exchange control laws in China, he or she will be 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w:t>
      </w:r>
    </w:p>
    <w:p>
      <w:pPr>
        <w:pStyle w:val="TextBody"/>
        <w:bidi w:val="0"/>
        <w:spacing w:before="0" w:after="0"/>
        <w:jc w:val="righ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357505"/>
                <wp:effectExtent l="0" t="0" r="0" b="0"/>
                <wp:wrapNone/>
                <wp:docPr id="413" name="Frame29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immediately upon vesting of the Deferred Stock Units (as explained above) or upon termination of the Employee’s service with the Mondelēz Group.</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Employee must describe each asset and indicate the jurisdiction in which it is located, its nature and its value.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jc w:val="righ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357505"/>
                <wp:effectExtent l="0" t="0" r="0" b="0"/>
                <wp:wrapNone/>
                <wp:docPr id="414" name="Frame29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Employee's responsibility to comply with Croatian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Deferred Stock Units and the opening and maintenance of a foreign account, including reporting (i) foreign direct investments with a value of CZK 2,500,000 or more in the aggregate or (ii) foreign financial assets with a value of CZK 200,000,000 or more. The Employee should consult their personal legal advisor to ensure compliance with the applicable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88"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Employee acknowledges that he or she has received an Employer Statement in Danish, which sets forth the additional terms of the Deferred Stock Units to the extent that the Danish Stock Option Act applies.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report any accounts holding shares of Common Stock or cash established outside Denmark to the Danish Tax Administration as part of his or her tax return under the section related to foreign affairs and income.</w:t>
      </w:r>
      <w:r>
        <w:rPr>
          <w:color w:val="000000"/>
          <w:shd w:fill="FFFFFF" w:val="clear"/>
        </w:rPr>
        <w:t xml:space="preserve"> </w:t>
      </w:r>
      <w:r>
        <w:rPr>
          <w:rFonts w:ascii="Times New Roman;sans-serif" w:hAnsi="Times New Roman;sans-serif"/>
          <w:b w:val="false"/>
          <w:color w:val="000000"/>
          <w:sz w:val="22"/>
        </w:rPr>
        <w:t xml:space="preserve">The form which should be used in this respect can be obtained from a local bank.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sans-serif" w:hAnsi="Times New Roman;sans-serif"/>
          <w:b w:val="false"/>
          <w:color w:val="0000FF"/>
          <w:sz w:val="22"/>
          <w:u w:val="single"/>
        </w:rPr>
        <w:t>www.sri.gob.ec</w:t>
      </w:r>
      <w:r>
        <w:rPr>
          <w:rFonts w:ascii="Times New Roman;sans-serif" w:hAnsi="Times New Roman;sans-serif"/>
          <w:b w:val="false"/>
          <w:color w:val="000000"/>
          <w:sz w:val="22"/>
        </w:rPr>
        <w:t xml:space="preserve">). Penalties will apply to a late filing and it is not possible to seek an extension. </w:t>
      </w:r>
    </w:p>
    <w:p>
      <w:pPr>
        <w:pStyle w:val="TextBody"/>
        <w:bidi w:val="0"/>
        <w:spacing w:before="0" w:after="0"/>
        <w:jc w:val="righ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357505"/>
                <wp:effectExtent l="0" t="0" r="0" b="0"/>
                <wp:wrapNone/>
                <wp:docPr id="415" name="Frame29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Employee transfers funds into Egypt in connection with the Deferred Stock Units, the Employee is required to transfer the funds through a registered bank in Egypt.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ESWATINI</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Eswatini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Not French-Qualified.</w:t>
      </w:r>
      <w:r>
        <w:rPr>
          <w:color w:val="000000"/>
        </w:rPr>
        <w:t xml:space="preserve"> </w:t>
      </w:r>
      <w:r>
        <w:rPr>
          <w:rFonts w:ascii="Times New Roman;sans-serif" w:hAnsi="Times New Roman;sans-serif"/>
          <w:b w:val="false"/>
          <w:color w:val="000000"/>
          <w:sz w:val="22"/>
        </w:rPr>
        <w:t>The Deferred Stock Units granted under this Agreement are not intended to qualify for specific tax and social security treatment pursuant to Sections L. 225-197-1 to L. 225-197-6 of the French Commercial Code, as amended.</w:t>
      </w:r>
    </w:p>
    <w:p>
      <w:pPr>
        <w:pStyle w:val="TextBody"/>
        <w:bidi w:val="0"/>
        <w:spacing w:lineRule="auto" w:line="288"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Employee confirms having read and understood the Plan and Agreement, including all terms and conditions included therein, which were provided in the English language. The Employee accepts the terms of those documents accordingly.</w:t>
      </w:r>
    </w:p>
    <w:p>
      <w:pPr>
        <w:pStyle w:val="TextBody"/>
        <w:bidi w:val="0"/>
        <w:spacing w:lineRule="auto" w:line="288" w:before="0" w:after="240"/>
        <w:jc w:val="left"/>
        <w:rPr/>
      </w:pPr>
      <w:r>
        <w:rPr>
          <w:rFonts w:ascii="Times New Roman;sans-serif" w:hAnsi="Times New Roman;sans-serif"/>
          <w:b w:val="false"/>
          <w:i/>
          <w:color w:val="000000"/>
          <w:sz w:val="22"/>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357505"/>
                <wp:effectExtent l="0" t="0" r="0" b="0"/>
                <wp:wrapNone/>
                <wp:docPr id="416" name="Frame29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Employee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GEORGIA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FF"/>
          <w:sz w:val="22"/>
          <w:u w:val="single"/>
        </w:rPr>
        <w:t>Language Consent</w:t>
      </w:r>
      <w:r>
        <w:rPr>
          <w:rFonts w:ascii="Times New Roman;sans-serif" w:hAnsi="Times New Roman;sans-serif"/>
          <w:b w:val="false"/>
          <w:color w:val="0000FF"/>
          <w:sz w:val="22"/>
          <w:u w:val="single"/>
        </w:rPr>
        <w:t xml:space="preserve">.  By accepting the Grant, the Employee acknowledges that he or she is proficient in reading and understanding English and fully understands the terms of </w:t>
      </w:r>
      <w:r>
        <w:rPr>
          <w:rFonts w:ascii="Times New Roman;sans-serif" w:hAnsi="Times New Roman;sans-serif"/>
          <w:b w:val="false"/>
          <w:color w:val="000000"/>
          <w:sz w:val="22"/>
        </w:rPr>
        <w:t>the documents related to the grant (the Agreement and the Plan), which were provided in the English language.  The Employee accepts the terms of those documents accordingly.</w:t>
      </w:r>
    </w:p>
    <w:p>
      <w:pPr>
        <w:pStyle w:val="TextBody"/>
        <w:bidi w:val="0"/>
        <w:spacing w:lineRule="auto" w:line="288" w:before="0" w:after="240"/>
        <w:jc w:val="left"/>
        <w:rPr/>
      </w:pPr>
      <w:r>
        <w:rPr>
          <w:rFonts w:ascii="Times New Roman;sans-serif" w:hAnsi="Times New Roman;sans-serif"/>
          <w:b/>
          <w:i/>
          <w:color w:val="000000"/>
          <w:sz w:val="24"/>
        </w:rPr>
        <w:t>თანხმობა ენასთან დაკავშირებით</w:t>
      </w:r>
      <w:r>
        <w:rPr>
          <w:rFonts w:ascii="Times New Roman;sans-serif" w:hAnsi="Times New Roman;sans-serif"/>
          <w:b w:val="false"/>
          <w:i/>
          <w:color w:val="000000"/>
          <w:sz w:val="24"/>
        </w:rPr>
        <w:t>.   </w:t>
      </w:r>
      <w:r>
        <w:rPr>
          <w:rFonts w:ascii="Calibri;sans-serif" w:hAnsi="Calibri;sans-serif"/>
          <w:b w:val="false"/>
          <w:i/>
          <w:color w:val="000000"/>
          <w:sz w:val="24"/>
        </w:rPr>
        <w:t>გრანტის მიღებით, თანამშრომელი ადასტურებს, რომ ფლობს ინგლისური ენის კითხვასა და გაგებას და სრულად ესმის გრანტთან დაკავშირებული დოკუმენტების პირობები (ხელშეკრულება და გეგმა), რომლებიც მოწოდებული იყო ინგლისურ ენაზე. თანამშრომელი შესაბამისად იღებს ამ დოკუმენტების პირობებს.</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Cross-border payments in connection with the purchase or sale of securities in excess of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If the Employee receives a payment in excess of this amount (including if the Employee acquires shares of Common Stock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Employee must report the payment and/or the value of the shares of Common Stock withheld or sold to Bundesbank. Such reports must be filed either electronically using the “General Statistics Reporting Portal” (Allgemeine Meldeportal Statistik) available via the Bundesbank’s website (www.bundesbank.de) or by such other method as is permitted or required by Bundesbank. The report must be submitted monthly or within such timing as is permitted or required by Bundesbank.</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€150,000, or (ii) the Employee holds Common Stock exceeding 10% of the total capital of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before="0" w:after="0"/>
        <w:jc w:val="righ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357505"/>
                <wp:effectExtent l="0" t="0" r="0" b="0"/>
                <wp:wrapNone/>
                <wp:docPr id="417" name="Frame30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Section 7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Employee sell all shares of Common Stock delivered to the Employee, either immediately upon receipt of such shares or upon the Employee’s termination of employment from the Mondelēz Group. In this regard, the Employee agrees that the Company is authorized to instruct its designated broker to assist with any such mandatory sale of shares of Common Stock (on the Employee’s behalf pursuant to this authorization), and the Employee expressly authorizes the designated broker to complete the sale of such shares. The Employee also agrees to sign any agreements, forms and/or consents that may be reasonably requested by the Company (or the designated broker) to effectuate the sale of the shares of Common Stock and shall otherwise cooperate with the Company with respect to such matters, provided that the Employee shall not be permitted to exercise any influence over how, when or whether the sales occur. The Employee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Employee and (if later) the date on which the shares of Common Stock are sold, the amount of proceeds ultimately distributed to the v may be more or less than the market value of the shares of Common Stock on the relevant vesting date or the date on which such shares are delivered to the Employee. Upon the sale of the shares of Common Stock, the cash proceeds from the sale of shares (less any applicable Tax-Related Items) will be delivered to the Employee in accordance with applicable laws and regulations, as determined by the Company in its sole discretion.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w:t>
      </w:r>
      <w:r>
        <w:rPr>
          <w:color w:val="000000"/>
        </w:rPr>
        <w:t xml:space="preserve"> </w:t>
      </w:r>
      <w:r>
        <w:rPr>
          <w:rFonts w:ascii="Times New Roman;sans-serif" w:hAnsi="Times New Roman;sans-serif"/>
          <w:b w:val="false"/>
          <w:color w:val="000000"/>
          <w:sz w:val="22"/>
        </w:rPr>
        <w:t>The Employee is personally responsible for complying with exchange control laws in India, and neither the Company nor the Employer will be liable for any fines or penalties resulting from the Employee’s failure to comply with applicable laws. The Employee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Employee should consult his or her personal tax or legal advisor before selling shares of Common Stock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 Employee is required to declare foreign bank accounts and any foreign financial assets (including shares of Common Stock held outside India) in his or </w:t>
      </w:r>
    </w:p>
    <w:p>
      <w:pPr>
        <w:pStyle w:val="TextBody"/>
        <w:bidi w:val="0"/>
        <w:spacing w:before="0" w:after="0"/>
        <w:jc w:val="righ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357505"/>
                <wp:effectExtent l="0" t="0" r="0" b="0"/>
                <wp:wrapNone/>
                <wp:docPr id="418" name="Frame30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her annual tax return. It is the Employee’s responsibility to comply with this reporting obligation and the Employee should consult with his or her personal tax advisor in this regard.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A translation of the documents relating to this Grant into Bahasa Indonesia can be provided to the Employee upon request to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By accepting the Grant, the Employee (i) confirms having read and understood the documents relating to this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left"/>
        <w:rPr/>
      </w:pPr>
      <w:r>
        <w:rPr>
          <w:rFonts w:ascii="Times New Roman;sans-serif" w:hAnsi="Times New Roman;sans-serif"/>
          <w:b/>
          <w:i/>
          <w:color w:val="000000"/>
          <w:sz w:val="22"/>
        </w:rPr>
        <w:t>Language Consent and Notification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Terjemahan dari dokumen-dokumen terkait dengan pemberian ini ke Bahasa Indonesia dapat disediakan untuk anda berdasarkan permintaan kepada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Employee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Employee is a director, shadow director or secretary of an Irish subsidiary or affiliate, the Employee must notify the Irish subsidiary or affiliate in writing if (1) the Employee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Deferred Stock Units, </w:t>
      </w:r>
    </w:p>
    <w:p>
      <w:pPr>
        <w:pStyle w:val="TextBody"/>
        <w:bidi w:val="0"/>
        <w:spacing w:before="0" w:after="0"/>
        <w:jc w:val="righ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357505"/>
                <wp:effectExtent l="0" t="0" r="0" b="0"/>
                <wp:wrapNone/>
                <wp:docPr id="419" name="Frame30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accepting the grant of Deferred Stock Units, the Employee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are beneficial owners of the investment pursuant to Italian money laundering provisions.</w:t>
      </w:r>
    </w:p>
    <w:p>
      <w:pPr>
        <w:pStyle w:val="TextBody"/>
        <w:bidi w:val="0"/>
        <w:spacing w:lineRule="auto" w:line="288"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w:t>
      </w:r>
      <w:r>
        <w:rPr>
          <w:color w:val="000000"/>
        </w:rPr>
        <w:t xml:space="preserve"> </w:t>
      </w:r>
      <w:r>
        <w:rPr>
          <w:rFonts w:ascii="Times New Roman;sans-serif" w:hAnsi="Times New Roman;sans-serif"/>
          <w:b w:val="false"/>
          <w:color w:val="000000"/>
          <w:sz w:val="22"/>
        </w:rPr>
        <w:t>is subject to a foreign assets tax. The 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Employee acquires shares of Common Stock valued at more than ¥100,000,000 in a single transaction, the Employee must file a Securities Acquisition Report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357505"/>
                <wp:effectExtent l="0" t="0" r="0" b="0"/>
                <wp:wrapNone/>
                <wp:docPr id="420" name="Frame30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Ministry of Finance through the Bank of Japan within 20 days of the purchase of the shares of Common Stock.</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vesting in the Deferred Stock Units or receiving proceeds from the sale of shares of Common Stock acquired under the Plan. The Employee is responsible for ensuring compliance with all exchange control laws in Kazakhstan.</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357505"/>
                <wp:effectExtent l="0" t="0" r="0" b="0"/>
                <wp:wrapNone/>
                <wp:docPr id="421" name="Frame30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0"/>
        <w:gridCol w:w="1733"/>
        <w:gridCol w:w="1736"/>
        <w:gridCol w:w="1395"/>
        <w:gridCol w:w="1395"/>
        <w:gridCol w:w="1976"/>
      </w:tblGrid>
      <w:tr>
        <w:trPr/>
        <w:tc>
          <w:tcPr>
            <w:tcW w:w="197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Employee explicitly and unambiguously consents to the collection, use and transfer, in electronic or other form, of the Employee’s personal data as described in this Agreement and any other Deferred Stock Unit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Malaysia Sales Sdn Bhd, Lot 9.01 Level 9, 1 First Avenue, 2A, Dataran Bandar Utama, Bandar Utama Damasara, 47800 Petaling Jaya, Selangor, Malaysia. The Employee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his or her 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tc>
        <w:tc>
          <w:tcPr>
            <w:tcW w:w="4766"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Data tersebut akan dipindahkan ke Morgan Stanley Smith Barney, LLC (“Morgan Stanley”)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Malaysia Sales Sdn Bhd, Lot 9.01 Level 9, 1 First Avenue, 2A, Dataran Bandar Utama, Bandar Utama Damasara, 47800 Petaling Jaya, Selangor, Malaysia.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Pekerjadengan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tc>
      </w:tr>
    </w:tbl>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357505"/>
                <wp:effectExtent l="0" t="0" r="0" b="0"/>
                <wp:wrapNone/>
                <wp:docPr id="422" name="Frame30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Employee is a director of the Company’s Malaysian subsidiary or affiliate, the Employee is subject to certain notification requirements under the Malaysian Companies Act. Among these requirements is an obligation to notify the Malaysian subsidiary or affiliate in writing when the Employee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or shares of Common Stock) in the Company or any related company. Such notifications must be made within 14 days of receiving or disposing of any interest in the Company or any related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Deferred Stock Units, the Employee expressly recognizes that Mondelēz International, Inc., 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Mondelēz México, S. de R.L. de C.V., located at Av. 18 de Noviembre 1028, Camino a Manzanilla, Heroica Puebla de Zaragoza, Puebla, C.P. 72304. Based on the foregoing, the Employee expressly recognizes that the Plan and the benefits that he or she may derive from participating in the Plan do not establish any rights between the Employee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Employee’s employment.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Deferred Stock Units, the Employee acknowledges that he or she has received copies of the Plan, has reviewed the Plan and the Agreement in their entirety and fully understands and accepts all provisions of the Plan and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 </w:t>
      </w:r>
    </w:p>
    <w:p>
      <w:pPr>
        <w:pStyle w:val="TextBody"/>
        <w:bidi w:val="0"/>
        <w:spacing w:before="0" w:after="0"/>
        <w:jc w:val="righ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357505"/>
                <wp:effectExtent l="0" t="0" r="0" b="0"/>
                <wp:wrapNone/>
                <wp:docPr id="423" name="Frame30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TÉRMINOS Y CONDICIONES </w:t>
      </w:r>
    </w:p>
    <w:p>
      <w:pPr>
        <w:pStyle w:val="TextBody"/>
        <w:bidi w:val="0"/>
        <w:spacing w:lineRule="auto" w:line="288" w:before="0" w:after="240"/>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aceptar el otorgamiento de las Acciones Diferidas, el Empleado expresamente reconoce 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Mondelēz México,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pStyle w:val="TextBody"/>
        <w:bidi w:val="0"/>
        <w:spacing w:lineRule="auto" w:line="288"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w:t>
      </w:r>
      <w:r>
        <w:rPr>
          <w:color w:val="000000"/>
        </w:rPr>
        <w:t xml:space="preserve"> </w:t>
      </w:r>
      <w:r>
        <w:rPr>
          <w:rFonts w:ascii="Times New Roman;sans-serif" w:hAnsi="Times New Roman;sans-serif"/>
          <w:b w:val="false"/>
          <w:color w:val="000000"/>
          <w:sz w:val="22"/>
        </w:rPr>
        <w:t>aceptar el otorgamiento de las Acciones Diferidas, el Empleado reconoce que ha recibido copias del Plan, que ha revisado el Plan y el Acuerdo en su totalidad y que entiende y acepta completamente todas las disposiciones contenidas en el Plan y en el Acuerdo.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The Deferred Stock Units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w:t>
      </w:r>
    </w:p>
    <w:p>
      <w:pPr>
        <w:pStyle w:val="TextBody"/>
        <w:bidi w:val="0"/>
        <w:spacing w:before="0" w:after="0"/>
        <w:jc w:val="righ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357505"/>
                <wp:effectExtent l="0" t="0" r="0" b="0"/>
                <wp:wrapNone/>
                <wp:docPr id="424" name="Frame30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Employee is being offered Deferred Stock Units which allows the Employee to acquire shares of Common Stock in accordance with the terms of the Plan and the Agreement. The shares of Common Stock, if issued, give the Employee a stake in the ownership of the Company. The Employee may receive a return if dividends are paid.</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Employee will be paid only after all creditors and holders of preferred shares have been paid. The Employee may lose some or all of his or her investment.</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usual rules do not apply to this offer because it is made under an employee share purchase scheme. As a result, the Employee may not be given all the information usually required. The Employee will also have fewer other legal protections for this investment.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Employee understands that he or she should ask questions, read all documents carefully, and seek independent financial advice before participating in the Plan.</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Employee should refer to the risk factors discussion in the Company’s Annual </w:t>
      </w:r>
    </w:p>
    <w:p>
      <w:pPr>
        <w:pStyle w:val="TextBody"/>
        <w:bidi w:val="0"/>
        <w:spacing w:before="0" w:after="0"/>
        <w:jc w:val="righ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357505"/>
                <wp:effectExtent l="0" t="0" r="0" b="0"/>
                <wp:wrapNone/>
                <wp:docPr id="425" name="Frame30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i/>
          <w:color w:val="000000"/>
          <w:sz w:val="22"/>
        </w:rPr>
        <w:t xml:space="preserve">Report on Form 10-K and Quarterly Reports on Form 10-Q, which are filed with the U.S. Securities and Exchange Commission and are available online at </w:t>
      </w:r>
      <w:r>
        <w:rPr>
          <w:rFonts w:ascii="Times New Roman;sans-serif" w:hAnsi="Times New Roman;sans-serif"/>
          <w:b w:val="false"/>
          <w:i/>
          <w:color w:val="0000FF"/>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u w:val="single"/>
        </w:rPr>
        <w:t>http://ir.mondelezinternational.com/sec.cfm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(e.g., shares of Common Stock) not pre-completed in the tax return, the Norwegian resident must enter this information in Form RF-1159, which is an appendix to the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w:t>
      </w:r>
      <w:r>
        <w:rPr>
          <w:color w:val="000000"/>
        </w:rPr>
        <w:t xml:space="preserve"> </w:t>
      </w:r>
      <w:r>
        <w:rPr>
          <w:rFonts w:ascii="Times New Roman;sans-serif" w:hAnsi="Times New Roman;sans-serif"/>
          <w:b w:val="false"/>
          <w:color w:val="000000"/>
          <w:sz w:val="22"/>
        </w:rPr>
        <w:t>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required immediately to repatriate to Pakistan the proceeds from the sale of any Common 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xml:space="preserve">)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w:t>
      </w:r>
    </w:p>
    <w:p>
      <w:pPr>
        <w:pStyle w:val="TextBody"/>
        <w:bidi w:val="0"/>
        <w:spacing w:before="0" w:after="0"/>
        <w:jc w:val="righ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357505"/>
                <wp:effectExtent l="0" t="0" r="0" b="0"/>
                <wp:wrapNone/>
                <wp:docPr id="426" name="Frame30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applicable exchange control regulations in Pakistan, as such regulations are subject to frequent change. The Employee is responsible for ensuring compliance with all exchange control laws in Pakistan.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13 of the Agreement:</w:t>
      </w:r>
    </w:p>
    <w:p>
      <w:pPr>
        <w:pStyle w:val="TextBody"/>
        <w:bidi w:val="0"/>
        <w:spacing w:lineRule="auto" w:line="288" w:before="0" w:after="240"/>
        <w:jc w:val="left"/>
        <w:rPr/>
      </w:pPr>
      <w:r>
        <w:rPr>
          <w:rFonts w:ascii="Times New Roman;sans-serif" w:hAnsi="Times New Roman;sans-serif"/>
          <w:b w:val="false"/>
          <w:color w:val="000000"/>
          <w:sz w:val="22"/>
        </w:rPr>
        <w:t xml:space="preserve">By accepting the Deferred Stock Units, the Employee acknowledges, understands and agrees that the Deferred Stock Units are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Employee.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Deferred Stock Units is considered a private offering in Peru; therefore, it is not subject to 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before="10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357505"/>
                <wp:effectExtent l="0" t="0" r="0" b="0"/>
                <wp:wrapNone/>
                <wp:docPr id="427" name="Frame31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100" w:after="240"/>
        <w:jc w:val="center"/>
        <w:rPr/>
      </w:pPr>
      <w:r>
        <w:rPr/>
      </w:r>
    </w:p>
    <w:p>
      <w:pPr>
        <w:pStyle w:val="TextBody"/>
        <w:bidi w:val="0"/>
        <w:spacing w:lineRule="auto" w:line="288" w:before="10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Employee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88"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Employee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Employee.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deposits proceeds from the sale of Common Stock in a bank account in Romania, the 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Employee may receive concerning the Deferred Stock Units and the Employee’s participation in the Plan do not constitute advertising or an offering of securities in Russia. The Common Stock to be issued upon the vesting of the Deferred Stock Units has not and will not be registered in Russia and, therefore, the Common Stock described in any Plan documents may not be offered or placed in public circulation in Russia. In no event will Common Stock to be issued upon the vesting of the Deferred Stock Units be delivered to the Employee in Russia. All Common Stock acquired under the Plan will be maintained on the Employee’s behalf outside of Russia. The Employee will not be permitted to sell Common Stock directly to a Russian legal entity or resident.</w:t>
      </w:r>
    </w:p>
    <w:p>
      <w:pPr>
        <w:pStyle w:val="TextBody"/>
        <w:bidi w:val="0"/>
        <w:spacing w:lineRule="auto" w:line="288" w:before="0" w:after="240"/>
        <w:jc w:val="left"/>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The Employee understands that no shares of Common Stock will be issued upon vesting of the Deferred Stock Units if the Company, in its sole discretion, determines that such issuance would not comply with applicable laws and regulations in Russia.</w:t>
      </w:r>
      <w:r>
        <w:rPr>
          <w:color w:val="000000"/>
        </w:rPr>
        <w:t xml:space="preserve"> </w:t>
      </w:r>
      <w:r>
        <w:rPr>
          <w:rFonts w:ascii="Times New Roman;sans-serif" w:hAnsi="Times New Roman;sans-serif"/>
          <w:b w:val="false"/>
          <w:color w:val="000000"/>
          <w:sz w:val="22"/>
        </w:rPr>
        <w:t xml:space="preserve">Notwithstanding anything to the contrary in the Agreement, depending on the development of local regulatory requirements, the Employee acknowledges that the Deferred Stock Units may be paid to </w:t>
      </w:r>
    </w:p>
    <w:p>
      <w:pPr>
        <w:pStyle w:val="TextBody"/>
        <w:bidi w:val="0"/>
        <w:spacing w:before="0" w:after="0"/>
        <w:jc w:val="righ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357505"/>
                <wp:effectExtent l="0" t="0" r="0" b="0"/>
                <wp:wrapNone/>
                <wp:docPr id="428" name="Frame31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288"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14 of the Agreement:</w:t>
      </w:r>
    </w:p>
    <w:p>
      <w:pPr>
        <w:pStyle w:val="TextBody"/>
        <w:bidi w:val="0"/>
        <w:spacing w:lineRule="auto" w:line="288" w:before="0" w:after="240"/>
        <w:jc w:val="left"/>
        <w:rPr/>
      </w:pPr>
      <w:r>
        <w:rPr>
          <w:rFonts w:ascii="Times New Roman;sans-serif" w:hAnsi="Times New Roman;sans-serif"/>
          <w:b w:val="false"/>
          <w:color w:val="000000"/>
          <w:sz w:val="22"/>
        </w:rPr>
        <w:t>The Employee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responsible for complying with any and all Russian foreign exchange control requirements in connection with the Deferred Stock Units, any shares of Common Stock acquired and funds remitted into Russia in connection with the Plan. This may include, in certain circumstances, reporting and repatriation requirements. The foreign exchange control rules and regulations in Russia are subject to frequent change. The Employee should contact their personal advisor to determine applicability of all repatriation, remittance or other exchange control requirements to ensure compliance with all applicable exchange control requirements prior to vesting in the Deferred Stock Units and/or selling shares of Common Stock.</w:t>
      </w:r>
    </w:p>
    <w:p>
      <w:pPr>
        <w:pStyle w:val="TextBody"/>
        <w:bidi w:val="0"/>
        <w:spacing w:lineRule="auto" w:line="288" w:before="0" w:after="240"/>
        <w:jc w:val="left"/>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Employee continues to hold shares of Common Stock acquired at vesting of Deferred Stock Units after an involuntary termination of employment, the Employee will not be eligible to receive unemployment benefits in Russia.</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Employee’s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Deferred Stock Units</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Employee should consult with their personal legal advisor to determine the applicability of these reporting requirements to any brokerage account opened in connection with participation in the Plan.</w:t>
      </w:r>
    </w:p>
    <w:p>
      <w:pPr>
        <w:pStyle w:val="TextBody"/>
        <w:bidi w:val="0"/>
        <w:spacing w:lineRule="auto" w:line="288"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foreign </w:t>
      </w:r>
    </w:p>
    <w:p>
      <w:pPr>
        <w:pStyle w:val="TextBody"/>
        <w:bidi w:val="0"/>
        <w:spacing w:before="0" w:after="0"/>
        <w:jc w:val="righ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357505"/>
                <wp:effectExtent l="0" t="0" r="0" b="0"/>
                <wp:wrapNone/>
                <wp:docPr id="429" name="Frame31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companies such as the Company). Accordingly, the Employee should inform the Company if the Employee is covered by these laws because the Employee should not hold shares of Common Stock acquired under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rFonts w:ascii="Times New Roman;sans-serif" w:hAnsi="Times New Roman;sans-serif"/>
          <w:b w:val="false"/>
          <w:color w:val="000000"/>
          <w:sz w:val="22"/>
        </w:rPr>
        <w:t>. 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both"/>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document may not be distributed in the Kingdom of Saudi Arabia except to such persons as are permitted (</w:t>
      </w:r>
      <w:r>
        <w:rPr>
          <w:rFonts w:ascii="Times New Roman;sans-serif" w:hAnsi="Times New Roman;sans-serif"/>
          <w:b w:val="false"/>
          <w:i/>
          <w:color w:val="000000"/>
          <w:sz w:val="22"/>
        </w:rPr>
        <w:t>e.g.</w:t>
      </w:r>
      <w:r>
        <w:rPr>
          <w:rFonts w:ascii="Times New Roman;sans-serif" w:hAnsi="Times New Roman;sans-serif"/>
          <w:b w:val="false"/>
          <w:color w:val="000000"/>
          <w:sz w:val="22"/>
        </w:rPr>
        <w:t>, Employees) under the Offer of Securities Regulations and Continuing Obligations issued by the Capital Market Authority.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Deferred Stock Units and the issuance of any shares of Common Stock in settlement of the Deferred Stock Units is not subject to the regulations governing public offerings and private placements under the Law on Capital Markets.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Pursuant to the Law on Foreign Exchange Transactions, the Employee is permitted to acquire shares of 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An exemption from this reporting obligation may apply on the basis that the shares of Common Stock are acquired for no consideration. Because the exchange control regulations in Serbia may change without notice, the Employee should consult with his or her personal advisor to ensure compliance with applicable exchange control laws.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 xml:space="preserve">The Employee agrees that any shares of Common Stock acquired pursuant to the Deferred Stock Units will not be offered for sale in Singapore prior to the six-month anniversary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357505"/>
                <wp:effectExtent l="0" t="0" r="0" b="0"/>
                <wp:wrapNone/>
                <wp:docPr id="430" name="Frame31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The grant of Deferred Stock Units is being made pursuant to the “Qualifying Person” exemption under section 273(1)(f) of the SFA and is not made to the Employee with a view to the Deferred Stock Units being subsequently offered for sale to any other party. The Plan has not been lodged or registered as a prospectus with the Monetary Authority of Singapore. </w:t>
      </w:r>
    </w:p>
    <w:p>
      <w:pPr>
        <w:pStyle w:val="TextBody"/>
        <w:bidi w:val="0"/>
        <w:spacing w:lineRule="auto" w:line="288"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when the shares of Common Stock are sold), or (iii) becoming a director, associate director or shadow director.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Employee’s brokerage account with the Company’s designated broker).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Employee’s review on the Company’s public site or intranet site, as applicable, as listed below:</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1.The Company’s most recent Annual Report (Form 10-K): from the investor relations section of the Company’s website at http://www.mondelezinternational.com/investors.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2.The Company’s most recent Plan prospectus: a copy of which can be found on the Company’s Intranet site located at: https://intranet.mdlz.com/sites/globalhr/comp/Pages/Legal-Documents.aspx.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acknowledges that he or she may have copies of the above documents sent to him or her, at no charge, on written request being mailed to Corporate Secretary, Mondelēz International, Inc., 905 </w:t>
      </w:r>
    </w:p>
    <w:p>
      <w:pPr>
        <w:pStyle w:val="TextBody"/>
        <w:bidi w:val="0"/>
        <w:spacing w:before="0" w:after="0"/>
        <w:jc w:val="righ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357505"/>
                <wp:effectExtent l="0" t="0" r="0" b="0"/>
                <wp:wrapNone/>
                <wp:docPr id="431" name="Frame31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West Fulton Market, Suite 200, Chicago, Illinois 60607, U.S.A. The telephone number at the executive offices is +1 847-943-4000.</w:t>
      </w:r>
    </w:p>
    <w:p>
      <w:pPr>
        <w:pStyle w:val="TextBody"/>
        <w:bidi w:val="0"/>
        <w:spacing w:lineRule="auto" w:line="288" w:before="0" w:after="240"/>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 xml:space="preserve">The following provision supplements paragraph 5 of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Deferred Stock Units, the Employee understands and acknowledges that he or she is required to notify the Employer of the amount of any gain realized upon vesting of the Deferred Stock Units.</w:t>
      </w:r>
    </w:p>
    <w:p>
      <w:pPr>
        <w:pStyle w:val="TextBody"/>
        <w:bidi w:val="0"/>
        <w:spacing w:lineRule="auto" w:line="288"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Employee is solely responsible for complying with applicable South African exchange control regulations. In particular, the Employee may be required to obtain approval from the South African Reserve Bank for payments (including shares of Common Stock received pursuant to the Plan) that the Employee receives into accounts based outside of South Africa (e.g., a U.S. brokerage account).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Deferred Stock Units, the Employee consents to participation in the Plan and acknowledges that he or she has received a copy of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w:t>
      </w:r>
    </w:p>
    <w:p>
      <w:pPr>
        <w:pStyle w:val="TextBody"/>
        <w:bidi w:val="0"/>
        <w:spacing w:before="0" w:after="0"/>
        <w:jc w:val="righ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357505"/>
                <wp:effectExtent l="0" t="0" r="0" b="0"/>
                <wp:wrapNone/>
                <wp:docPr id="432" name="Frame31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Employee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 xml:space="preserve">or if ownership of the asset is transferred or relinquished during the year. If the value of such rights and/or assets does not exceed €50,000, a summarized form of declaration may be presented. The reporting must be completed by the March 31 each year. </w:t>
      </w:r>
      <w:r>
        <w:rPr>
          <w:rFonts w:ascii="Times New Roman;sans-serif" w:hAnsi="Times New Roman;sans-serif"/>
          <w:b w:val="false"/>
          <w:color w:val="0000FF"/>
          <w:sz w:val="22"/>
          <w:u w:val="single"/>
        </w:rPr>
        <w:t>The Employee should consult his or her personal tax advisor for details regarding this requirement.</w:t>
      </w:r>
    </w:p>
    <w:p>
      <w:pPr>
        <w:pStyle w:val="TextBody"/>
        <w:bidi w:val="0"/>
        <w:spacing w:before="0" w:after="0"/>
        <w:jc w:val="righ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357505"/>
                <wp:effectExtent l="0" t="0" r="0" b="0"/>
                <wp:wrapNone/>
                <wp:docPr id="433" name="Frame31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this document nor any other materials relating to the Deferred Stock Units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Employee hereby acknowledges that he or she has read and understood the terms regarding collection, 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and the shares of Common Stock to be issued pursuant to the Plan are available only to employees of the Mondelēz Group. The grant of Deferred Stock Units does not constitute a public offer of securities.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Employee may acquire and remit foreign currency (including proceeds from the sale of shares of Common Stock) into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pStyle w:val="TextBody"/>
        <w:bidi w:val="0"/>
        <w:spacing w:before="0" w:after="0"/>
        <w:jc w:val="righ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357505"/>
                <wp:effectExtent l="0" t="0" r="0" b="0"/>
                <wp:wrapNone/>
                <wp:docPr id="434" name="Frame31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receives proceeds from the sale of shares of Common Stock or cash dividends in relation to the shares of Common Stock in excess of US$1,000,000 in a single transaction, the Employee must immediately repatriate the funds to Thailand (or utilize such funds offshore for permissible purposes) and convert the funds to Thai Baht within 360 days of repatriation or deposit the funds in an authorized foreign exchange account in Thailand. The Employee is also required to provide details of the transaction (i.e., identification information and purpose of the transaction) to the receiving bank.</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repatriate such funds and utilizes them offshore for permissible purposes (i.e., purposes not listed in the negative list prescribed by the Bank of Thailand), the Employee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TÜRKIYE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Employee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engage a Turkish financial intermediary to assist with the sale of shares 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pStyle w:val="TextBody"/>
        <w:bidi w:val="0"/>
        <w:spacing w:before="0" w:after="0"/>
        <w:jc w:val="righ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357505"/>
                <wp:effectExtent l="0" t="0" r="0" b="0"/>
                <wp:wrapNone/>
                <wp:docPr id="435" name="Frame31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u w:val="single"/>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applicable Ukraine exchange control regulations. 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Participation in the Plan is being offered only to selected Employees and is in the nature of providing equity 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bidi w:val="0"/>
        <w:spacing w:lineRule="auto" w:line="288" w:before="0" w:after="240"/>
        <w:jc w:val="left"/>
        <w:rPr/>
      </w:pPr>
      <w:r>
        <w:rPr>
          <w:rFonts w:ascii="Times New Roman;sans-serif" w:hAnsi="Times New Roman;sans-serif"/>
          <w:b w:val="false"/>
          <w:color w:val="000000"/>
          <w:sz w:val="22"/>
        </w:rPr>
        <w:t>Without limitation to paragraph 5 of the Agreement, the Employee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pStyle w:val="TextBody"/>
        <w:bidi w:val="0"/>
        <w:spacing w:lineRule="auto" w:line="288" w:before="0" w:after="240"/>
        <w:jc w:val="left"/>
        <w:rPr/>
      </w:pPr>
      <w:r>
        <w:rPr>
          <w:rFonts w:ascii="Times New Roman;sans-serif" w:hAnsi="Times New Roman;sans-serif"/>
          <w:b w:val="false"/>
          <w:color w:val="000000"/>
          <w:sz w:val="22"/>
        </w:rPr>
        <w:t>Notwithstanding the foregoing, if the Employee is a director or executive officer of the Company (within the meaning of Section 13(k) of the Exchange Act), the Employee understands that he or she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w:t>
      </w:r>
      <w:r>
        <w:rPr>
          <w:rFonts w:ascii="Times New Roman;sans-serif" w:hAnsi="Times New Roman;sans-serif"/>
          <w:b w:val="false"/>
          <w:color w:val="000000"/>
          <w:sz w:val="22"/>
          <w:u w:val="single"/>
        </w:rPr>
        <w:t>NICs</w:t>
      </w:r>
      <w:r>
        <w:rPr>
          <w:color w:val="000000"/>
        </w:rPr>
        <w:t>”</w:t>
      </w:r>
      <w:r>
        <w:rPr>
          <w:rFonts w:ascii="Times New Roman;sans-serif" w:hAnsi="Times New Roman;sans-serif"/>
          <w:b w:val="false"/>
          <w:color w:val="000000"/>
          <w:sz w:val="22"/>
        </w:rPr>
        <w:t xml:space="preserve">) may be payable. The Employee understands that he or she will be responsible for reporting and paying any income tax due on this additional benefit directly to HMRC under the self-assessment regime and for paying to the Company and/or the Employer (as </w:t>
      </w:r>
    </w:p>
    <w:p>
      <w:pPr>
        <w:pStyle w:val="TextBody"/>
        <w:bidi w:val="0"/>
        <w:spacing w:before="0" w:after="0"/>
        <w:jc w:val="righ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357505"/>
                <wp:effectExtent l="0" t="0" r="0" b="0"/>
                <wp:wrapNone/>
                <wp:docPr id="436" name="Frame31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appropriate) the amount of any NICs due on this additional benefit, which may also be recovered from the Employee by any of the means referred to in paragraph 5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14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applicable data protection laws, the Employee is hereby notified that the Company collects, processes, uses and transfers certain personally-identifiable information about the Employee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Employee's Personal Data or share it for cross-context behavioral advertising. If the Employee would like a copy of the Company’s privacy policy, please contact a local human resources representative.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Employee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Deferred Stock Units or Common Stock) or other 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Employee understands that the Data will be collected by the Employer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grant of the Deferred Stock Units, the Employee acknowledges and agrees that any shares of Common Stock the Employee may acquire upon the settlement of the Deferred Stock Units are acquired as and intended to be an investment rather than for the resale of the shares of Common Stock and conversion of shares into foreign currency.</w:t>
      </w:r>
    </w:p>
    <w:p>
      <w:pPr>
        <w:pStyle w:val="TextBody"/>
        <w:bidi w:val="0"/>
        <w:spacing w:before="0" w:after="0"/>
        <w:jc w:val="righ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357505"/>
                <wp:effectExtent l="0" t="0" r="0" b="0"/>
                <wp:wrapNone/>
                <wp:docPr id="437" name="Frame32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Deferred Stock Units or remit funds into 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Employee should consult with his or her personal legal advisor before accepting the Deferred Stock Units to ensure compliance with current regulations.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granted under the Plan and the shares of Common Stock issued under the Plan are offered as a personal, private, exclusive transaction and are not subject to Venezuelan government securities regulations. The Deferred Stock Units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10.8</w:t>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357505"/>
                <wp:effectExtent l="0" t="0" r="0" b="0"/>
                <wp:wrapNone/>
                <wp:docPr id="438" name="Frame32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2024 PERFORMANCE INCENTIVE PLAN</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Employee</w:t>
      </w:r>
      <w:r>
        <w:rPr>
          <w:color w:val="000000"/>
        </w:rPr>
        <w:t>”</w:t>
      </w:r>
      <w:r>
        <w:rPr>
          <w:rFonts w:ascii="Times New Roman;sans-serif" w:hAnsi="Times New Roman;sans-serif"/>
          <w:b w:val="false"/>
          <w:color w:val="000000"/>
          <w:sz w:val="22"/>
        </w:rPr>
        <w:t>) named in the award statement provided to the Employee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as of the date set forth in the Award Statement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pursuant to the provisions of the Mondelēz International, Inc. 2024 Performance Incentive Plan, as may be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Deferred Stock Units (the “</w:t>
      </w:r>
      <w:r>
        <w:rPr>
          <w:rFonts w:ascii="Times New Roman;sans-serif" w:hAnsi="Times New Roman;sans-serif"/>
          <w:b w:val="false"/>
          <w:color w:val="000000"/>
          <w:sz w:val="22"/>
          <w:u w:val="single"/>
        </w:rPr>
        <w:t>Grant</w:t>
      </w:r>
      <w:r>
        <w:rPr>
          <w:color w:val="000000"/>
        </w:rPr>
        <w:t>”</w:t>
      </w:r>
      <w:r>
        <w:rPr>
          <w:rFonts w:ascii="Times New Roman;sans-serif" w:hAnsi="Times New Roman;sans-serif"/>
          <w:b w:val="false"/>
          <w:color w:val="000000"/>
          <w:sz w:val="22"/>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Grant is subject to the following terms and conditions (including the country-specific terms set forth in Appendix A to this Agreement):</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Restrictions</w:t>
      </w:r>
      <w:r>
        <w:rPr>
          <w:rFonts w:ascii="Times New Roman;sans-serif" w:hAnsi="Times New Roman;sans-serif"/>
          <w:b w:val="false"/>
          <w:color w:val="000000"/>
          <w:sz w:val="22"/>
        </w:rPr>
        <w:t>. Except as expressly provided in this Agreement, the restrictions on the Deferred Stock Units shall lapse and the Deferred Stock Units shall vest on the Vesting Date shown in the Award Statement (the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xml:space="preserve">), provided that the Employee remains an active employee of the Mondelēz Group during the entire period commencing on the Grant Date and ending on the Vesting Date.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Termination of Employment Before Vesting Date</w:t>
      </w:r>
      <w:r>
        <w:rPr>
          <w:rFonts w:ascii="Times New Roman;sans-serif" w:hAnsi="Times New Roman;sans-serif"/>
          <w:b w:val="false"/>
          <w:color w:val="000000"/>
          <w:sz w:val="22"/>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Employee’s death or Disability (as defined below in paragraph 21), the restrictions on the Deferred Stock Units shall lapse and the Deferred Stock Units shall become fully vested on the date of the Employee’s death or termination due to Disability; or </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    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the Company in its sole discretion; and (iii) the Retirement date occurs on or after the 181st day following the Grant Date then:</w:t>
      </w:r>
    </w:p>
    <w:p>
      <w:pPr>
        <w:pStyle w:val="TextBody"/>
        <w:bidi w:val="0"/>
        <w:spacing w:before="0" w:after="0"/>
        <w:jc w:val="righ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357505"/>
                <wp:effectExtent l="0" t="0" r="0" b="0"/>
                <wp:wrapNone/>
                <wp:docPr id="439" name="Frame32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in the event that the Employee's Retirement occurs because the Employee is age 65 or older with at least five (5) or more years of active continuous employment with the Mondelēz Group, the restrictions on the Deferred Stock Units shall lapse and the Deferred Stock Units shall become fully vested on the date of the Employee’s Retirement; </w:t>
      </w:r>
    </w:p>
    <w:p>
      <w:pPr>
        <w:pStyle w:val="TextBody"/>
        <w:bidi w:val="0"/>
        <w:spacing w:lineRule="auto" w:line="288" w:before="0" w:after="24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in the event that the Employee's Retirement occurs because the Employee is age 55 or older with at least ten (10) or more years of active continuous employment with the Mondelēz Group,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clarity, in the event any of (i), (ii) or (iii) of this subsection 2(b) are not met then, unless determined otherwise by the Committee, the Employee shall forfeit all rights to the Deferred Stock Units and the shares of Common Stock underlying the Deferred Stock Units.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Voting and Dividend Rights</w:t>
      </w:r>
      <w:r>
        <w:rPr>
          <w:rFonts w:ascii="Times New Roman;sans-serif" w:hAnsi="Times New Roman;sans-serif"/>
          <w:b w:val="false"/>
          <w:color w:val="000000"/>
          <w:sz w:val="22"/>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be eligible to receive cash payments (less applicable Tax-Related Items (as defined below)) in lieu of dividends otherwise payable with respect to shares of Common Stock equal in number to the unpaid Deferred Stock Units that have not been forfeited, which shall be subject to the same vesting restrictions as the underlying Deferred Stock Units and be paid following the vesting of such Deferred Stock Units within the timeframe set forth in Section 7 below.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Employee acknowledges that regardless of any action taken by the Company or, if different, the Employee’s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xml:space="preserve">),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w:t>
      </w:r>
    </w:p>
    <w:p>
      <w:pPr>
        <w:pStyle w:val="TextBody"/>
        <w:bidi w:val="0"/>
        <w:spacing w:before="0" w:after="0"/>
        <w:jc w:val="righ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357505"/>
                <wp:effectExtent l="0" t="0" r="0" b="0"/>
                <wp:wrapNone/>
                <wp:docPr id="440" name="Frame32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2"/>
        </w:rPr>
        <w:t xml:space="preserve">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w:t>
      </w:r>
    </w:p>
    <w:p>
      <w:pPr>
        <w:pStyle w:val="TextBody"/>
        <w:bidi w:val="0"/>
        <w:spacing w:before="0" w:after="0"/>
        <w:jc w:val="righ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357505"/>
                <wp:effectExtent l="0" t="0" r="0" b="0"/>
                <wp:wrapNone/>
                <wp:docPr id="441" name="Frame32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from the applicable tax authorities. In the event of under-withholding, the Employee may be required to pay any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Death of Employee</w:t>
      </w:r>
      <w:r>
        <w:rPr>
          <w:rFonts w:ascii="Times New Roman;sans-serif" w:hAnsi="Times New Roman;sans-serif"/>
          <w:b w:val="false"/>
          <w:color w:val="000000"/>
          <w:sz w:val="22"/>
        </w:rPr>
        <w:t>. If any of the Deferred Stock Units shall vest upon the death of the Employee, any Common Stock received in payment of the vested Deferred Stock Units shall be registered in the name of and delivered to the estate of the Employee.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Payment of Deferred Stock Units</w:t>
      </w:r>
      <w:r>
        <w:rPr>
          <w:rFonts w:ascii="Times New Roman;sans-serif" w:hAnsi="Times New Roman;sans-serif"/>
          <w:b w:val="false"/>
          <w:color w:val="000000"/>
          <w:sz w:val="22"/>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Section 9), such issuance shall be made to the Employee (or, in the event of his or her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Special Payment Provisions</w:t>
      </w:r>
      <w:r>
        <w:rPr>
          <w:rFonts w:ascii="Times New Roman;sans-serif" w:hAnsi="Times New Roman;sans-serif"/>
          <w:b w:val="false"/>
          <w:color w:val="000000"/>
          <w:sz w:val="22"/>
        </w:rPr>
        <w:t>.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 prohibited distribution under Section 409A of the Code.</w:t>
      </w:r>
    </w:p>
    <w:p>
      <w:pPr>
        <w:pStyle w:val="TextBody"/>
        <w:bidi w:val="0"/>
        <w:spacing w:lineRule="auto" w:line="288" w:before="0" w:after="240"/>
        <w:jc w:val="left"/>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Confidential Information</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(a)The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357505"/>
                <wp:effectExtent l="0" t="0" r="0" b="0"/>
                <wp:wrapNone/>
                <wp:docPr id="442" name="Frame32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interest. By acceptance of any Grant (including the Deferred Stock Units) under the Plan, the Employee acknowledges and agrees that if the Employee breaches any of the covenants set forth in paragraph 9(a):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Deferred Stock Units) shall be immediately forfeited;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w:t>
      </w:r>
    </w:p>
    <w:p>
      <w:pPr>
        <w:pStyle w:val="TextBody"/>
        <w:bidi w:val="0"/>
        <w:spacing w:before="0" w:after="0"/>
        <w:jc w:val="righ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357505"/>
                <wp:effectExtent l="0" t="0" r="0" b="0"/>
                <wp:wrapNone/>
                <wp:docPr id="443" name="Frame32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any such reports or disclosures and is not required to notify the Mondelēz Group that the Employee has made such reports or disclosures.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(e)The Employee is hereby advised in writing to consult with an attorney before entering into the covenants outlined in this Section 9. The Employee acknowledges that prior to acceptance of this Agreement, the Employee has been advised by the Company of the Employee's right to seek independent advice from an attorney of the Employee's own selection regarding this Agreement, including the restraints imposed upon him or her pursuant to this Section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 expressly set forth herein, and that the Employee is relying only upon their own judgment and any advice provided by the Employee's attorney. The Employee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9, the Company and any member of the Mondelēz Group shall be deemed to be third-party beneficiaries with the right to seek enforcement of any of the provisions of this Section 9. Further, for purposes of this Section 9, references to acting directly or indirectly include acting jointly with or through another person.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Clawback Policy/ Forfeiture</w:t>
      </w:r>
      <w:r>
        <w:rPr>
          <w:rFonts w:ascii="Times New Roman;sans-serif" w:hAnsi="Times New Roman;sans-serif"/>
          <w:b w:val="false"/>
          <w:color w:val="000000"/>
          <w:sz w:val="22"/>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the Company’s Dodd-Frank Clawback Policy, the Company’s Compensation Recoupment Policy, and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Employee hereby expressly acknowledges and agrees that the Company shall have the right to reduce, cancel, or withhold against outstanding, unvested, vested, or future cash or equity-based compensation owed or due to the Employee, to the maximum extent permitted under applicable law. No such recovery will be an event giving rise to a right to resign for Good Reason or be deemed a “constructive termination” (or any similar term) as such terms are used in any agreement between the Employee and the Company or under any severance plans applicable to the Employee.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Original Issue or Transfer Taxes</w:t>
      </w:r>
      <w:r>
        <w:rPr>
          <w:rFonts w:ascii="Times New Roman;sans-serif" w:hAnsi="Times New Roman;sans-serif"/>
          <w:b w:val="false"/>
          <w:color w:val="000000"/>
          <w:sz w:val="22"/>
        </w:rPr>
        <w:t>. The Company shall pay all original issue or transfer taxes and all fees and expenses incident to the delivery of the shares of Common Stock underlying the vested Deferred Stock Units, except as otherwise provided in paragraph 5.</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Grant Confers No Rights to Continued Employment</w:t>
      </w:r>
      <w:r>
        <w:rPr>
          <w:rFonts w:ascii="Times New Roman;sans-serif" w:hAnsi="Times New Roman;sans-serif"/>
          <w:b w:val="false"/>
          <w:color w:val="000000"/>
          <w:sz w:val="22"/>
        </w:rPr>
        <w:t xml:space="preserve">.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w:t>
      </w:r>
    </w:p>
    <w:p>
      <w:pPr>
        <w:pStyle w:val="TextBody"/>
        <w:bidi w:val="0"/>
        <w:spacing w:before="0" w:after="0"/>
        <w:jc w:val="righ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357505"/>
                <wp:effectExtent l="0" t="0" r="0" b="0"/>
                <wp:wrapNone/>
                <wp:docPr id="444" name="Frame32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employment or service contract with any member of the Mondelēz Group. The adoption and maintenance of the Plan shall not constitute an inducement to, or condition of, the employment of the Employee.</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In accepting the Deferred Stock Units, the Employee acknowledges, understands, and agrees that:</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Grant is exceptional, voluntary and occasional and does not create any contractual or other right to receive future Grants, or benefits in lieu of Deferred Stock Units, even if Deferred Stock Units have been granted in the past;</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Grants, if any, will be at the sole discretion of the Committee;</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Employee’s participation in the Plan is voluntary;</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Deferred Stock Units and the shares of Common Stock subject to the Deferred Stock Units, and the income and value of same, are not intended to replace any pension rights or compensation;</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(f)</w:t>
      </w:r>
      <w:r>
        <w:rPr>
          <w:rFonts w:ascii="Times New Roman;sans-serif" w:hAnsi="Times New Roman;sans-serif"/>
          <w:b w:val="false"/>
          <w:color w:val="000000"/>
          <w:sz w:val="22"/>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(h)</w:t>
      </w:r>
      <w:r>
        <w:rPr>
          <w:rFonts w:ascii="Times New Roman;sans-serif" w:hAnsi="Times New Roman;sans-serif"/>
          <w:b w:val="false"/>
          <w:color w:val="000000"/>
          <w:sz w:val="22"/>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 </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pStyle w:val="TextBody"/>
        <w:bidi w:val="0"/>
        <w:spacing w:before="0" w:after="0"/>
        <w:jc w:val="righ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357505"/>
                <wp:effectExtent l="0" t="0" r="0" b="0"/>
                <wp:wrapNone/>
                <wp:docPr id="445" name="Frame32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(k)</w:t>
      </w:r>
      <w:r>
        <w:rPr>
          <w:rFonts w:ascii="Times New Roman;sans-serif" w:hAnsi="Times New Roman;sans-serif"/>
          <w:b w:val="false"/>
          <w:color w:val="000000"/>
          <w:sz w:val="22"/>
        </w:rPr>
        <w:t>the Deferred Stock Units and the shares of Common Stock subject to the Deferred Stock Units, and the income and value of same, are not part of normal or expected compensation or salary for any purpose;</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(l)</w:t>
      </w:r>
      <w:r>
        <w:rPr>
          <w:rFonts w:ascii="Times New Roman;sans-serif" w:hAnsi="Times New Roman;sans-serif"/>
          <w:b w:val="false"/>
          <w:color w:val="000000"/>
          <w:sz w:val="22"/>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pStyle w:val="TextBody"/>
        <w:bidi w:val="0"/>
        <w:spacing w:lineRule="auto" w:line="288" w:before="0" w:after="240"/>
        <w:ind w:left="0" w:right="0" w:firstLine="1440"/>
        <w:jc w:val="left"/>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no claim or entitlement to compensation or damages shall arise from forfeiture of the Deferred Stock Units </w:t>
      </w:r>
      <w:r>
        <w:rPr>
          <w:rFonts w:ascii="Times New Roman;sans-serif" w:hAnsi="Times New Roman;sans-serif"/>
          <w:b w:val="false"/>
          <w:color w:val="000000"/>
          <w:sz w:val="22"/>
          <w:shd w:fill="FFFFFF" w:val="clear"/>
        </w:rPr>
        <w:t xml:space="preserve">or the recoupment of any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 xml:space="preserve">acquired under the Plan </w:t>
      </w:r>
      <w:r>
        <w:rPr>
          <w:rFonts w:ascii="Times New Roman;sans-serif" w:hAnsi="Times New Roman;sans-serif"/>
          <w:b w:val="false"/>
          <w:color w:val="000000"/>
          <w:sz w:val="22"/>
        </w:rPr>
        <w:t xml:space="preserve">resulting from (a)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w:t>
      </w:r>
      <w:r>
        <w:rPr>
          <w:rFonts w:ascii="Times New Roman;sans-serif" w:hAnsi="Times New Roman;sans-serif"/>
          <w:b w:val="false"/>
          <w:color w:val="000000"/>
          <w:sz w:val="22"/>
          <w:shd w:fill="FFFFFF" w:val="clear"/>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14.    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Employee hereby explicitly and unambiguously consents to the collection, use and transfer, in electronic or other form, of his or her personal data as described in this Agreement and any other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Employee’s participation in the Plan.</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The Employee understands that Data will be transferred to Morgan Stanley Smith Barney, LLC and its affiliates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w:t>
      </w:r>
    </w:p>
    <w:p>
      <w:pPr>
        <w:pStyle w:val="TextBody"/>
        <w:bidi w:val="0"/>
        <w:spacing w:before="0" w:after="0"/>
        <w:jc w:val="righ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357505"/>
                <wp:effectExtent l="0" t="0" r="0" b="0"/>
                <wp:wrapNone/>
                <wp:docPr id="446" name="Frame32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i/>
          <w:color w:val="000000"/>
          <w:sz w:val="22"/>
        </w:rPr>
        <w:t>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 xml:space="preserve">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 unless otherwise required by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357505"/>
                <wp:effectExtent l="0" t="0" r="0" b="0"/>
                <wp:wrapNone/>
                <wp:docPr id="447" name="Frame33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xml:space="preserve">.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w:t>
      </w:r>
    </w:p>
    <w:p>
      <w:pPr>
        <w:pStyle w:val="TextBody"/>
        <w:bidi w:val="0"/>
        <w:spacing w:before="0" w:after="0"/>
        <w:jc w:val="righ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357505"/>
                <wp:effectExtent l="0" t="0" r="0" b="0"/>
                <wp:wrapNone/>
                <wp:docPr id="448" name="Frame33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For the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 xml:space="preserve">means, unless otherwise determined by the Committee in its sole discretion, the termination of employment on or after either (i) the date the Employee is age 55 or older with at least ten (10) or more years of active continuous employment with the Mondelēz Group or (ii) the date the Employee is age 65 or older with at least five (5) or more years of active continuous employment with the Mondelēz Group.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in this Agreement will be held invalid or unenforceable, such provision will be severable from, and such invalidity or unenforceability will not be construed to have any effect on, the remaining provisions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25.    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pStyle w:val="TextBody"/>
        <w:bidi w:val="0"/>
        <w:spacing w:before="0" w:after="0"/>
        <w:jc w:val="righ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357505"/>
                <wp:effectExtent l="0" t="0" r="0" b="0"/>
                <wp:wrapNone/>
                <wp:docPr id="449" name="Frame33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26.    </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Employee may be subject to insider trading and/or market abuse laws, which may affect the Employee’s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27.    </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In addition, the Employee agrees to take any and all actions required by the Company, any other entity in the Mondelēz Group or the local laws, rules and regulations in the Employee’s country of residence (and country of employment, if different) that may be required to comply with such laws, rules and regulations. The Employee acknowledges that it is the Employee’s responsibility to be compliant with such regulations, and the Employee should consult his or her personal legal advisor for any details.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28.    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29.    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30.    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xml:space="preserve">.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357505"/>
                <wp:effectExtent l="0" t="0" r="0" b="0"/>
                <wp:wrapNone/>
                <wp:docPr id="450" name="Frame33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extent permitted by applicable law, the Award Statement, the Plan and this Agreement shall be deemed amended to the extent necessary to conform to such laws, rules and regulations.</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357505"/>
                <wp:effectExtent l="0" t="0" r="0" b="0"/>
                <wp:wrapNone/>
                <wp:docPr id="451" name="Frame33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before="0" w:after="240"/>
        <w:ind w:left="0" w:right="0" w:firstLine="720"/>
        <w:jc w:val="left"/>
        <w:rPr/>
      </w:pPr>
      <w:r>
        <w:rPr/>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 Laura Stein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Laura Stein </w:t>
        <w:br/>
        <w:t xml:space="preserve">Executive Vice President,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 Corporate Secretary</w:t>
      </w:r>
    </w:p>
    <w:p>
      <w:pPr>
        <w:pStyle w:val="TextBody"/>
        <w:bidi w:val="0"/>
        <w:spacing w:before="0" w:after="24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357505"/>
                <wp:effectExtent l="0" t="0" r="0" b="0"/>
                <wp:wrapNone/>
                <wp:docPr id="452" name="Frame33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PERFORMANCE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uto" w:line="288" w:before="0" w:after="240"/>
        <w:jc w:val="left"/>
        <w:rPr/>
      </w:pPr>
      <w:r>
        <w:rPr>
          <w:rFonts w:ascii="Times New Roman;sans-serif" w:hAnsi="Times New Roman;sans-serif"/>
          <w:b w:val="false"/>
          <w:color w:val="000000"/>
          <w:sz w:val="22"/>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2024.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pStyle w:val="TextBody"/>
        <w:bidi w:val="0"/>
        <w:spacing w:lineRule="auto" w:line="288" w:before="0" w:after="0"/>
        <w:jc w:val="left"/>
        <w:rPr>
          <w:rFonts w:ascii="Times New Roman;sans-serif" w:hAnsi="Times New Roman;sans-serif"/>
          <w:b/>
          <w:color w:val="000000"/>
          <w:sz w:val="22"/>
          <w:u w:val="single"/>
          <w:shd w:fill="FFFFFF" w:val="clear"/>
        </w:rPr>
      </w:pPr>
      <w:r>
        <w:rPr>
          <w:rFonts w:ascii="Times New Roman;sans-serif" w:hAnsi="Times New Roman;sans-serif"/>
          <w:b/>
          <w:color w:val="000000"/>
          <w:sz w:val="22"/>
          <w:u w:val="single"/>
          <w:shd w:fill="FFFFFF" w:val="clear"/>
        </w:rPr>
        <w:t xml:space="preserve">EUROPEAN UNION / EUROPEAN ECONOMIC AREA, SWITZERLAND AND THE UNITED KINGDOM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lineRule="auto" w:line="288"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 processing of the Employee's Personal Data (as defined below) in connection with the Agreement and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357505"/>
                <wp:effectExtent l="0" t="0" r="0" b="0"/>
                <wp:wrapNone/>
                <wp:docPr id="453" name="Frame33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 </w:t>
      </w:r>
    </w:p>
    <w:p>
      <w:pPr>
        <w:pStyle w:val="TextBody"/>
        <w:bidi w:val="0"/>
        <w:spacing w:lineRule="auto" w:line="288" w:before="0" w:after="240"/>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Morgan Stanley Smith Barney, LLC (“Morgan Stanley”), an independent service provider based in the United States which assists the Company with the implementation, administration and management of the Plan. Morgan Stanley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Morgan Stanley, PricewaterhouseCoopers LLP or KPMG LLP with such agreement being a condition to the Employee’s ability to participate in the Plan.</w:t>
      </w:r>
    </w:p>
    <w:p>
      <w:pPr>
        <w:pStyle w:val="TextBody"/>
        <w:bidi w:val="0"/>
        <w:spacing w:lineRule="auto" w:line="288" w:before="0" w:after="240"/>
        <w:jc w:val="left"/>
        <w:rPr/>
      </w:pPr>
      <w:r>
        <w:rPr>
          <w:rFonts w:ascii="Times New Roman;sans-serif" w:hAnsi="Times New Roman;sans-serif"/>
          <w:b w:val="false"/>
          <w:color w:val="000000"/>
          <w:sz w:val="22"/>
        </w:rPr>
        <w:t xml:space="preserve">The Employee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bidi w:val="0"/>
        <w:spacing w:before="0" w:after="0"/>
        <w:jc w:val="righ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357505"/>
                <wp:effectExtent l="0" t="0" r="0" b="0"/>
                <wp:wrapNone/>
                <wp:docPr id="454" name="Frame33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Times New Roman;sans-serif" w:hAnsi="Times New Roman;sans-serif"/>
          <w:b w:val="false"/>
          <w:color w:val="0000FF"/>
          <w:sz w:val="22"/>
          <w:u w:val="single"/>
        </w:rPr>
        <w:t>DataProtectionOfficeMEU@mdlz.com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ALGERIA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9 of the Agreement will not apply to Argentinian Employees.</w:t>
      </w:r>
    </w:p>
    <w:p>
      <w:pPr>
        <w:pStyle w:val="TextBody"/>
        <w:bidi w:val="0"/>
        <w:spacing w:lineRule="auto" w:line="288" w:before="0" w:after="240"/>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Employee acknowledges and agrees that such benefits shall not accrue more frequently than on each vesting date.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Neither the Units nor the underlying shares of Common Stock are publicly offered or listed on any stock exchange in Argentina and, as a result, have not been and will not be </w:t>
      </w:r>
    </w:p>
    <w:p>
      <w:pPr>
        <w:pStyle w:val="TextBody"/>
        <w:bidi w:val="0"/>
        <w:spacing w:before="0" w:after="0"/>
        <w:jc w:val="righ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357505"/>
                <wp:effectExtent l="0" t="0" r="0" b="0"/>
                <wp:wrapNone/>
                <wp:docPr id="455" name="Frame33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Neither this Agreement nor any other offering material related to the Units nor the underlying shares of Common Stock may be utilized in connection with any general offering to the public in Argentina.</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the exchange control rules that may apply in 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shd w:fill="FFFFFF" w:val="clear"/>
        </w:rPr>
        <w:t xml:space="preserve">Securities Law Disclosure. </w:t>
      </w:r>
      <w:r>
        <w:rPr>
          <w:rFonts w:ascii="Times New Roman;sans-serif" w:hAnsi="Times New Roman;sans-serif"/>
          <w:b w:val="false"/>
          <w:color w:val="000000"/>
          <w:sz w:val="22"/>
          <w:shd w:fill="FFFFFF" w:val="clear"/>
        </w:rPr>
        <w:t xml:space="preserve">This offer is being made under Division 1A, Part 7.12 of the Corporations Act 2001 (Cth). Please note that if the Employee offers </w:t>
      </w:r>
      <w:r>
        <w:rPr>
          <w:rFonts w:ascii="Times New Roman;sans-serif" w:hAnsi="Times New Roman;sans-serif"/>
          <w:b w:val="false"/>
          <w:color w:val="000000"/>
          <w:sz w:val="22"/>
        </w:rPr>
        <w:t>shares of Common Stock</w:t>
      </w:r>
      <w:r>
        <w:rPr>
          <w:color w:val="000000"/>
          <w:shd w:fill="FFFFFF" w:val="clear"/>
        </w:rPr>
        <w:t xml:space="preserve"> </w:t>
      </w:r>
      <w:r>
        <w:rPr>
          <w:rFonts w:ascii="Times New Roman;sans-serif" w:hAnsi="Times New Roman;sans-serif"/>
          <w:b w:val="false"/>
          <w:color w:val="000000"/>
          <w:sz w:val="22"/>
          <w:shd w:fill="FFFFFF" w:val="clear"/>
        </w:rPr>
        <w:t>for sale to a person or entity resident in Australia, the offer may be subject to disclosure requirements under Australian law. The Employee should obtain legal advice on the Employee’s disclosure obligations prior to making any such offer.</w:t>
      </w:r>
    </w:p>
    <w:p>
      <w:pPr>
        <w:pStyle w:val="TextBody"/>
        <w:bidi w:val="0"/>
        <w:spacing w:lineRule="auto" w:line="288" w:before="0" w:after="240"/>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Employee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Employee’s behalf, otherwise the Employee will be responsible for complying with any exchange control reporting requirements.</w:t>
      </w:r>
    </w:p>
    <w:p>
      <w:pPr>
        <w:pStyle w:val="TextBody"/>
        <w:bidi w:val="0"/>
        <w:spacing w:lineRule="auto" w:line="288" w:before="0" w:after="240"/>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Employee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Employee must report the </w:t>
      </w:r>
    </w:p>
    <w:p>
      <w:pPr>
        <w:pStyle w:val="TextBody"/>
        <w:bidi w:val="0"/>
        <w:spacing w:before="0" w:after="0"/>
        <w:jc w:val="righ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357505"/>
                <wp:effectExtent l="0" t="0" r="0" b="0"/>
                <wp:wrapNone/>
                <wp:docPr id="456" name="Frame33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88" w:before="0" w:after="240"/>
        <w:jc w:val="left"/>
        <w:rPr/>
      </w:pPr>
      <w:r>
        <w:rPr>
          <w:rFonts w:ascii="Times New Roman;sans-serif" w:hAnsi="Times New Roman;sans-serif"/>
          <w:b w:val="false"/>
          <w:color w:val="000000"/>
          <w:sz w:val="22"/>
        </w:rPr>
        <w:t>If the Employee sells shares of Common Stock, or receives any cash dividends, the Employee may have exchange control obligations if the Employee holds the cash proceeds outside Austria. If the transaction volume of all the Employee’s accounts abroad meets or exceeds a certain threshold, the Employee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Nasdaq Global Select Market).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BANGLADESH</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Bangladesh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securities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w:t>
      </w:r>
    </w:p>
    <w:p>
      <w:pPr>
        <w:pStyle w:val="TextBody"/>
        <w:bidi w:val="0"/>
        <w:spacing w:before="0" w:after="0"/>
        <w:jc w:val="righ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357505"/>
                <wp:effectExtent l="0" t="0" r="0" b="0"/>
                <wp:wrapNone/>
                <wp:docPr id="457" name="Frame34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19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 </w:t>
      </w:r>
    </w:p>
    <w:p>
      <w:pPr>
        <w:pStyle w:val="TextBody"/>
        <w:bidi w:val="0"/>
        <w:spacing w:lineRule="auto" w:line="288" w:before="0" w:after="240"/>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A stock exchange tax applies to transactions executed by Belgian residents through a non-Belgian financial intermediary, such as a U.S. broker. The stock exchange tax will apply when shares of Common Stock acquired upon vesting of the Deferred Stock Units are sold.</w:t>
      </w:r>
    </w:p>
    <w:p>
      <w:pPr>
        <w:pStyle w:val="TextBody"/>
        <w:bidi w:val="0"/>
        <w:spacing w:lineRule="auto" w:line="288" w:before="0" w:after="240"/>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Deferred Stock Units, the Employee acknowledges that he or she agrees to comply with applicable Brazilian laws and pay any and all applicable Tax-Related Items associated with the vesting of the Deferred Stock Units, the receipt of any dividends and the sale of shares of Common Stock acquired under the Plan. </w:t>
      </w:r>
    </w:p>
    <w:p>
      <w:pPr>
        <w:pStyle w:val="TextBody"/>
        <w:bidi w:val="0"/>
        <w:spacing w:lineRule="auto" w:line="288" w:before="0" w:after="240"/>
        <w:jc w:val="left"/>
        <w:rPr/>
      </w:pPr>
      <w:r>
        <w:rPr>
          <w:rFonts w:ascii="Times New Roman;sans-serif" w:hAnsi="Times New Roman;sans-serif"/>
          <w:b/>
          <w:color w:val="000000"/>
          <w:sz w:val="22"/>
        </w:rPr>
        <w:t>Labor Law Acknowledgment</w:t>
      </w:r>
      <w:r>
        <w:rPr>
          <w:rFonts w:ascii="Times New Roman;sans-serif" w:hAnsi="Times New Roman;sans-serif"/>
          <w:b w:val="false"/>
          <w:color w:val="000000"/>
          <w:sz w:val="22"/>
        </w:rPr>
        <w:t>. By accepting the Deferred Stock Units, the Employee understands, acknowledges and agrees that, for all legal purposes (i) the Employee is making an investment decision and (ii) the value of the underlying shares of Common Stock are not fixed and may increase or decrease in value over the vesting period without compensation to the Employee.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88" w:before="0" w:after="240"/>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357505"/>
                <wp:effectExtent l="0" t="0" r="0" b="0"/>
                <wp:wrapNone/>
                <wp:docPr id="458" name="Frame34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BGN50,000 as of the previous calendar year end. The reports are due by March 31.</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contact his or her bank in Bulgaria for additional information regarding these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Deferred Stock Units granted to employees resident in Canada shall be paid in shares of Common Stock only.</w:t>
      </w:r>
    </w:p>
    <w:p>
      <w:pPr>
        <w:pStyle w:val="TextBody"/>
        <w:bidi w:val="0"/>
        <w:spacing w:lineRule="auto" w:line="288" w:before="0" w:after="240"/>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2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or (2) the date the Employee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The Employee will not earn or be entitled to pro-rated vesting for that portion of time before the date on which the Employee’s right to vest terminates or if the vesting date falls after the end of the Employee’s statutory notice period, nor will the Employee be entitled to any compensation for lost vesting.</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Employees resident in Quebec:</w:t>
      </w:r>
    </w:p>
    <w:p>
      <w:pPr>
        <w:pStyle w:val="TextBody"/>
        <w:bidi w:val="0"/>
        <w:spacing w:lineRule="auto" w:line="288" w:before="0" w:after="240"/>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The following provision supplements paragraph 14 of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acknowledges and agrees that the Employee’s personal information, including sensitive personal information, may be transferred or disclosed outside of the Province of Quebec, including to the United States. The Employee further authorizes the Mondelēz Group to record such information and to keep such information in his or her employee file. The Employee also acknowledges and authorizes the Company and any subsidiary or affiliate or other parties involved in the administration of the Plan to use technology for profiling purposes </w:t>
      </w:r>
    </w:p>
    <w:p>
      <w:pPr>
        <w:pStyle w:val="TextBody"/>
        <w:bidi w:val="0"/>
        <w:spacing w:before="0" w:after="0"/>
        <w:jc w:val="righ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357505"/>
                <wp:effectExtent l="0" t="0" r="0" b="0"/>
                <wp:wrapNone/>
                <wp:docPr id="459" name="Frame34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and to make automated decisions that may have an impact on the Employee or the administration of the Plan.</w:t>
      </w:r>
    </w:p>
    <w:p>
      <w:pPr>
        <w:pStyle w:val="TextBody"/>
        <w:bidi w:val="0"/>
        <w:spacing w:lineRule="auto" w:line="288" w:before="0" w:after="240"/>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 French translation of the Plan and the Agreement can be made available to the Employee as soon as reasonably practicable upon the Employee’s request. The Employee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bidi w:val="0"/>
        <w:spacing w:lineRule="auto" w:line="288" w:before="0" w:after="240"/>
        <w:jc w:val="left"/>
        <w:rPr/>
      </w:pPr>
      <w:r>
        <w:rPr>
          <w:rFonts w:ascii="Times New Roman;sans-serif" w:hAnsi="Times New Roman;sans-serif"/>
          <w:b w:val="false"/>
          <w:i/>
          <w:color w:val="000000"/>
          <w:sz w:val="22"/>
        </w:rPr>
        <w:t>Une traduction française du Plan et du présent Contrat pourra êtremise à la disposition de Employé(e) dès que raisonnablement possible à la demande de l'Employé. Le</w:t>
      </w:r>
      <w:r>
        <w:rPr>
          <w:color w:val="000000"/>
        </w:rPr>
        <w:t xml:space="preserve"> </w:t>
      </w:r>
      <w:r>
        <w:rPr>
          <w:rFonts w:ascii="Times New Roman;sans-serif" w:hAnsi="Times New Roman;sans-serif"/>
          <w:b w:val="false"/>
          <w:i/>
          <w:color w:val="000000"/>
          <w:sz w:val="22"/>
        </w:rPr>
        <w:t>Employé(e)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Employee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specified foreign property annually on Form T1135 (Foreign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 xml:space="preserve">” </w:t>
      </w:r>
      <w:r>
        <w:rPr>
          <w:rFonts w:ascii="Times New Roman;sans-serif" w:hAnsi="Times New Roman;sans-serif"/>
          <w:b w:val="false"/>
          <w:color w:val="000000"/>
          <w:sz w:val="22"/>
        </w:rPr>
        <w:t>)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288" w:before="10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offer of Deferred Stock Units constitutes a private offering of securities in Chile effective as of the Grant Date. The offer of Deferred Stock Units is made subject to general ruling N° 336 of the Chilean Commission for the Financial Market (“</w:t>
      </w:r>
      <w:r>
        <w:rPr>
          <w:rFonts w:ascii="Times New Roman;sans-serif" w:hAnsi="Times New Roman;sans-serif"/>
          <w:b w:val="false"/>
          <w:color w:val="000000"/>
          <w:sz w:val="22"/>
          <w:u w:val="single"/>
        </w:rPr>
        <w:t>CMF</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CMF, and, therefore, such securities are not subject to oversight of the CMF.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CMF, a public offering of such securities cannot be made in Chile.</w:t>
      </w:r>
    </w:p>
    <w:p>
      <w:pPr>
        <w:pStyle w:val="TextBody"/>
        <w:bidi w:val="0"/>
        <w:spacing w:before="0" w:after="0"/>
        <w:jc w:val="righ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357505"/>
                <wp:effectExtent l="0" t="0" r="0" b="0"/>
                <wp:wrapNone/>
                <wp:docPr id="460" name="Frame34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i/>
          <w:color w:val="000000"/>
          <w:sz w:val="22"/>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sans-serif" w:hAnsi="Times New Roman;sans-serif"/>
          <w:b w:val="false"/>
          <w:i/>
          <w:color w:val="000000"/>
          <w:sz w:val="22"/>
          <w:u w:val="single"/>
        </w:rPr>
        <w:t>CMF</w:t>
      </w:r>
      <w:r>
        <w:rPr>
          <w:color w:val="000000"/>
        </w:rPr>
        <w:t>”</w:t>
      </w:r>
      <w:r>
        <w:rPr>
          <w:rFonts w:ascii="Times New Roman;sans-serif" w:hAnsi="Times New Roman;sans-serif"/>
          <w:b w:val="false"/>
          <w:i/>
          <w:color w:val="000000"/>
          <w:sz w:val="22"/>
        </w:rPr>
        <w:t xml:space="preserve">).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 </w:t>
      </w:r>
    </w:p>
    <w:p>
      <w:pPr>
        <w:pStyle w:val="TextBody"/>
        <w:bidi w:val="0"/>
        <w:spacing w:lineRule="auto" w:line="288" w:before="10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not required to repatriate any funds he or she receives with respect to the Deferred Stock Units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Employee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Employee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Employee must report the investments annually to the Central Bank using Annex 3.1 of Chapter XII of the Foreign Exchange Regulations.</w:t>
      </w:r>
    </w:p>
    <w:p>
      <w:pPr>
        <w:pStyle w:val="TextBody"/>
        <w:bidi w:val="0"/>
        <w:spacing w:lineRule="auto" w:line="288" w:before="100" w:after="240"/>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Employee should consult with his or her personal legal advisor regarding any exchange control obligations that may apply in connection with the Deferred Stock Units.</w:t>
      </w:r>
    </w:p>
    <w:p>
      <w:pPr>
        <w:pStyle w:val="TextBody"/>
        <w:bidi w:val="0"/>
        <w:spacing w:lineRule="auto" w:line="288" w:before="100" w:after="240"/>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Employee holds shares of Common Stock acquired under the Plan outside Chile, the Employee will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July 1 each year, which should be submitted electronically through the CIRS website: </w:t>
      </w:r>
      <w:r>
        <w:rPr>
          <w:rFonts w:ascii="Times New Roman;sans-serif" w:hAnsi="Times New Roman;sans-serif"/>
          <w:b w:val="false"/>
          <w:color w:val="0000FF"/>
          <w:sz w:val="22"/>
          <w:shd w:fill="FFFFFF" w:val="clear"/>
        </w:rPr>
        <w:t>www.sii.cl.</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pStyle w:val="TextBody"/>
        <w:bidi w:val="0"/>
        <w:spacing w:lineRule="auto" w:line="288" w:before="0" w:after="240"/>
        <w:jc w:val="left"/>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 xml:space="preserve">Due to legal restrictions in China, upon the vesting of Deferred Stock Units,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w:t>
      </w:r>
    </w:p>
    <w:p>
      <w:pPr>
        <w:pStyle w:val="TextBody"/>
        <w:bidi w:val="0"/>
        <w:spacing w:before="0" w:after="0"/>
        <w:jc w:val="righ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357505"/>
                <wp:effectExtent l="0" t="0" r="0" b="0"/>
                <wp:wrapNone/>
                <wp:docPr id="461" name="Frame34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Employee is not required to sell shares of Common Stock immediately upon vesting, any shares of Common Stock issued to the Employee must be maintained in an account with Morgan Stanley Smith Barney, LLC (“Morgan Stanley”)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pStyle w:val="TextBody"/>
        <w:bidi w:val="0"/>
        <w:spacing w:lineRule="auto" w:line="288" w:before="0" w:after="240"/>
        <w:jc w:val="left"/>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Employee understands and agrees that, due to exchange control laws in China, he or she will be 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w:t>
      </w:r>
    </w:p>
    <w:p>
      <w:pPr>
        <w:pStyle w:val="TextBody"/>
        <w:bidi w:val="0"/>
        <w:spacing w:before="0" w:after="0"/>
        <w:jc w:val="righ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357505"/>
                <wp:effectExtent l="0" t="0" r="0" b="0"/>
                <wp:wrapNone/>
                <wp:docPr id="462" name="Frame34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immediately upon vesting of the Deferred Stock Units (as explained above) or upon termination of the Employee’s service with the Mondelēz Group.</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Employee must describe each asset and indicate the jurisdiction in which it is located, its nature and its value.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jc w:val="righ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357505"/>
                <wp:effectExtent l="0" t="0" r="0" b="0"/>
                <wp:wrapNone/>
                <wp:docPr id="463" name="Frame34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Employee's responsibility to comply with Croatian exchange control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Deferred Stock Units and the opening and maintenance of a foreign account, including reporting (i) foreign direct investments with a value of CZK 2,500,000 or more in the aggregate or (ii) foreign financial assets with a value of CZK 200,000,000 or more. The Employee should consult their personal legal advisor to ensure compliance with the applicable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bidi w:val="0"/>
        <w:spacing w:lineRule="auto" w:line="288" w:before="0" w:after="240"/>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Employee acknowledges that he or she has received an Employer Statement in Danish, which sets forth the additional terms of the Deferred Stock Units to the extent that the Danish Stock Option Act applies.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report any accounts holding shares of Common Stock or cash established outside Denmark to the Danish Tax Administration as part of his or her tax return under the section related to foreign affairs and income.</w:t>
      </w:r>
      <w:r>
        <w:rPr>
          <w:color w:val="000000"/>
          <w:shd w:fill="FFFFFF" w:val="clear"/>
        </w:rPr>
        <w:t xml:space="preserve"> </w:t>
      </w:r>
      <w:r>
        <w:rPr>
          <w:rFonts w:ascii="Times New Roman;sans-serif" w:hAnsi="Times New Roman;sans-serif"/>
          <w:b w:val="false"/>
          <w:color w:val="000000"/>
          <w:sz w:val="22"/>
        </w:rPr>
        <w:t xml:space="preserve">The form which should be used in this respect can be obtained from a local bank.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sans-serif" w:hAnsi="Times New Roman;sans-serif"/>
          <w:b w:val="false"/>
          <w:color w:val="0000FF"/>
          <w:sz w:val="22"/>
          <w:u w:val="single"/>
        </w:rPr>
        <w:t>www.sri.gob.ec</w:t>
      </w:r>
      <w:r>
        <w:rPr>
          <w:rFonts w:ascii="Times New Roman;sans-serif" w:hAnsi="Times New Roman;sans-serif"/>
          <w:b w:val="false"/>
          <w:color w:val="000000"/>
          <w:sz w:val="22"/>
        </w:rPr>
        <w:t xml:space="preserve">). Penalties will apply to a late filing and it is not possible to seek an extension. </w:t>
      </w:r>
    </w:p>
    <w:p>
      <w:pPr>
        <w:pStyle w:val="TextBody"/>
        <w:bidi w:val="0"/>
        <w:spacing w:before="0" w:after="0"/>
        <w:jc w:val="righ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357505"/>
                <wp:effectExtent l="0" t="0" r="0" b="0"/>
                <wp:wrapNone/>
                <wp:docPr id="464" name="Frame34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Employee transfers funds into Egypt in connection with the Deferred Stock Units, the Employee is required to transfer the funds through a registered bank in Egypt.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ESWATINI</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Eswatini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Not French-Qualified.</w:t>
      </w:r>
      <w:r>
        <w:rPr>
          <w:color w:val="000000"/>
        </w:rPr>
        <w:t xml:space="preserve"> </w:t>
      </w:r>
      <w:r>
        <w:rPr>
          <w:rFonts w:ascii="Times New Roman;sans-serif" w:hAnsi="Times New Roman;sans-serif"/>
          <w:b w:val="false"/>
          <w:color w:val="000000"/>
          <w:sz w:val="22"/>
        </w:rPr>
        <w:t>The Deferred Stock Units granted under this Agreement are not intended to qualify for specific tax and social security treatment pursuant to Sections L. 225-197-1 to L. 225-197-6 of the French Commercial Code, as amended.</w:t>
      </w:r>
    </w:p>
    <w:p>
      <w:pPr>
        <w:pStyle w:val="TextBody"/>
        <w:bidi w:val="0"/>
        <w:spacing w:lineRule="auto" w:line="288" w:before="0" w:after="240"/>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Employee confirms having read and understood the Plan and Agreement, including all terms and conditions included therein, which were provided in the English language. The Employee accepts the terms of those documents accordingly.</w:t>
      </w:r>
    </w:p>
    <w:p>
      <w:pPr>
        <w:pStyle w:val="TextBody"/>
        <w:bidi w:val="0"/>
        <w:spacing w:lineRule="auto" w:line="288" w:before="0" w:after="240"/>
        <w:jc w:val="left"/>
        <w:rPr/>
      </w:pPr>
      <w:r>
        <w:rPr>
          <w:rFonts w:ascii="Times New Roman;sans-serif" w:hAnsi="Times New Roman;sans-serif"/>
          <w:b w:val="false"/>
          <w:i/>
          <w:color w:val="000000"/>
          <w:sz w:val="22"/>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sans-serif" w:hAnsi="Times New Roman;sans-serif"/>
          <w:b w:val="false"/>
          <w:color w:val="000000"/>
          <w:sz w:val="22"/>
        </w:rPr>
        <w: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357505"/>
                <wp:effectExtent l="0" t="0" r="0" b="0"/>
                <wp:wrapNone/>
                <wp:docPr id="465" name="Frame34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Employee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GEORGIA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  By accepting the Grant, the Employee acknowledges that he or she is proficient in reading and understanding English and fully understands the terms of the documents related to the grant (the Agreement and the Plan), which were provided in the English language.  The Employee accepts the terms of those documents accordingly.</w:t>
      </w:r>
    </w:p>
    <w:p>
      <w:pPr>
        <w:pStyle w:val="TextBody"/>
        <w:bidi w:val="0"/>
        <w:spacing w:lineRule="auto" w:line="288" w:before="0" w:after="240"/>
        <w:jc w:val="left"/>
        <w:rPr/>
      </w:pPr>
      <w:r>
        <w:rPr>
          <w:rFonts w:ascii="Times New Roman;sans-serif" w:hAnsi="Times New Roman;sans-serif"/>
          <w:b/>
          <w:i/>
          <w:color w:val="000000"/>
          <w:sz w:val="24"/>
        </w:rPr>
        <w:t>თანხმობა ენასთან დაკავშირებით</w:t>
      </w:r>
      <w:r>
        <w:rPr>
          <w:rFonts w:ascii="Times New Roman;sans-serif" w:hAnsi="Times New Roman;sans-serif"/>
          <w:b w:val="false"/>
          <w:i/>
          <w:color w:val="000000"/>
          <w:sz w:val="24"/>
        </w:rPr>
        <w:t>.   </w:t>
      </w:r>
      <w:r>
        <w:rPr>
          <w:rFonts w:ascii="Calibri;sans-serif" w:hAnsi="Calibri;sans-serif"/>
          <w:b w:val="false"/>
          <w:i/>
          <w:color w:val="000000"/>
          <w:sz w:val="24"/>
        </w:rPr>
        <w:t>გრანტის მიღებით, თანამშრომელი ადასტურებს, რომ ფლობს ინგლისური ენის კითხვასა და გაგებას და სრულად ესმის გრანტთან დაკავშირებული დოკუმენტების პირობები (ხელშეკრულება და გეგმა), რომლებიც მოწოდებული იყო ინგლისურ ენაზე. თანამშრომელი შესაბამისად იღებს ამ დოკუმენტების პირობებს.</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Cross-border payments in connection with the purchase or sale of securities in excess of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If the Employee receives a payment in excess of this amount (including if the Employee acquires shares of Common Stock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Employee must report the payment and/or the value of the shares of Common Stock withheld or sold to Bundesbank. Such reports must be filed either electronically using the “General Statistics Reporting Portal” (Allgemeine Meldeportal Statistik) available via the Bundesbank’s website (www.bundesbank.de) or by such other method as is permitted or required by Bundesbank. The report must be submitted monthly or within such timing as is permitted or required by Bundesbank.</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€150,000, or (ii) the Employee holds Common Stock exceeding 10% of the total capital of the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before="0" w:after="0"/>
        <w:jc w:val="righ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357505"/>
                <wp:effectExtent l="0" t="0" r="0" b="0"/>
                <wp:wrapNone/>
                <wp:docPr id="466" name="Frame34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Section 7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Employee sell all shares of Common Stock delivered to the Employee, either immediately upon receipt of such shares or upon the Employee’s termination of employment from the Mondelēz Group. In this regard, the Employee agrees that the Company is authorized to instruct its designated broker to assist with any such mandatory sale of shares of Common Stock (on the Employee’s behalf pursuant to this authorization), and the Employee expressly authorizes the designated broker to complete the sale of such shares. The Employee also agrees to sign any agreements, forms and/or consents that may be reasonably requested by the Company (or the designated broker) to effectuate the sale of the shares of Common Stock and shall otherwise cooperate with the Company with respect to such matters, provided that the Employee shall not be permitted to exercise any influence over how, when or whether the sales occur. The Employee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Employee and (if later) the date on which the shares of Common Stock are sold, the amount of proceeds ultimately distributed to the v may be more or less than the market value of the shares of Common Stock on the relevant vesting date or the date on which such shares are delivered to the Employee. Upon the sale of the shares of Common Stock, the cash proceeds from the sale of shares (less any applicable Tax-Related Items) will be delivered to the Employee in accordance with applicable laws and regulations, as determined by the Company in its sole discretion.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w:t>
      </w:r>
      <w:r>
        <w:rPr>
          <w:color w:val="000000"/>
        </w:rPr>
        <w:t xml:space="preserve"> </w:t>
      </w:r>
      <w:r>
        <w:rPr>
          <w:rFonts w:ascii="Times New Roman;sans-serif" w:hAnsi="Times New Roman;sans-serif"/>
          <w:b w:val="false"/>
          <w:color w:val="000000"/>
          <w:sz w:val="22"/>
        </w:rPr>
        <w:t>The Employee is personally responsible for complying with exchange control laws in India, and neither the Company nor the Employer will be liable for any fines or penalties resulting from the Employee’s failure to comply with applicable laws. The Employee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Employee should consult his or her personal tax or legal advisor before selling shares of Common Stock to ensure compliance with current regulations.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 Employee is required to declare foreign bank accounts and any foreign financial assets (including shares of Common Stock held outside India) in his or </w:t>
      </w:r>
    </w:p>
    <w:p>
      <w:pPr>
        <w:pStyle w:val="TextBody"/>
        <w:bidi w:val="0"/>
        <w:spacing w:before="0" w:after="0"/>
        <w:jc w:val="righ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357505"/>
                <wp:effectExtent l="0" t="0" r="0" b="0"/>
                <wp:wrapNone/>
                <wp:docPr id="467" name="Frame35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29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her annual tax return. It is the Employee’s responsibility to comply with this reporting obligation and the Employee should consult with his or her personal tax advisor in this regard.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A translation of the documents relating to this Grant into Bahasa Indonesia can be provided to the Employee upon request to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at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By accepting the Grant, the Employee (i) confirms having read and understood the documents relating to this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left"/>
        <w:rPr/>
      </w:pPr>
      <w:r>
        <w:rPr>
          <w:rFonts w:ascii="Times New Roman;sans-serif" w:hAnsi="Times New Roman;sans-serif"/>
          <w:b/>
          <w:i/>
          <w:color w:val="000000"/>
          <w:sz w:val="22"/>
        </w:rPr>
        <w:t>Language Consent and Notification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Terjemahan dari dokumen-dokumen terkait dengan pemberian ini ke Bahasa Indonesia dapat disediakan untuk anda berdasarkan permintaan kepada </w:t>
      </w:r>
      <w:r>
        <w:rPr>
          <w:rFonts w:ascii="Times New Roman;sans-serif" w:hAnsi="Times New Roman;sans-serif"/>
          <w:b w:val="false"/>
          <w:color w:val="000000"/>
          <w:sz w:val="22"/>
          <w:shd w:fill="FFFFFF" w:val="clear"/>
        </w:rPr>
        <w:t>Astrid Januarita, My Rewards Advisor ID,</w:t>
      </w:r>
      <w:r>
        <w:rPr>
          <w:color w:val="000000"/>
          <w:shd w:fill="FFFFFF" w:val="clear"/>
        </w:rPr>
        <w:t xml:space="preserve"> </w:t>
      </w:r>
      <w:r>
        <w:rPr>
          <w:rFonts w:ascii="Times New Roman;sans-serif" w:hAnsi="Times New Roman;sans-serif"/>
          <w:b w:val="false"/>
          <w:color w:val="000000"/>
          <w:sz w:val="22"/>
          <w:shd w:fill="FFFFFF" w:val="clear"/>
        </w:rPr>
        <w:t xml:space="preserve">di </w:t>
      </w:r>
      <w:r>
        <w:rPr>
          <w:rFonts w:ascii="Times New Roman;sans-serif" w:hAnsi="Times New Roman;sans-serif"/>
          <w:b w:val="false"/>
          <w:color w:val="0000FF"/>
          <w:sz w:val="22"/>
          <w:u w:val="single"/>
        </w:rPr>
        <w:t>astrid.januarita@mdlz.com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Employee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Employee is a director, shadow director or secretary of an Irish subsidiary or affiliate, the Employee must notify the Irish subsidiary or affiliate in writing if (1) the Employee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Deferred Stock Units, </w:t>
      </w:r>
    </w:p>
    <w:p>
      <w:pPr>
        <w:pStyle w:val="TextBody"/>
        <w:bidi w:val="0"/>
        <w:spacing w:before="0" w:after="0"/>
        <w:jc w:val="righ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357505"/>
                <wp:effectExtent l="0" t="0" r="0" b="0"/>
                <wp:wrapNone/>
                <wp:docPr id="468" name="Frame35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accepting the grant of Deferred Stock Units, the Employee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are beneficial owners of the investment pursuant to Italian money laundering provisions.</w:t>
      </w:r>
    </w:p>
    <w:p>
      <w:pPr>
        <w:pStyle w:val="TextBody"/>
        <w:bidi w:val="0"/>
        <w:spacing w:lineRule="auto" w:line="288" w:before="0" w:after="240"/>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w:t>
      </w:r>
      <w:r>
        <w:rPr>
          <w:color w:val="000000"/>
        </w:rPr>
        <w:t xml:space="preserve"> </w:t>
      </w:r>
      <w:r>
        <w:rPr>
          <w:rFonts w:ascii="Times New Roman;sans-serif" w:hAnsi="Times New Roman;sans-serif"/>
          <w:b w:val="false"/>
          <w:color w:val="000000"/>
          <w:sz w:val="22"/>
        </w:rPr>
        <w:t>is subject to a foreign assets tax. The 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Employee acquires shares of Common Stock valued at more than ¥100,000,000 in a single transaction, the Employee must file a Securities Acquisition Report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357505"/>
                <wp:effectExtent l="0" t="0" r="0" b="0"/>
                <wp:wrapNone/>
                <wp:docPr id="469" name="Frame35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Ministry of Finance through the Bank of Japan within 20 days of the purchase of the shares of Common Stock.</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vesting in the Deferred Stock Units or receiving proceeds from the sale of shares of Common Stock acquired under the Plan. The Employee is responsible for ensuring compliance with all exchange control laws in Kazakhstan.</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357505"/>
                <wp:effectExtent l="0" t="0" r="0" b="0"/>
                <wp:wrapNone/>
                <wp:docPr id="470" name="Frame35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0"/>
        <w:gridCol w:w="1733"/>
        <w:gridCol w:w="1736"/>
        <w:gridCol w:w="1395"/>
        <w:gridCol w:w="1395"/>
        <w:gridCol w:w="1976"/>
      </w:tblGrid>
      <w:tr>
        <w:trPr/>
        <w:tc>
          <w:tcPr>
            <w:tcW w:w="197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i/>
                <w:color w:val="000000"/>
                <w:sz w:val="22"/>
              </w:rPr>
              <w:t>The Employee explicitly and unambiguously consents to the collection, use and transfer, in electronic or other form, of the Employee’s personal data as described in this Agreement and any other Deferred Stock Unit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 </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pStyle w:val="TableContents"/>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Malaysia Sales Sdn Bhd, Lot 9.01 Level 9, 1 First Avenue, 2A, Dataran Bandar Utama, Bandar Utama Damasara, 47800 Petaling Jaya, Selangor, Malaysia. The Employee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his or her 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tc>
        <w:tc>
          <w:tcPr>
            <w:tcW w:w="4766"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Data tersebut akan dipindahkan ke Morgan Stanley Smith Barney, LLC (“Morgan Stanley”)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Malaysia Sales Sdn Bhd, Lot 9.01 Level 9, 1 First Avenue, 2A, Dataran Bandar Utama, Bandar Utama Damasara, 47800 Petaling Jaya, Selangor, Malaysia. </w:t>
            </w:r>
          </w:p>
          <w:p>
            <w:pPr>
              <w:pStyle w:val="TableContents"/>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Pekerjadengan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tc>
      </w:tr>
    </w:tbl>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righ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357505"/>
                <wp:effectExtent l="0" t="0" r="0" b="0"/>
                <wp:wrapNone/>
                <wp:docPr id="471" name="Frame35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Employee is a director of the Company’s Malaysian subsidiary or affiliate, the Employee is subject to certain notification requirements under the Malaysian Companies Act. Among these requirements is an obligation to notify the Malaysian subsidiary or affiliate in writing when the Employee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or shares of Common Stock) in the Company or any related company. Such notifications must be made within 14 days of receiving or disposing of any interest in the Company or any related company.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Deferred Stock Units, the Employee expressly recognizes that Mondelēz International, Inc., 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Mondelēz México, S. de R.L. de C.V., located at Av. 18 de Noviembre 1028, Camino a Manzanilla, Heroica Puebla de Zaragoza, Puebla, C.P. 72304. Based on the foregoing, the Employee expressly recognizes that the Plan and the benefits that he or she may derive from participating in the Plan do not establish any rights between the Employee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Employee’s employment.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pStyle w:val="TextBody"/>
        <w:bidi w:val="0"/>
        <w:spacing w:lineRule="auto" w:line="288" w:before="0" w:after="240"/>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Deferred Stock Units, the Employee acknowledges that he or she has received copies of the Plan, has reviewed the Plan and the Agreement in their entirety and fully understands and accepts all provisions of the Plan and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 xml:space="preserve">TÉRMINOS Y CONDICIONES </w:t>
      </w:r>
    </w:p>
    <w:p>
      <w:pPr>
        <w:pStyle w:val="TextBody"/>
        <w:bidi w:val="0"/>
        <w:spacing w:before="0" w:after="0"/>
        <w:jc w:val="righ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357505"/>
                <wp:effectExtent l="0" t="0" r="0" b="0"/>
                <wp:wrapNone/>
                <wp:docPr id="472" name="Frame35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aceptar el otorgamiento de las Acciones Diferidas, el Empleado expresamente reconoce 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Mondelēz México,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pStyle w:val="TextBody"/>
        <w:bidi w:val="0"/>
        <w:spacing w:lineRule="auto" w:line="288" w:before="0" w:after="240"/>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w:t>
      </w:r>
      <w:r>
        <w:rPr>
          <w:color w:val="000000"/>
        </w:rPr>
        <w:t xml:space="preserve"> </w:t>
      </w:r>
      <w:r>
        <w:rPr>
          <w:rFonts w:ascii="Times New Roman;sans-serif" w:hAnsi="Times New Roman;sans-serif"/>
          <w:b w:val="false"/>
          <w:color w:val="000000"/>
          <w:sz w:val="22"/>
        </w:rPr>
        <w:t>aceptar el otorgamiento de las Acciones Diferidas, el Empleado reconoce que ha recibido copias del Plan, que ha revisado el Plan y el Acuerdo en su totalidad y que entiende y acepta completamente todas las disposiciones contenidas en el Plan y en el Acuerdo.</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The Deferred Stock Units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w:t>
      </w:r>
    </w:p>
    <w:p>
      <w:pPr>
        <w:pStyle w:val="TextBody"/>
        <w:bidi w:val="0"/>
        <w:spacing w:before="0" w:after="0"/>
        <w:jc w:val="righ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357505"/>
                <wp:effectExtent l="0" t="0" r="0" b="0"/>
                <wp:wrapNone/>
                <wp:docPr id="473" name="Frame35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Employee is being offered Deferred Stock Units which allows the Employee to acquire shares of Common Stock in accordance with the terms of the Plan and the Agreement. The shares of Common Stock, if issued, give the Employee a stake in the ownership of the Company. The Employee may receive a return if dividends are paid.</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Employee will be paid only after all creditors and holders of preferred shares have been paid. The Employee may lose some or all of his or her investment.</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usual rules do not apply to this offer because it is made under an employee share purchase scheme. As a result, the Employee may not be given all the information usually required. The Employee will also have fewer other legal protections for this investment.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Employee understands that he or she should ask questions, read all documents carefully, and seek independent financial advice before participating in the Plan.</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w:t>
      </w:r>
    </w:p>
    <w:p>
      <w:pPr>
        <w:pStyle w:val="TextBody"/>
        <w:bidi w:val="0"/>
        <w:spacing w:before="0" w:after="0"/>
        <w:jc w:val="righ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357505"/>
                <wp:effectExtent l="0" t="0" r="0" b="0"/>
                <wp:wrapNone/>
                <wp:docPr id="474" name="Frame35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i/>
          <w:color w:val="000000"/>
          <w:sz w:val="22"/>
        </w:rPr>
        <w:t xml:space="preserve">Exchange Commission and are available online at </w:t>
      </w:r>
      <w:r>
        <w:rPr>
          <w:rFonts w:ascii="Times New Roman;sans-serif" w:hAnsi="Times New Roman;sans-serif"/>
          <w:b w:val="false"/>
          <w:i/>
          <w:color w:val="0000FF"/>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FF"/>
          <w:sz w:val="22"/>
          <w:u w:val="single"/>
        </w:rPr>
        <w:t>http://ir.mondelezinternational.com/sec.cfm</w:t>
      </w:r>
      <w:r>
        <w:rPr>
          <w:rFonts w:ascii="Times New Roman;sans-serif" w:hAnsi="Times New Roman;sans-serif"/>
          <w:b w:val="false"/>
          <w:color w:val="000000"/>
          <w:sz w:val="22"/>
        </w:rPr>
        <w:t xml:space="preserve">.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(e.g., shares of Common Stock) not pre-completed in the tax return, the Norwegian resident must enter this information in Form RF-1159, which is an appendix to the tax return.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w:t>
      </w:r>
      <w:r>
        <w:rPr>
          <w:color w:val="000000"/>
        </w:rPr>
        <w:t xml:space="preserve"> </w:t>
      </w:r>
      <w:r>
        <w:rPr>
          <w:rFonts w:ascii="Times New Roman;sans-serif" w:hAnsi="Times New Roman;sans-serif"/>
          <w:b w:val="false"/>
          <w:color w:val="000000"/>
          <w:sz w:val="22"/>
        </w:rPr>
        <w:t>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required immediately to repatriate to Pakistan the proceeds from the sale of any Common 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xml:space="preserve">)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w:t>
      </w:r>
    </w:p>
    <w:p>
      <w:pPr>
        <w:pStyle w:val="TextBody"/>
        <w:bidi w:val="0"/>
        <w:spacing w:before="0" w:after="0"/>
        <w:jc w:val="righ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357505"/>
                <wp:effectExtent l="0" t="0" r="0" b="0"/>
                <wp:wrapNone/>
                <wp:docPr id="475" name="Frame35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frequent change. The Employee is responsible for ensuring compliance with all exchange control laws in Pakistan.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13 of the Agreement:</w:t>
      </w:r>
    </w:p>
    <w:p>
      <w:pPr>
        <w:pStyle w:val="TextBody"/>
        <w:bidi w:val="0"/>
        <w:spacing w:lineRule="auto" w:line="288" w:before="0" w:after="240"/>
        <w:jc w:val="left"/>
        <w:rPr/>
      </w:pPr>
      <w:r>
        <w:rPr>
          <w:rFonts w:ascii="Times New Roman;sans-serif" w:hAnsi="Times New Roman;sans-serif"/>
          <w:b w:val="false"/>
          <w:color w:val="000000"/>
          <w:sz w:val="22"/>
        </w:rPr>
        <w:t xml:space="preserve">By accepting the Deferred Stock Units, the Employee acknowledges, understands and agrees that the Deferred Stock Units are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Employee.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Deferred Stock Units is considered a private offering in Peru; therefore, it is not subject to 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before="10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357505"/>
                <wp:effectExtent l="0" t="0" r="0" b="0"/>
                <wp:wrapNone/>
                <wp:docPr id="476" name="Frame35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100" w:after="240"/>
        <w:jc w:val="center"/>
        <w:rPr/>
      </w:pPr>
      <w:r>
        <w:rPr/>
      </w:r>
    </w:p>
    <w:p>
      <w:pPr>
        <w:pStyle w:val="TextBody"/>
        <w:bidi w:val="0"/>
        <w:spacing w:before="100" w:after="240"/>
        <w:jc w:val="center"/>
        <w:rPr/>
      </w:pPr>
      <w:r>
        <w:rPr/>
      </w:r>
    </w:p>
    <w:p>
      <w:pPr>
        <w:pStyle w:val="TextBody"/>
        <w:bidi w:val="0"/>
        <w:spacing w:lineRule="auto" w:line="288" w:before="10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Employee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88" w:before="0" w:after="240"/>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Employee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Employee.</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deposits proceeds from the sale of Common Stock in a bank account in Romania, the 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Employee may receive concerning the Deferred Stock Units and the Employee’s participation in the Plan do not constitute advertising or an offering of securities in Russia. The Common Stock to be issued upon the vesting of the Deferred Stock Units has not and will not be registered in Russia and, therefore, the Common Stock described in any Plan documents may not be offered or placed in public circulation in Russia. In no event will Common Stock to be issued upon the vesting of the Deferred Stock Units be delivered to the Employee in Russia. All Common Stock acquired under the Plan will be maintained on the Employee’s behalf outside of Russia. The Employee will not be permitted to sell Common Stock directly to a Russian legal entity or resident.</w:t>
      </w:r>
    </w:p>
    <w:p>
      <w:pPr>
        <w:pStyle w:val="TextBody"/>
        <w:bidi w:val="0"/>
        <w:spacing w:lineRule="auto" w:line="288" w:before="0" w:after="240"/>
        <w:jc w:val="left"/>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 xml:space="preserve">The Employee understands that no shares of Common Stock will be issued upon vesting of the Deferred Stock Units if the Company, in its sole discretion, determines that such issuance would not comply with applicable laws and regulations in </w:t>
      </w:r>
    </w:p>
    <w:p>
      <w:pPr>
        <w:pStyle w:val="TextBody"/>
        <w:bidi w:val="0"/>
        <w:spacing w:before="0" w:after="0"/>
        <w:jc w:val="righ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357505"/>
                <wp:effectExtent l="0" t="0" r="0" b="0"/>
                <wp:wrapNone/>
                <wp:docPr id="477" name="Frame36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39</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39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Russia.</w:t>
      </w:r>
      <w:r>
        <w:rPr>
          <w:color w:val="000000"/>
        </w:rPr>
        <w:t xml:space="preserve"> </w:t>
      </w:r>
      <w:r>
        <w:rPr>
          <w:rFonts w:ascii="Times New Roman;sans-serif" w:hAnsi="Times New Roman;sans-serif"/>
          <w:b w:val="false"/>
          <w:color w:val="000000"/>
          <w:sz w:val="22"/>
        </w:rPr>
        <w:t>Notwithstanding anything to the contrary in the Agreement, depending on the 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288" w:before="0" w:after="240"/>
        <w:jc w:val="left"/>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14 of the Agreement:</w:t>
      </w:r>
    </w:p>
    <w:p>
      <w:pPr>
        <w:pStyle w:val="TextBody"/>
        <w:bidi w:val="0"/>
        <w:spacing w:lineRule="auto" w:line="288" w:before="0" w:after="240"/>
        <w:jc w:val="left"/>
        <w:rPr/>
      </w:pPr>
      <w:r>
        <w:rPr>
          <w:rFonts w:ascii="Times New Roman;sans-serif" w:hAnsi="Times New Roman;sans-serif"/>
          <w:b w:val="false"/>
          <w:color w:val="000000"/>
          <w:sz w:val="22"/>
        </w:rPr>
        <w:t>The Employee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responsible for complying with any and all Russian foreign exchange control requirements in connection with the Deferred Stock Units, any shares of Common Stock acquired and funds remitted into Russia in connection with the Plan. This may include, in certain circumstances, reporting and repatriation requirements. The foreign exchange control rules and regulations in Russia are subject to frequent change. The Employee should contact their personal advisor to determine applicability of all repatriation, remittance or other exchange control requirements to ensure compliance with all applicable exchange control requirements prior to vesting in the Deferred Stock Units and/or selling shares of Common Stock.</w:t>
      </w:r>
    </w:p>
    <w:p>
      <w:pPr>
        <w:pStyle w:val="TextBody"/>
        <w:bidi w:val="0"/>
        <w:spacing w:lineRule="auto" w:line="288" w:before="0" w:after="240"/>
        <w:jc w:val="left"/>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Employee continues to hold shares of Common Stock acquired at vesting of Deferred Stock Units after an involuntary termination of employment, the Employee will not be eligible to receive unemployment benefits in Russia.</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shd w:fill="FFFFFF" w:val="clear"/>
        </w:rPr>
        <w:t xml:space="preserve">Non-compliance with the reporting obligations could impact the </w:t>
      </w:r>
      <w:r>
        <w:rPr>
          <w:rFonts w:ascii="Times New Roman;sans-serif" w:hAnsi="Times New Roman;sans-serif"/>
          <w:b w:val="false"/>
          <w:color w:val="000000"/>
          <w:sz w:val="22"/>
        </w:rPr>
        <w:t>Employee’s</w:t>
      </w:r>
      <w:r>
        <w:rPr>
          <w:color w:val="000000"/>
          <w:shd w:fill="FFFFFF" w:val="clear"/>
        </w:rPr>
        <w:t xml:space="preserve"> </w:t>
      </w:r>
      <w:r>
        <w:rPr>
          <w:rFonts w:ascii="Times New Roman;sans-serif" w:hAnsi="Times New Roman;sans-serif"/>
          <w:b w:val="false"/>
          <w:color w:val="000000"/>
          <w:sz w:val="22"/>
          <w:shd w:fill="FFFFFF" w:val="clear"/>
        </w:rPr>
        <w:t xml:space="preserve">ability to vest, receive shares of Common Stock pursuant to </w:t>
      </w:r>
      <w:r>
        <w:rPr>
          <w:rFonts w:ascii="Times New Roman;sans-serif" w:hAnsi="Times New Roman;sans-serif"/>
          <w:b w:val="false"/>
          <w:color w:val="000000"/>
          <w:sz w:val="22"/>
        </w:rPr>
        <w:t>Deferred Stock Units</w:t>
      </w:r>
      <w:r>
        <w:rPr>
          <w:rFonts w:ascii="Times New Roman;sans-serif" w:hAnsi="Times New Roman;sans-serif"/>
          <w:b w:val="false"/>
          <w:color w:val="000000"/>
          <w:sz w:val="22"/>
          <w:shd w:fill="FFFFFF" w:val="clear"/>
        </w:rPr>
        <w:t xml:space="preserve">, maintain the account outside of Russia and participate in the Plan. </w:t>
      </w:r>
      <w:r>
        <w:rPr>
          <w:rFonts w:ascii="Times New Roman;sans-serif" w:hAnsi="Times New Roman;sans-serif"/>
          <w:b w:val="false"/>
          <w:color w:val="000000"/>
          <w:sz w:val="22"/>
        </w:rPr>
        <w:t>The Employee should consult with their personal legal advisor to determine the applicability of these reporting requirements to any brokerage account opened in connection with participation in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357505"/>
                <wp:effectExtent l="0" t="0" r="0" b="0"/>
                <wp:wrapNone/>
                <wp:docPr id="478" name="Frame361"/>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40</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40</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Employee should inform the Company if the Employee is covered by these laws because the Employee should not hold shares of Common Stock acquired under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rFonts w:ascii="Times New Roman;sans-serif" w:hAnsi="Times New Roman;sans-serif"/>
          <w:b w:val="false"/>
          <w:color w:val="000000"/>
          <w:sz w:val="22"/>
        </w:rPr>
        <w:t>. 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both"/>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document may not be distributed in the Kingdom of Saudi Arabia except to such persons as are permitted (</w:t>
      </w:r>
      <w:r>
        <w:rPr>
          <w:rFonts w:ascii="Times New Roman;sans-serif" w:hAnsi="Times New Roman;sans-serif"/>
          <w:b w:val="false"/>
          <w:i/>
          <w:color w:val="000000"/>
          <w:sz w:val="22"/>
        </w:rPr>
        <w:t>e.g.</w:t>
      </w:r>
      <w:r>
        <w:rPr>
          <w:rFonts w:ascii="Times New Roman;sans-serif" w:hAnsi="Times New Roman;sans-serif"/>
          <w:b w:val="false"/>
          <w:color w:val="000000"/>
          <w:sz w:val="22"/>
        </w:rPr>
        <w:t>, Employees) under the Offer of Securities Regulations and Continuing Obligations issued by the Capital Market Authority.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Deferred Stock Units and the issuance of any shares of Common Stock in settlement of the Deferred Stock Units is not subject to the regulations governing public offerings and private placements under the Law on Capital Markets.</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Pursuant to the Law on Foreign Exchange Transactions, the Employee is permitted to acquire shares of 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An exemption from this reporting obligation may apply on the basis that the shares of Common Stock are acquired for no consideration. Because the exchange control regulations in Serbia may change without notice, the Employee should consult with his or her personal advisor to ensure compliance with applicable exchange control laws. </w:t>
      </w:r>
    </w:p>
    <w:p>
      <w:pPr>
        <w:pStyle w:val="TextBody"/>
        <w:bidi w:val="0"/>
        <w:spacing w:before="0" w:after="0"/>
        <w:jc w:val="righ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357505"/>
                <wp:effectExtent l="0" t="0" r="0" b="0"/>
                <wp:wrapNone/>
                <wp:docPr id="479" name="Frame362"/>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41</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41</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Employee agrees that any shares of Common Stock acquired pursuant to the Deferred Stock Units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The grant of Deferred Stock Units is being made pursuant to the “Qualifying Person” exemption under section 273(1)(f) of the SFA and is not made to the Employee with a view to the Deferred Stock Units being subsequently offered for sale to any other party. The Plan has not been lodged or registered as a prospectus with the Monetary Authority of Singapore. </w:t>
      </w:r>
    </w:p>
    <w:p>
      <w:pPr>
        <w:pStyle w:val="TextBody"/>
        <w:bidi w:val="0"/>
        <w:spacing w:lineRule="auto" w:line="288" w:before="0" w:after="240"/>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 xml:space="preserve">when the shares of Common Stock are sold), or (iii) becoming a director, associate director or shadow director.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Employee’s brokerage account with the Company’s designated broker).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Employee’s review on the Company’s public site or intranet site, as applicable, as listed below:</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1.The Company’s most recent Annual Report (Form 10-K): from the investor relations section of the Company’s website at http://www.mondelezinternational.com/investors.</w:t>
      </w:r>
    </w:p>
    <w:p>
      <w:pPr>
        <w:pStyle w:val="TextBody"/>
        <w:bidi w:val="0"/>
        <w:spacing w:before="0" w:after="0"/>
        <w:jc w:val="righ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357505"/>
                <wp:effectExtent l="0" t="0" r="0" b="0"/>
                <wp:wrapNone/>
                <wp:docPr id="480" name="Frame363"/>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42</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42</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2.The Company’s most recent Plan prospectus: a copy of which can be found on the Company’s Intranet site located at: https://intranet.mdlz.com/sites/globalhr/comp/Pages/Legal-Documents.aspx.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lineRule="auto" w:line="288" w:before="0" w:after="240"/>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 xml:space="preserve">The following provision supplements paragraph 5 of the Agreement: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Deferred Stock Units, the Employee understands and acknowledges that he or she is required to notify the Employer of the amount of any gain realized upon vesting of the Deferred Stock Units.</w:t>
      </w:r>
    </w:p>
    <w:p>
      <w:pPr>
        <w:pStyle w:val="TextBody"/>
        <w:bidi w:val="0"/>
        <w:spacing w:lineRule="auto" w:line="288" w:before="0" w:after="24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Employee is solely responsible for complying with applicable South African exchange control regulations. In particular, the Employee may be required to obtain approval from the South African Reserve Bank for payments (including shares of Common Stock received pursuant to the Plan) that the Employee receives into accounts based outside of South Africa (e.g., a U.S. brokerage account).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bidi w:val="0"/>
        <w:spacing w:lineRule="auto" w:line="288" w:before="0" w:after="240"/>
        <w:jc w:val="left"/>
        <w:rPr/>
      </w:pPr>
      <w:r>
        <w:rPr>
          <w:rFonts w:ascii="Times New Roman;sans-serif" w:hAnsi="Times New Roman;sans-serif"/>
          <w:b/>
          <w:i/>
          <w:color w:val="000000"/>
          <w:sz w:val="22"/>
        </w:rPr>
        <w:t>TERMS AND CONDITIONS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13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Deferred Stock Units, the Employee consents to participation in the Plan and acknowledges that he or she has received a copy of the Plan.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understands and agrees that, as a condition of the grant of the Deferred Stock Units, except as provided for in paragraph 2 of the Agreement, the termination of the Employee’s employment for any </w:t>
      </w:r>
    </w:p>
    <w:p>
      <w:pPr>
        <w:pStyle w:val="TextBody"/>
        <w:bidi w:val="0"/>
        <w:spacing w:before="0" w:after="0"/>
        <w:jc w:val="righ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357505"/>
                <wp:effectExtent l="0" t="0" r="0" b="0"/>
                <wp:wrapNone/>
                <wp:docPr id="481" name="Frame364"/>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43</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43</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reason (including for the reasons listed below) will automatically result in the loss of the Deferred Stock Units that may have been granted to the Employee and that have not vested on the date of termination. </w:t>
      </w:r>
    </w:p>
    <w:p>
      <w:pPr>
        <w:pStyle w:val="TextBody"/>
        <w:bidi w:val="0"/>
        <w:spacing w:lineRule="auto" w:line="288" w:before="0" w:after="240"/>
        <w:jc w:val="left"/>
        <w:rPr/>
      </w:pPr>
      <w:r>
        <w:rPr>
          <w:rFonts w:ascii="Times New Roman;sans-serif" w:hAnsi="Times New Roman;sans-serif"/>
          <w:b w:val="false"/>
          <w:color w:val="000000"/>
          <w:sz w:val="22"/>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Employee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shares of Common Stock, cash, etc.) as of December 31 each year, the Employee is required to report certain information regarding such rights and assets on tax form 720. After such rights and/or assets are initially reported, the reporting obligation will apply for subsequent </w:t>
      </w:r>
    </w:p>
    <w:p>
      <w:pPr>
        <w:pStyle w:val="TextBody"/>
        <w:bidi w:val="0"/>
        <w:spacing w:before="0" w:after="0"/>
        <w:jc w:val="righ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357505"/>
                <wp:effectExtent l="0" t="0" r="0" b="0"/>
                <wp:wrapNone/>
                <wp:docPr id="482" name="Frame365"/>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44</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44</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this document nor any other materials relating to the Deferred Stock Units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Employee hereby acknowledges that he or she has read and understood the terms regarding collection, 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and the shares of Common Stock to be issued pursuant to the Plan are available only to employees of the Mondelēz Group. The grant of Deferred Stock Units does not constitute a public offer of securities.</w:t>
      </w:r>
    </w:p>
    <w:p>
      <w:pPr>
        <w:pStyle w:val="TextBody"/>
        <w:bidi w:val="0"/>
        <w:spacing w:before="0" w:after="0"/>
        <w:jc w:val="righ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357505"/>
                <wp:effectExtent l="0" t="0" r="0" b="0"/>
                <wp:wrapNone/>
                <wp:docPr id="483" name="Frame366"/>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45</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45</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Employee may acquire and remit foreign currency (including proceeds from the sale of shares of Common Stock) into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receives proceeds from the sale of shares of Common Stock or cash dividends in relation to the shares of Common Stock in excess of US$1,000,000 in a single transaction, the Employee must immediately repatriate the funds to Thailand (or utilize such funds offshore for permissible purposes) and convert the funds to Thai Baht within 360 days of repatriation or deposit the funds in an authorized foreign exchange account in Thailand. The Employee is also required to provide details of the transaction (i.e., identification information and purpose of the transaction) to the receiving bank.</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repatriate such funds and utilizes them offshore for permissible purposes (i.e., purposes not listed in the negative list prescribed by the Bank of Thailand), the Employee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TÜRKIYE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Employee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88" w:before="0" w:after="240"/>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engage a Turkish financial intermediary to assist with the sale of shares 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357505"/>
                <wp:effectExtent l="0" t="0" r="0" b="0"/>
                <wp:wrapNone/>
                <wp:docPr id="484" name="Frame367"/>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46</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46</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u w:val="single"/>
        </w:rPr>
        <w:t xml:space="preserve"> </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applicable Ukraine exchange control regulations. 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Participation in the Plan is being offered only to selected Employees and is in the nature of providing equity 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bidi w:val="0"/>
        <w:spacing w:lineRule="auto" w:line="288" w:before="0" w:after="240"/>
        <w:jc w:val="left"/>
        <w:rPr/>
      </w:pPr>
      <w:r>
        <w:rPr>
          <w:rFonts w:ascii="Times New Roman;sans-serif" w:hAnsi="Times New Roman;sans-serif"/>
          <w:b w:val="false"/>
          <w:color w:val="000000"/>
          <w:sz w:val="22"/>
        </w:rPr>
        <w:t>Without limitation to paragraph 5 of the Agreement, the Employee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the Employee is a director or executive officer of the Company (within the meaning of Section 13(k) of the Exchange Act), the Employee understands that he or she may not be able to indemnify the Company for the amount of any Tax-Related Items not collected from or paid by </w:t>
      </w:r>
    </w:p>
    <w:p>
      <w:pPr>
        <w:pStyle w:val="TextBody"/>
        <w:bidi w:val="0"/>
        <w:spacing w:before="0" w:after="0"/>
        <w:jc w:val="righ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357505"/>
                <wp:effectExtent l="0" t="0" r="0" b="0"/>
                <wp:wrapNone/>
                <wp:docPr id="485" name="Frame368"/>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47</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47</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2"/>
        </w:rPr>
        <w:t>the Employee, in case the indemnification could be considered to be a loan. In this case, the Tax-Related Items not collected or paid may constitute a benefit to the Employee on which additional income tax and National Insurance Contributions (“</w:t>
      </w:r>
      <w:r>
        <w:rPr>
          <w:rFonts w:ascii="Times New Roman;sans-serif" w:hAnsi="Times New Roman;sans-serif"/>
          <w:b w:val="false"/>
          <w:color w:val="000000"/>
          <w:sz w:val="22"/>
          <w:u w:val="single"/>
        </w:rPr>
        <w:t>NICs</w:t>
      </w:r>
      <w:r>
        <w:rPr>
          <w:color w:val="000000"/>
        </w:rPr>
        <w:t>”</w:t>
      </w:r>
      <w:r>
        <w:rPr>
          <w:rFonts w:ascii="Times New Roman;sans-serif" w:hAnsi="Times New Roman;sans-serif"/>
          <w:b w:val="false"/>
          <w:color w:val="000000"/>
          <w:sz w:val="22"/>
        </w:rPr>
        <w:t>) may be payable. The Employee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Employee by any of the means referred to in paragraph 5 of the Agreement.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14 of the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applicable data protection laws, the Employee is hereby notified that the Company collects, processes, uses and transfers certain personally-identifiable information about the Employee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Employee's Personal Data or share it for cross-context behavioral advertising. If the Employee would like a copy of the Company’s privacy policy, please contact a local human resources representative. </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0" w:after="240"/>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Employee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Deferred Stock Units or Common Stock) or other 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Employee understands that the Data will be collected by the Employer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357505"/>
                <wp:effectExtent l="0" t="0" r="0" b="0"/>
                <wp:wrapNone/>
                <wp:docPr id="486" name="Frame369"/>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48</w:t>
                            </w:r>
                            <w:r>
                              <w:br w:type="page"/>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48</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grant of the Deferred Stock Units, the Employee acknowledges and agrees that any shares of Common Stock the Employee may acquire upon the settlement of the Deferred Stock Units are acquired as and intended to be an investment rather than for the resale of the shares of Common Stock and conversion of shares into foreign currency.</w:t>
      </w:r>
    </w:p>
    <w:p>
      <w:pPr>
        <w:pStyle w:val="TextBody"/>
        <w:bidi w:val="0"/>
        <w:spacing w:lineRule="auto" w:line="288" w:before="0" w:after="240"/>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Deferred Stock Units or remit funds into 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Employee should consult with his or her personal legal advisor before accepting the Deferred Stock Units to ensure compliance with current regulations.</w:t>
      </w:r>
    </w:p>
    <w:p>
      <w:pPr>
        <w:pStyle w:val="TextBody"/>
        <w:bidi w:val="0"/>
        <w:spacing w:lineRule="auto" w:line="288" w:before="0" w:after="240"/>
        <w:jc w:val="left"/>
        <w:rPr/>
      </w:pPr>
      <w:r>
        <w:rPr>
          <w:rFonts w:ascii="Times New Roman;sans-serif" w:hAnsi="Times New Roman;sans-serif"/>
          <w:b/>
          <w:i/>
          <w:color w:val="000000"/>
          <w:sz w:val="22"/>
        </w:rPr>
        <w:t>NOTIFICATIONS</w:t>
      </w:r>
      <w:r>
        <w:rPr>
          <w:color w:val="000000"/>
        </w:rPr>
        <w:t xml:space="preserve"> </w:t>
      </w:r>
    </w:p>
    <w:p>
      <w:pPr>
        <w:pStyle w:val="TextBody"/>
        <w:bidi w:val="0"/>
        <w:spacing w:lineRule="auto" w:line="288" w:before="0" w:after="240"/>
        <w:jc w:val="left"/>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granted under the Plan and the shares of Common Stock issued under the Plan are offered as a personal, private, exclusive transaction and are not subject to Venezuelan government securities regulations. The Deferred Stock Units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bidi w:val="0"/>
        <w:spacing w:lineRule="auto" w:line="288" w:before="0" w:after="24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0" w:after="240"/>
        <w:jc w:val="left"/>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10.9</w:t>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357505"/>
                <wp:effectExtent l="0" t="0" r="0" b="0"/>
                <wp:wrapNone/>
                <wp:docPr id="487" name="Frame370"/>
                <a:graphic xmlns:a="http://schemas.openxmlformats.org/drawingml/2006/main">
                  <a:graphicData uri="http://schemas.microsoft.com/office/word/2010/wordprocessingShape">
                    <wps:wsp>
                      <wps:cNvSpPr txBox="1"/>
                      <wps:spPr>
                        <a:xfrm>
                          <a:off x="0" y="0"/>
                          <a:ext cx="6480175" cy="357505"/>
                        </a:xfrm>
                        <a:prstGeom prst="rect"/>
                        <a:solidFill>
                          <a:srgbClr val="FFFFFF"/>
                        </a:solidFill>
                      </wps:spPr>
                      <wps:txb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309" w:before="0" w:after="0"/>
                        <w:jc w:val="left"/>
                        <w:rPr>
                          <w:color w:val="000000"/>
                        </w:rPr>
                      </w:pPr>
                      <w:r>
                        <w:rPr>
                          <w:color w:val="000000"/>
                        </w:rPr>
                        <w:t>    </w:t>
                      </w:r>
                      <w:r>
                        <w:rPr>
                          <w:rFonts w:ascii="Times New Roman;sans-serif" w:hAnsi="Times New Roman;sans-serif"/>
                          <w:b w:val="false"/>
                          <w:color w:val="000000"/>
                          <w:sz w:val="18"/>
                        </w:rPr>
                        <w:t>49</w:t>
                      </w:r>
                    </w:p>
                    <w:p>
                      <w:pPr>
                        <w:pStyle w:val="TextBody"/>
                        <w:bidi w:val="0"/>
                        <w:spacing w:lineRule="auto" w:line="30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22, 2024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60"/>
        <w:jc w:val="center"/>
        <w:rPr>
          <w:rFonts w:ascii="Times New Roman;sans-serif" w:hAnsi="Times New Roman;sans-serif"/>
          <w:b/>
          <w:color w:val="000000"/>
          <w:sz w:val="40"/>
        </w:rPr>
      </w:pPr>
      <w:r>
        <w:rPr>
          <w:rFonts w:ascii="Times New Roman;sans-serif" w:hAnsi="Times New Roman;sans-serif"/>
          <w:b/>
          <w:color w:val="000000"/>
          <w:sz w:val="40"/>
        </w:rPr>
        <w:t>Mondelēz International, Inc.</w:t>
      </w:r>
    </w:p>
    <w:p>
      <w:pPr>
        <w:pStyle w:val="TextBody"/>
        <w:bidi w:val="0"/>
        <w:spacing w:before="0" w:after="6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Change in Control Plan for Key Executives</w:t>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adopted: April 24, 2007</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amended: December 31, 2009</w:t>
        <w:br/>
        <w:t>amended: October 2, 2012</w:t>
        <w:br/>
        <w:t>amended: May 21, 2014</w:t>
      </w:r>
    </w:p>
    <w:p>
      <w:pPr>
        <w:pStyle w:val="TextBody"/>
        <w:bidi w:val="0"/>
        <w:spacing w:lineRule="auto" w:line="288" w:before="0" w:after="0"/>
        <w:jc w:val="center"/>
        <w:rPr/>
      </w:pPr>
      <w:r>
        <w:rPr>
          <w:rFonts w:ascii="Times New Roman;sans-serif" w:hAnsi="Times New Roman;sans-serif"/>
          <w:b/>
          <w:color w:val="000000"/>
          <w:sz w:val="22"/>
        </w:rPr>
        <w:t>Amended: December 4, 2014</w:t>
      </w:r>
      <w:r>
        <w:rPr>
          <w:rFonts w:ascii="Times New Roman;sans-serif" w:hAnsi="Times New Roman;sans-serif"/>
          <w:b/>
          <w:color w:val="000000"/>
          <w:sz w:val="20"/>
        </w:rPr>
        <w:br/>
      </w:r>
      <w:r>
        <w:rPr>
          <w:rFonts w:ascii="Times New Roman;sans-serif" w:hAnsi="Times New Roman;sans-serif"/>
          <w:b/>
          <w:color w:val="000000"/>
          <w:sz w:val="22"/>
        </w:rPr>
        <w:t>Amended: February 4, 2015</w:t>
      </w:r>
      <w:r>
        <w:rPr>
          <w:rFonts w:ascii="Times New Roman;sans-serif" w:hAnsi="Times New Roman;sans-serif"/>
          <w:b/>
          <w:color w:val="000000"/>
          <w:sz w:val="20"/>
        </w:rPr>
        <w:br/>
      </w:r>
      <w:r>
        <w:rPr>
          <w:rFonts w:ascii="Times New Roman;sans-serif" w:hAnsi="Times New Roman;sans-serif"/>
          <w:b/>
          <w:color w:val="000000"/>
          <w:sz w:val="22"/>
        </w:rPr>
        <w:t xml:space="preserve">Amended: February 22, 2016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Amended: February 2, 2017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Amended: May 14, 2019</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Amended: May 21, 2024</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88"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Mondelēz International,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Plan for Key Executives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1. Definitions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Change in Control Plan for Key Executives, the following terms are defined as set forth below (unless the context clearly indicates otherwise):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1"/>
        <w:gridCol w:w="405"/>
        <w:gridCol w:w="269"/>
        <w:gridCol w:w="2749"/>
        <w:gridCol w:w="2502"/>
        <w:gridCol w:w="3539"/>
      </w:tblGrid>
      <w:tr>
        <w:trPr/>
        <w:tc>
          <w:tcPr>
            <w:tcW w:w="74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2005 Plan</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Mondelēz International, Inc. Amended and Restated 2005 Performance Incentive Plan, as amended from time to time.</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2024 Plan</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Mondelēz International, Inc. 2024 Performance Incentive Plan, as amended from time to time.</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Annual Base</w:t>
            </w:r>
          </w:p>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Salary</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Twelve times the higher of:</w:t>
            </w:r>
          </w:p>
          <w:p>
            <w:pPr>
              <w:pStyle w:val="TableContents"/>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highest monthly base salary paid or payable to the Participant by the Mondelēz Group for the twelve-month period immediately preceding the month in which the Change in Control occurs, or</w:t>
            </w:r>
          </w:p>
          <w:p>
            <w:pPr>
              <w:pStyle w:val="TableContents"/>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(ii)the highest monthly base salary in effect at any time thereafter,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each case including any base salary that has been earned and deferred.</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Board</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of Directors of the Company. </w:t>
            </w:r>
          </w:p>
        </w:tc>
      </w:tr>
      <w:tr>
        <w:trPr/>
        <w:tc>
          <w:tcPr>
            <w:tcW w:w="141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Annual Incentive Award Target </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annual incentive award (the “Annual Incentive Award”) that the Participant would receive for a fiscal year under the Management Incentive Plan or any comparable annual incentive plan if the target goals were achieved. </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Cause</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 defined in Section 3.2(b)(i) of this Plan.</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 xml:space="preserve">Change in Control </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occurrence of any of the following events: </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(A) Acquisition of 20% or more of the outstanding voting securities of the Company by another entity or group; excluding, however, the following:</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(1) any acquisition by the Mondelēz Group;</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(2) any acquisition by an employee benefit plan or related trust sponsored or maintained by any entity within the Mondelēz Group;</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(3) any acquisition pursuant to a merger or consolidation described in clause (C) of this definition; or</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(4) any acquisition directly from the Company;</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During any consecutive 24 month period, persons who constitute the Board at the beginning of such period cease to constitute at least 50% of the Board; provided that each new director who is approved by a majority of the directors serving at the beginning of the 24 month period shall be deemed to have been a director at the beginning of such 24 month period;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 The consummation of a reorganization, merger, statutory share exchange or consolidation or other material transaction involving the Company or any of its subsidiaries;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pStyle w:val="TableContents"/>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(D) 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Code</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U.S. Internal Revenue Code.</w:t>
            </w:r>
          </w:p>
        </w:tc>
      </w:tr>
      <w:tr>
        <w:trPr/>
        <w:tc>
          <w:tcPr>
            <w:tcW w:w="14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Committee</w:t>
            </w:r>
          </w:p>
        </w:tc>
        <w:tc>
          <w:tcPr>
            <w:tcW w:w="8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Board’s People and Compensation Committee, any successor thereto or such other committee or subcommittee as may be designated by the Board to administer the Plan.</w:t>
            </w:r>
          </w:p>
        </w:tc>
      </w:tr>
      <w:tr>
        <w:trPr/>
        <w:tc>
          <w:tcPr>
            <w:tcW w:w="14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Company</w:t>
            </w:r>
          </w:p>
        </w:tc>
        <w:tc>
          <w:tcPr>
            <w:tcW w:w="8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Mondelēz International, Inc., a corporation organized under the laws of the Commonwealth of Virginia, or any successor thereto.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351155"/>
                <wp:effectExtent l="0" t="0" r="0" b="0"/>
                <wp:wrapNone/>
                <wp:docPr id="489" name="Frame3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6"/>
        <w:gridCol w:w="497"/>
        <w:gridCol w:w="499"/>
        <w:gridCol w:w="2528"/>
        <w:gridCol w:w="2528"/>
        <w:gridCol w:w="358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Date of </w:t>
            </w:r>
          </w:p>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Termination</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Participant's employment is terminated by:</w:t>
            </w:r>
          </w:p>
          <w:p>
            <w:pPr>
              <w:pStyle w:val="TableContents"/>
              <w:bidi w:val="0"/>
              <w:spacing w:lineRule="auto" w:line="288" w:before="0" w:after="0"/>
              <w:ind w:left="0" w:right="0" w:hanging="522"/>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Employer for Cause or by the Participant for Good Reason, the Date of Termination shall be the date on which the Participant or the Employer, as the case may be, receives the Notice of Termination (as described in Section 3.2(c)) or any later date specified therein as the case may be. </w:t>
            </w:r>
          </w:p>
          <w:p>
            <w:pPr>
              <w:pStyle w:val="TableContents"/>
              <w:bidi w:val="0"/>
              <w:spacing w:lineRule="auto" w:line="288" w:before="0" w:after="0"/>
              <w:ind w:left="0" w:right="0" w:hanging="522"/>
              <w:jc w:val="both"/>
              <w:rPr>
                <w:rFonts w:ascii="Times New Roman;sans-serif" w:hAnsi="Times New Roman;sans-serif"/>
                <w:b w:val="false"/>
                <w:color w:val="000000"/>
                <w:sz w:val="24"/>
              </w:rPr>
            </w:pPr>
            <w:r>
              <w:rPr>
                <w:rFonts w:ascii="Times New Roman;sans-serif" w:hAnsi="Times New Roman;sans-serif"/>
                <w:b w:val="false"/>
                <w:color w:val="000000"/>
                <w:sz w:val="24"/>
              </w:rPr>
              <w:t>(ii)The Employer other than for Cause, death or Disability, the Date of Termination shall be the date on which the Employer notifies the Participant of such termination.</w:t>
            </w:r>
          </w:p>
          <w:p>
            <w:pPr>
              <w:pStyle w:val="TableContents"/>
              <w:bidi w:val="0"/>
              <w:spacing w:lineRule="auto" w:line="288" w:before="0" w:after="0"/>
              <w:ind w:left="0" w:right="0" w:hanging="522"/>
              <w:jc w:val="both"/>
              <w:rPr>
                <w:rFonts w:ascii="Times New Roman;sans-serif" w:hAnsi="Times New Roman;sans-serif"/>
                <w:b w:val="false"/>
                <w:color w:val="000000"/>
                <w:sz w:val="24"/>
              </w:rPr>
            </w:pPr>
            <w:r>
              <w:rPr>
                <w:rFonts w:ascii="Times New Roman;sans-serif" w:hAnsi="Times New Roman;sans-serif"/>
                <w:b w:val="false"/>
                <w:color w:val="000000"/>
                <w:sz w:val="24"/>
              </w:rPr>
              <w:t>(iii)Reason of death or Disability, the Date of Termination shall be the date of death of the Participant or the Disability Effective Date, as the case may be.</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in the event that the Date of Termination as determined above is not the last date on which the Participant is employed by the Employer, the Participant's Date of Termination shall be the last date on which the Participant is employed by the Employer.</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Disability</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 defined in Section 3.2(b)(ii).</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Disability Effective</w:t>
            </w:r>
          </w:p>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Date</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 defined in Section 3.2(b)(ii).</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Effective Date</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April 24, 2007. The Plan was amended effective December 31, 2009, October 2, 2012, May 21, 2014, December 4, 2014, February 4, 2015, February 22, 2016, February 2, 2017, May 14, 2019, and May 21, 2024. </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Employer</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or any entity in the Mondelēz Group. </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Excise Tax</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excise tax imposed by Section 4999 of the Code, together with any interest or penalties imposed with respect to such excise tax.</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Good Reason</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 defined in Section 3.2(a).</w:t>
            </w:r>
          </w:p>
        </w:tc>
      </w:tr>
      <w:tr>
        <w:trPr/>
        <w:tc>
          <w:tcPr>
            <w:tcW w:w="15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Key Executive</w:t>
            </w:r>
          </w:p>
        </w:tc>
        <w:tc>
          <w:tcPr>
            <w:tcW w:w="864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 employee who, is employed on a regular basis by the Employer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(i) is a Section 16 officer of the Company, or (ii) is otherwise designated by the Committee as eligible to participate in this Plan.</w:t>
            </w:r>
          </w:p>
        </w:tc>
      </w:tr>
      <w:tr>
        <w:trPr/>
        <w:tc>
          <w:tcPr>
            <w:tcW w:w="156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Mondelēz Group</w:t>
            </w:r>
          </w:p>
        </w:tc>
        <w:tc>
          <w:tcPr>
            <w:tcW w:w="864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each of its subsidiaries and affiliates.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351155"/>
                <wp:effectExtent l="0" t="0" r="0" b="0"/>
                <wp:wrapNone/>
                <wp:docPr id="490" name="Frame3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16"/>
        <w:gridCol w:w="630"/>
        <w:gridCol w:w="632"/>
        <w:gridCol w:w="2405"/>
        <w:gridCol w:w="2405"/>
        <w:gridCol w:w="3417"/>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Non-Competition Agreement</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of a Participant not to, without the Company's prior written consent, engage in any activity or provide any services, whether as a director, manager, supervisor, employee, adviser, consultant or otherwise, for a period of up to one (1) year following the Participant's Date of Termination, with a company that is substantially competitive with a Mondelēz Group business; provided, that if the Participant’s most recent grant agreement contains non-competition standards that are more restrictive that apply to the Participant following termination of employment, the standards in that grant agreement will supersede this provision. The foregoing restriction shall be construed and applied only to the maximum extent permitted by applicable law in the jurisdiction in which the applicable Participant is employed. In no event shall this restriction apply beyond the Participant’s Date of Termination for any Participant employed in California.</w:t>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Non-Solicitation Agreement</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of a Participant that he or she will not solicit, directly or indirectly, any employee of the Mondelēz Group, or a surviving entity following a Change in Control, to leave the Mondelēz Group and to work for any other entity, whether as an employee, independent contractor or in any other capacity, for a period of up to one (1) year following the Participant’s Date of Termination; provided, that if the Participant’s most recent grant agreement contains non-solicitation standards that are more restrictive that apply to the Participant following termination of employment, the standards in that grant agreement will supersede this provision. The foregoing restriction shall be construed and applied only to the maximum extent permitted by applicable law in the jurisdiction in which the applicable Participant is employed.</w:t>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Non-U.S. Executive</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Key Executive whose designated home country, for purposes of the Employer's personnel and benefits programs and policies, is other than the United States.</w:t>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Participant</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Key Executive who meets the eligibility requirements of Section 2.1; provided, however that any Non-U.S. Executive who, under the laws of his or her designated home country or the legally enforceable programs or policies of the Employer in such designated home country, is entitled to receive, in the event of termination of employment (whether or not by reason of a Change in Control), separation benefits at least equal in aggregate amount to the Separation Pay prescribed under Section 3.3(b) of this Plan shall not be considered a Participant for the purposes of this Plan.</w:t>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Payment</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payment or distribution in the nature of compensation (within the meaning of Section 280G(b)(2) of the Code) to or for the benefit of the Participant, whether paid or payable pursuant to this Plan or otherwise.</w:t>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Plan</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Mondelēz International, Inc. Change in Control Plan for Key Executives, as set forth herein.</w:t>
            </w:r>
          </w:p>
        </w:tc>
      </w:tr>
      <w:tr>
        <w:trPr/>
        <w:tc>
          <w:tcPr>
            <w:tcW w:w="19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Plan Administrator</w:t>
            </w:r>
          </w:p>
        </w:tc>
        <w:tc>
          <w:tcPr>
            <w:tcW w:w="8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third-party accounting, actuarial, consulting or similar firm retained by the Company prior to a Change in Control to administer this Plan following a Change in Control.</w:t>
            </w:r>
          </w:p>
        </w:tc>
      </w:tr>
      <w:tr>
        <w:trPr/>
        <w:tc>
          <w:tcPr>
            <w:tcW w:w="197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Separation Benefits</w:t>
            </w:r>
          </w:p>
        </w:tc>
        <w:tc>
          <w:tcPr>
            <w:tcW w:w="822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amounts and benefits payable or required to be provided in accordance with Section 3.3 of this Plan as potentially modified by Section 3.5.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351155"/>
                <wp:effectExtent l="0" t="0" r="0" b="0"/>
                <wp:wrapNone/>
                <wp:docPr id="491" name="Frame3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00"/>
        <w:gridCol w:w="527"/>
        <w:gridCol w:w="528"/>
        <w:gridCol w:w="2502"/>
        <w:gridCol w:w="2502"/>
        <w:gridCol w:w="3546"/>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Separation Pay</w:t>
            </w:r>
          </w:p>
        </w:tc>
        <w:tc>
          <w:tcPr>
            <w:tcW w:w="85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or amounts payable in accordance with Section 3.3(b) of this Plan.</w:t>
            </w:r>
          </w:p>
        </w:tc>
      </w:tr>
      <w:tr>
        <w:trPr/>
        <w:tc>
          <w:tcPr>
            <w:tcW w:w="16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U.S. Executive</w:t>
            </w:r>
          </w:p>
        </w:tc>
        <w:tc>
          <w:tcPr>
            <w:tcW w:w="85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whose designated home country, for purposes of the Employer's personnel and benefits programs and policies, is the United States.</w:t>
            </w:r>
          </w:p>
        </w:tc>
      </w:tr>
      <w:tr>
        <w:trPr/>
        <w:tc>
          <w:tcPr>
            <w:tcW w:w="1020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these definitions and the Plan, any reference to a statute also refers to any regulations promulgated with respect to the statute and any successor or amendment to the statute, regulation or legal standard.</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2. Eligibility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2.1. </w:t>
      </w:r>
      <w:r>
        <w:rPr>
          <w:rFonts w:ascii="Times New Roman;sans-serif" w:hAnsi="Times New Roman;sans-serif"/>
          <w:b w:val="false"/>
          <w:color w:val="000000"/>
          <w:sz w:val="24"/>
          <w:u w:val="single"/>
        </w:rPr>
        <w:t>Participation</w:t>
      </w:r>
      <w:r>
        <w:rPr>
          <w:rFonts w:ascii="Times New Roman;sans-serif" w:hAnsi="Times New Roman;sans-serif"/>
          <w:b w:val="false"/>
          <w:color w:val="000000"/>
          <w:sz w:val="24"/>
        </w:rPr>
        <w:t>. Except as set forth in the definition of Participant above, each employee who is a Key Executive on the Effective Date shall be a Participant in the Plan effective as of the Effective Date and each other employee shall become a Participant in the Plan effective as of the date of the employee's promotion or hire as a Key Executive or designation by the Committee as a Participant.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2.2. </w:t>
      </w:r>
      <w:r>
        <w:rPr>
          <w:rFonts w:ascii="Times New Roman;sans-serif" w:hAnsi="Times New Roman;sans-serif"/>
          <w:b w:val="false"/>
          <w:color w:val="000000"/>
          <w:sz w:val="24"/>
          <w:u w:val="single"/>
        </w:rPr>
        <w:t>Duration of Participation</w:t>
      </w:r>
      <w:r>
        <w:rPr>
          <w:rFonts w:ascii="Times New Roman;sans-serif" w:hAnsi="Times New Roman;sans-serif"/>
          <w:b w:val="false"/>
          <w:color w:val="000000"/>
          <w:sz w:val="24"/>
        </w:rPr>
        <w:t>. A Participant shall cease to be a Participant in the Plan if (i) the Participant terminates employment with the Employer under circumstances not entitling him or her to Separation Benefits or (ii) the Participant otherwise ceases to be a Key Executive by role or by action of the Committee. No Key Executive may be removed from Plan participation in connection with or in anticipation of a Change in Control that actually occurs. A Participant who is entitled, as a result of ceasing to be a Key Executive of the Employer, to receive benefits under the Plan shall remain a Participant in the Plan until the amounts and benefits payable under the Plan have been paid or provided to the Participant in full.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3. Separation Benefits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3.1. </w:t>
      </w:r>
      <w:r>
        <w:rPr>
          <w:rFonts w:ascii="Times New Roman;sans-serif" w:hAnsi="Times New Roman;sans-serif"/>
          <w:b w:val="false"/>
          <w:color w:val="000000"/>
          <w:sz w:val="24"/>
          <w:u w:val="single"/>
        </w:rPr>
        <w:t>Right to Separation Benefits</w:t>
      </w:r>
      <w:r>
        <w:rPr>
          <w:rFonts w:ascii="Times New Roman;sans-serif" w:hAnsi="Times New Roman;sans-serif"/>
          <w:b w:val="false"/>
          <w:color w:val="000000"/>
          <w:sz w:val="24"/>
        </w:rPr>
        <w:t>. A Participant shall be entitled to receive from the Employer the Separation Benefits as provided in Section 3.3, if: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 Change in Control has occurred,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the Participant's employment by the Employer is terminated under circumstances specified in Section 3.2(a), whether the termination is voluntary or involuntary,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such termination occurs after such Change in Control and on or before the second anniversary thereof, or</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such termination is reasonably demonstrated by the Participant to have been initiated by a third party that has taken steps reasonably calculated to effect a Change in Control or otherwise to have arisen in connection with or in </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351155"/>
                <wp:effectExtent l="0" t="0" r="0" b="0"/>
                <wp:wrapNone/>
                <wp:docPr id="492" name="Frame3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anticipation of such Change in Control and such Change in Control occurs within 90 days of the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avoidance of doubt, no Separation Benefits will be payable to a U.S. Participant, until the U.S. Participant has a "separation from service" within the meaning of Treasury Regulation § 1.409A-1(h) regardless of whether the U.S. Participant has had a termination of employment.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3.2. </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600"/>
        <w:jc w:val="both"/>
        <w:rPr/>
      </w:pPr>
      <w:r>
        <w:rPr>
          <w:rFonts w:ascii="Times New Roman;sans-serif" w:hAnsi="Times New Roman;sans-serif"/>
          <w:b w:val="false"/>
          <w:color w:val="000000"/>
          <w:sz w:val="24"/>
        </w:rPr>
        <w:t>(a)</w:t>
      </w:r>
      <w:r>
        <w:rPr>
          <w:rFonts w:ascii="Times New Roman;sans-serif" w:hAnsi="Times New Roman;sans-serif"/>
          <w:b/>
          <w:i/>
          <w:color w:val="000000"/>
          <w:sz w:val="24"/>
        </w:rPr>
        <w:t>Terminations that give rise to Separation Benefits under this Plan.</w:t>
      </w:r>
      <w:r>
        <w:rPr>
          <w:color w:val="000000"/>
        </w:rPr>
        <w:t xml:space="preserve"> </w:t>
      </w:r>
      <w:r>
        <w:rPr>
          <w:rFonts w:ascii="Times New Roman;sans-serif" w:hAnsi="Times New Roman;sans-serif"/>
          <w:b w:val="false"/>
          <w:color w:val="000000"/>
          <w:sz w:val="24"/>
        </w:rPr>
        <w:t>The circumstances specified in this Section 3.2(a) are any termination of employment with the Employer by action of the Mondelēz Group or by a Participant for Good Reason, other than as set forth in Section 3.2(b) below. For purposes of this Plan, "Good Reason" shall mean: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 an isolated, insubstantial and inadvertent action not taken in bad faith and that is remedied by the Mondelēz Group promptly after receipt of notice thereof given by the Participant;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(ii)any material reduction in the Participant's base salary, Annual Incentive Award or long-term incentive opportunity as in effect immediately prior to the Change in Control;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(iii)the Mondelēz Group’s requiring the Participant to be based at any office or location other than any other location that does not extend the Participant's home to work commute as of the time of the Change in Control by more than 50 miles;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or the Employer would be required to perform it if no such succession had taken place, as and to the extent required by Section 5.</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order for a Participant to terminate employment for Good Reason, the Participant must notify the Company of any event purporting to constitute Good Reason within 45 days following the Participant's knowledge of its existence. If the Company or the Employer fails to take full corrective action within 30 days of the Participant’s notice, the </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351155"/>
                <wp:effectExtent l="0" t="0" r="0" b="0"/>
                <wp:wrapNone/>
                <wp:docPr id="493" name="Frame3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termination of employment will constitute Good Reason for purposes of this Plan.</w:t>
      </w:r>
    </w:p>
    <w:p>
      <w:pPr>
        <w:pStyle w:val="TextBody"/>
        <w:bidi w:val="0"/>
        <w:spacing w:before="0" w:after="0"/>
        <w:jc w:val="both"/>
        <w:rPr/>
      </w:pPr>
      <w:r>
        <w:rPr/>
      </w:r>
    </w:p>
    <w:p>
      <w:pPr>
        <w:pStyle w:val="TextBody"/>
        <w:bidi w:val="0"/>
        <w:spacing w:lineRule="auto" w:line="288" w:before="0" w:after="0"/>
        <w:ind w:left="0" w:right="0" w:hanging="600"/>
        <w:jc w:val="both"/>
        <w:rPr/>
      </w:pPr>
      <w:r>
        <w:rPr>
          <w:rFonts w:ascii="Times New Roman;sans-serif" w:hAnsi="Times New Roman;sans-serif"/>
          <w:b w:val="false"/>
          <w:color w:val="000000"/>
          <w:sz w:val="24"/>
        </w:rPr>
        <w:t>(a)</w:t>
      </w:r>
      <w:r>
        <w:rPr>
          <w:rFonts w:ascii="Times New Roman;sans-serif" w:hAnsi="Times New Roman;sans-serif"/>
          <w:b/>
          <w:i/>
          <w:color w:val="000000"/>
          <w:sz w:val="24"/>
        </w:rPr>
        <w:t>Terminations that DO NOT give rise to Separation Benefits under this Plan.</w:t>
      </w:r>
      <w:r>
        <w:rPr>
          <w:color w:val="000000"/>
        </w:rPr>
        <w:t xml:space="preserve"> </w:t>
      </w:r>
      <w:r>
        <w:rPr>
          <w:rFonts w:ascii="Times New Roman;sans-serif" w:hAnsi="Times New Roman;sans-serif"/>
          <w:b w:val="false"/>
          <w:color w:val="000000"/>
          <w:sz w:val="24"/>
        </w:rPr>
        <w:t>Notwithstanding Section 3.2(a), if a Participant's employment is terminated for Cause or Disability (as those terms are defined below) or as a result of the Participant's death, or the Participant terminates his or her own employment other than for Good Reason, the Participant shall not be entitled to Separation Benefits under the Plan, regardless of the occurrence of a Change in Control.</w:t>
      </w:r>
    </w:p>
    <w:p>
      <w:pPr>
        <w:pStyle w:val="TextBody"/>
        <w:bidi w:val="0"/>
        <w:spacing w:before="0" w:after="0"/>
        <w:jc w:val="both"/>
        <w:rPr/>
      </w:pPr>
      <w:r>
        <w:rPr/>
      </w:r>
    </w:p>
    <w:p>
      <w:pPr>
        <w:pStyle w:val="TextBody"/>
        <w:bidi w:val="0"/>
        <w:spacing w:lineRule="auto" w:line="288" w:before="0" w:after="0"/>
        <w:ind w:left="0" w:right="0" w:hanging="75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(i)A termination for "Cause" shall have occurred where a Participant is terminated because of: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a.Continued failure to substantially perform the Participant's job's duties (other than resulting from incapacity due to disability);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b.Gross negligence, dishonesty, or violation of any reasonable rule or regulation of the Mondelēz Group where the violation results in significant damage to the Mondelēz Group; or</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c.Engaging in other conduct that adversely reflects on the Mondelēz Group in any material respect.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A termination upon Disability shall have occurred where a Participant is absent from the Participant's duties with the Employer on a full-time basis for 180 consecutive days as a result of incapacity due to mental or physical illness which is determined to be total and permanent by a physician selected by the Company or its insurers and acceptable to the Participant or the Participant's legal representative. In such event, the Participant's employment with the Employer shall terminate effective on the 30th day after receipt of such notice by the Participant (the "Disability Effective Date"), provided that, within the 30 days after such receipt, the Participant shall not have returned to full-time performance of the Participant's duties.</w:t>
      </w:r>
    </w:p>
    <w:p>
      <w:pPr>
        <w:pStyle w:val="TextBody"/>
        <w:bidi w:val="0"/>
        <w:spacing w:before="0" w:after="0"/>
        <w:jc w:val="both"/>
        <w:rPr/>
      </w:pPr>
      <w:r>
        <w:rPr/>
      </w:r>
    </w:p>
    <w:p>
      <w:pPr>
        <w:pStyle w:val="TextBody"/>
        <w:bidi w:val="0"/>
        <w:spacing w:lineRule="auto" w:line="288" w:before="0" w:after="0"/>
        <w:ind w:left="0" w:right="0" w:hanging="600"/>
        <w:jc w:val="both"/>
        <w:rPr/>
      </w:pPr>
      <w:r>
        <w:rPr>
          <w:rFonts w:ascii="Times New Roman;sans-serif" w:hAnsi="Times New Roman;sans-serif"/>
          <w:b w:val="false"/>
          <w:color w:val="000000"/>
          <w:sz w:val="24"/>
        </w:rPr>
        <w:t>(a)</w:t>
      </w:r>
      <w:r>
        <w:rPr>
          <w:rFonts w:ascii="Times New Roman;sans-serif" w:hAnsi="Times New Roman;sans-serif"/>
          <w:b/>
          <w:i/>
          <w:color w:val="000000"/>
          <w:sz w:val="24"/>
        </w:rPr>
        <w:t>Notice of termination.</w:t>
      </w:r>
      <w:r>
        <w:rPr>
          <w:color w:val="000000"/>
        </w:rPr>
        <w:t xml:space="preserve"> </w:t>
      </w:r>
      <w:r>
        <w:rPr>
          <w:rFonts w:ascii="Times New Roman;sans-serif" w:hAnsi="Times New Roman;sans-serif"/>
          <w:b w:val="false"/>
          <w:color w:val="000000"/>
          <w:sz w:val="24"/>
        </w:rPr>
        <w:t>Any termination of employment initiated by the Employer for Cause, or by the Participant for Good Reason, shall be communicated by a Notice of Termination to the other party. For purposes of this Plan, a "Notice of Termination" means a written notice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(i)indicates the specific termination provision in this Plan relied upon,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(ii)to the extent applicable, sets forth in reasonable detail the facts and circumstances claimed to provide a basis for termination of the Participant's employment under the provision so indicated,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351155"/>
                <wp:effectExtent l="0" t="0" r="0" b="0"/>
                <wp:wrapNone/>
                <wp:docPr id="494" name="Frame3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(iii)specifies the date upon which the Participant's termination of employment is expected to occur (which date shall be not more than 30 days after the giving of such notice), provided, however, that such specified date shall not be considered the Date of Termination for any purpose of this Plan if such date differs from the Participant's actual Date of 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failure by the Participant or the Employer to set forth in the Notice of Termination any fact or circumstance that contributes to a showing of Good Reason or Cause shall not waive any right of the Participant or the Employer, respectively, hereunder or preclude the Participant or the Employer, respectively, from asserting such fact or circumstance in enforcing the Participant's or the Employer's rights hereunder.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3.3. </w:t>
      </w:r>
      <w:r>
        <w:rPr>
          <w:rFonts w:ascii="Times New Roman;sans-serif" w:hAnsi="Times New Roman;sans-serif"/>
          <w:b w:val="false"/>
          <w:color w:val="000000"/>
          <w:sz w:val="24"/>
          <w:u w:val="single"/>
        </w:rPr>
        <w:t>Separation Benefits.</w:t>
      </w:r>
      <w:r>
        <w:rPr>
          <w:color w:val="000000"/>
        </w:rPr>
        <w:t xml:space="preserve"> </w:t>
      </w:r>
      <w:r>
        <w:rPr>
          <w:rFonts w:ascii="Times New Roman;sans-serif" w:hAnsi="Times New Roman;sans-serif"/>
          <w:b w:val="false"/>
          <w:color w:val="000000"/>
          <w:sz w:val="24"/>
        </w:rPr>
        <w:t>If a Participant's employment is terminated under the circumstances set forth in Section 3.2(a) entitling the Participant to Separation Benefits, and, except as otherwise provided below, if the Participant signs a Non-Competition Agreement and a Non-Solicitation Agreement, the Company shall pay or provide, as the case may be, to the Participant the amounts and benefits set forth in items (a) through (i) below (the "Separation Benefits"):</w:t>
      </w:r>
    </w:p>
    <w:p>
      <w:pPr>
        <w:pStyle w:val="TextBody"/>
        <w:bidi w:val="0"/>
        <w:spacing w:before="0" w:after="0"/>
        <w:jc w:val="both"/>
        <w:rPr/>
      </w:pPr>
      <w:r>
        <w:rPr/>
      </w:r>
    </w:p>
    <w:p>
      <w:pPr>
        <w:pStyle w:val="TextBody"/>
        <w:bidi w:val="0"/>
        <w:spacing w:lineRule="auto" w:line="288" w:before="0" w:after="0"/>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(a)The Employer shall pay to the Participant, in a lump sum in cash within 30 days after the Date of Termination (or, if later, 30 days after the date of the Change in Control), or on such later date as required under Section 3.3(g), the sum 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the Participant's Annual Base Salary through the Date of Termination to the extent not theretofore paid, plus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the product of (x) the Participant's Annual Incentive Award Target and (y) a fraction, the numerator of which is the number of days in the current fiscal year through the Date of Termination and the denominator of which is 365 (the “Prorated Target Bonus”) (provided that, for the fiscal year in which the Change in Control occurs, (1) if the In-Flight Bonus is greater than the Prorated Target Bonus, then the Prorated Target Bonus will not be payable or (2) if the In-Flight Bonus is less than the Prorated Target Bonus, then the Prorated Target Bonus will be reduced by the amount of the In-Flight Bonus), plus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any accrued vacation pay, in each case to the extent not theretofore paid, plus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any unpaid Annual Incentive Award for the fiscal year completed prior to the date of the Change in Control based on actual performance, provided that (x) such actual performance shall be determined by the Committee as in existence immediately prior to the Change in Control, and (y) such Annual Incentive Award shall be payable on the earlier of (1) the payment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351155"/>
                <wp:effectExtent l="0" t="0" r="0" b="0"/>
                <wp:wrapNone/>
                <wp:docPr id="495" name="Frame3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specified above in this Section 3.3(a), and (2) the same time as such Annual Incentive Award is paid to other employees of the Employer in the ordinary course.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sum of the amounts described in sub clauses (A), (B), (C), and (D) shall be referred to as the "Accrued Obligations". The amounts described in sub clauses (A) and (C) shall not be contingent on the Participant signing a Non-Competition Agreement and Non-Solicitation Agreement.</w:t>
      </w:r>
    </w:p>
    <w:p>
      <w:pPr>
        <w:pStyle w:val="TextBody"/>
        <w:bidi w:val="0"/>
        <w:spacing w:before="0" w:after="0"/>
        <w:jc w:val="both"/>
        <w:rPr/>
      </w:pPr>
      <w:r>
        <w:rPr/>
      </w:r>
    </w:p>
    <w:p>
      <w:pPr>
        <w:pStyle w:val="TextBody"/>
        <w:bidi w:val="0"/>
        <w:spacing w:lineRule="auto" w:line="288" w:before="0" w:after="0"/>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Employer also shall pay to the Participant, in a lump sum in cash within 30 days after the Date of Termination (or, if later, 30 days after the date of the Change in Control), or on such later date as required under Section 3.3(g), an amount ("Separation Pay") equal to the product of (A) two (or in the case of a Participant who served as Chairman and/or Chief Executive Officer immediately prior to the Change in Control, 2.99) and (B) the sum of (x) the Participant's Annual Base Salary and (y) the Participant's Annual Incentive Award Target, reduced (but not below zero) in the case of any Participant who is a Non-U.S. Executive by the U.S. dollar equivalent (determined as of the Participant's Date of Termination) of any payments made to the Participant under the laws of his or her designated home country or any program or policy of the Employer in such country on account of the Participant's termination of employment. </w:t>
      </w:r>
    </w:p>
    <w:p>
      <w:pPr>
        <w:pStyle w:val="TextBody"/>
        <w:bidi w:val="0"/>
        <w:spacing w:before="0" w:after="0"/>
        <w:jc w:val="both"/>
        <w:rPr/>
      </w:pPr>
      <w:r>
        <w:rPr/>
      </w:r>
    </w:p>
    <w:p>
      <w:pPr>
        <w:pStyle w:val="TextBody"/>
        <w:bidi w:val="0"/>
        <w:spacing w:lineRule="auto" w:line="288"/>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(c)Solely with respect to U.S. Participants, for two years after the Participant's Date of Termination (or, if later, the date of the Change in Control), (or in the case of a Participant who served as Chairman and/or Chief Executive Officer immediately prior to the Change in Control, three years), or such longer period as may be provided by the terms of the appropriate plan, program, practice or policy, the Employer shall continue welfare benefits to the Participant and/or the Participant's family at least equal to those that would have been provided to them in accordance with the plans, programs, practices and policies (including, without limitation, medical, prescription, dental, disability, employee/spouse/child life insurance, executive life, estate preservation (second-to-die life insurance) and travel accident insurance plans and programs), as if the Participant's employment had not been terminated, or, if more favorable to the Participant, as in effect generally at any time thereafter with respect to other peer executives of the Mondelēz Group and their families; provided, however, that if the Participant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Notwithstanding the foregoing, the reimbursement of COBRA coverage can be provided, at the Company’s sole discretion, in the form of a lump sum taxable severance payment in lieu of a COBRA subsidy if the COBRA subsidy is found to be discriminatory pursuant to applicable guidance. The period of continuation of any group medical plan coverage under Section 4980B of the Code (the "COBRA Period") shall run concurrently during the period for which medical coverage is provided to the Participant pursuant to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351155"/>
                <wp:effectExtent l="0" t="0" r="0" b="0"/>
                <wp:wrapNone/>
                <wp:docPr id="496" name="Frame3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3.3(c). The provision of medical coverage made during the COBRA Period is intended to qualify for the exception to deferred compensation as a medical benefit provided in accordance with the provisions of Section 409A of the Code and Treasury Regulation §1.409A-1(b)(9)(v)(B). Any reimbursements required to be made to a Participant under any arrangement pursuant to this Section 3.3(c) that is not described in the preceding sentence or is not excepted from Section 409A of the Code under Treasury Regulation § 1.409A-1(a)(5) shall be made to the Participant no later than the end of the Participant's second taxable year following the date the expense being reimbursed was incurred. The maximum amount of any such welfare benefits provided to a Participant under this provision in any calendar year shall not be increased or decreased to reflect the amount of such welfare benefits provided to such Participant under this provision in a prior or subsequent calendar year. For purposes of determining the Participant's eligibility for retiree benefits pursuant to such welfare plans, practices, programs and policies, the Participant shall be considered to have remained employed until two years (or in the case of a Participant who served as Chairman and/or Chief Executive Officer immediately prior to the Change in Control, three years) after the Date of Termination; provided, however, that the Participant's commencement of such retiree benefits shall not be any sooner than the date on which the Participant attains 55 years of age and provided, further, that the Participant's costs under any such retiree benefits plans, practices, programs or policies shall be based upon actual service with the Mondelēz Group.</w:t>
      </w:r>
    </w:p>
    <w:p>
      <w:pPr>
        <w:pStyle w:val="TextBody"/>
        <w:bidi w:val="0"/>
        <w:spacing w:before="0" w:after="0"/>
        <w:jc w:val="both"/>
        <w:rPr/>
      </w:pPr>
      <w:r>
        <w:rPr/>
      </w:r>
    </w:p>
    <w:p>
      <w:pPr>
        <w:pStyle w:val="TextBody"/>
        <w:bidi w:val="0"/>
        <w:spacing w:lineRule="auto" w:line="288" w:before="0" w:after="0"/>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(d)The Employer shall, at its sole expense, provide the Participant with outplacement services through the provider of the Company's choice, the scope of which shall be chosen by the Participant in his or her sole discretion within the terms and conditions of the Company's outplacement services policy as in effect immediately prior to the Change in Control, but in no event shall such outplacement services continue for more than two years after the calendar year in which the Participant terminates employment.</w:t>
      </w:r>
    </w:p>
    <w:p>
      <w:pPr>
        <w:pStyle w:val="TextBody"/>
        <w:bidi w:val="0"/>
        <w:spacing w:before="0" w:after="0"/>
        <w:jc w:val="both"/>
        <w:rPr/>
      </w:pPr>
      <w:r>
        <w:rPr/>
      </w:r>
    </w:p>
    <w:p>
      <w:pPr>
        <w:pStyle w:val="TextBody"/>
        <w:bidi w:val="0"/>
        <w:spacing w:lineRule="auto" w:line="288"/>
        <w:ind w:left="0" w:right="0" w:hanging="60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(e)The Employer shall, for two years after the Participant's Date of Termination (or in the case of a Participant who served as Chairman and/or Chief Executive Officer immediately prior to the Change in Control, three years), or after the Change in Control, if later, or such longer period as may be provided by the terms of the appropriate perquisite, continue to provide the perquisites at least equal to those that the Employer would have provided to the Participant in accordance with the perquisites in effect immediately prior to the Change in Control; provided, however, that the maximum value of perquisites provided to a Participant under this provision in any calendar year shall not be increased or decreased to reflect the value of perquisites provided to such Participant under this provision in a prior or subsequent calendar year. Any reimbursements to a Participant for costs associated with such continued perquisites shall be made no later than the end of the Participant's second taxable year following the date the Participant incurred such cost. This clause does not apply to personal use of the Company aircraft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351155"/>
                <wp:effectExtent l="0" t="0" r="0" b="0"/>
                <wp:wrapNone/>
                <wp:docPr id="497" name="Frame3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extent that this perquisite is in effect for any Key Executive immediately prior to the Change in Control. </w:t>
      </w:r>
    </w:p>
    <w:p>
      <w:pPr>
        <w:pStyle w:val="TextBody"/>
        <w:bidi w:val="0"/>
        <w:spacing w:before="0" w:after="0"/>
        <w:jc w:val="both"/>
        <w:rPr/>
      </w:pPr>
      <w:r>
        <w:rPr/>
      </w:r>
    </w:p>
    <w:p>
      <w:pPr>
        <w:pStyle w:val="TextBody"/>
        <w:bidi w:val="0"/>
        <w:spacing w:lineRule="auto" w:line="288" w:before="0" w:after="0"/>
        <w:ind w:left="0" w:right="0" w:hanging="600"/>
        <w:jc w:val="both"/>
        <w:rPr/>
      </w:pPr>
      <w:r>
        <w:rPr>
          <w:rFonts w:ascii="Times New Roman;sans-serif" w:hAnsi="Times New Roman;sans-serif"/>
          <w:b w:val="false"/>
          <w:color w:val="000000"/>
          <w:sz w:val="24"/>
        </w:rPr>
        <w:t>(f)To the extent not theretofore paid or provided, the Employer shall pay or provide to the Participant, at the time otherwise payable, any other amounts or benefits accrued as of the Participant’s termination of employment and</w:t>
      </w:r>
      <w:r>
        <w:rPr>
          <w:color w:val="000000"/>
        </w:rPr>
        <w:t xml:space="preserve"> </w:t>
      </w:r>
      <w:r>
        <w:rPr>
          <w:rFonts w:ascii="Times New Roman;sans-serif" w:hAnsi="Times New Roman;sans-serif"/>
          <w:b w:val="false"/>
          <w:color w:val="000000"/>
          <w:sz w:val="24"/>
        </w:rPr>
        <w:t>required to be paid or provided or that the Participant is eligible to receive under any plan, program, policy or practice or contract or agreement of the Mondelēz Group.</w:t>
      </w:r>
    </w:p>
    <w:p>
      <w:pPr>
        <w:pStyle w:val="TextBody"/>
        <w:bidi w:val="0"/>
        <w:spacing w:before="0" w:after="0"/>
        <w:jc w:val="left"/>
        <w:rPr/>
      </w:pPr>
      <w:r>
        <w:rPr/>
      </w:r>
    </w:p>
    <w:p>
      <w:pPr>
        <w:pStyle w:val="TextBody"/>
        <w:bidi w:val="0"/>
        <w:spacing w:lineRule="auto" w:line="288" w:before="0" w:after="0"/>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(g)Notwithstanding the foregoing, if the Participant is a "specified employee" within the meaning of Section 409A of the Code, then (i) any payments described in Sections 3.3(a), (b) and (i) that the Company determines constitute the payment of nonqualified deferred compensation, within the meaning of Section 409A of the Code, shall be delayed and become payable within five days after the six-month anniversary of the Participant's termination of employment and (ii) any benefits provided under Sections 3.3(c) and (e) that the Company determines constitute the payment of nonqualified deferred compensation, within the meaning of Section 409A of the Code, shall be provided at the Participant's sole cost during the six-month period after the date of the Participant's termination of employment, and within five days after the expiration of such period the Company shall reimburse the Participant for the portion of such costs payable by the Company pursuant to Sections 3.3(c) and (e) hereof.</w:t>
      </w:r>
    </w:p>
    <w:p>
      <w:pPr>
        <w:pStyle w:val="TextBody"/>
        <w:bidi w:val="0"/>
        <w:spacing w:before="0" w:after="0"/>
        <w:jc w:val="both"/>
        <w:rPr/>
      </w:pPr>
      <w:r>
        <w:rPr/>
      </w:r>
    </w:p>
    <w:p>
      <w:pPr>
        <w:pStyle w:val="TextBody"/>
        <w:bidi w:val="0"/>
        <w:spacing w:lineRule="auto" w:line="288" w:before="0" w:after="0"/>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(h)For all purposes under the applicable Company non-qualified defined benefit pension plan, the Company shall credit the Participant with two (or in the case of a Participant who served as Chairman and/or Chief Executive Officer immediately prior to the Change in Control, three) additional years of service and shall add two (or in the case of a Participant who served as Chairman and/or Chief Executive Officer immediately prior to the Change in Control, three) years to the Participant's age. However, this Section shall not apply to any non-qualified defined benefit pension plan that related to a qualified defined benefit pension plan that is frozen as of the date of the Participant’s termination of employment. </w:t>
      </w:r>
    </w:p>
    <w:p>
      <w:pPr>
        <w:pStyle w:val="TextBody"/>
        <w:bidi w:val="0"/>
        <w:spacing w:before="0" w:after="0"/>
        <w:jc w:val="both"/>
        <w:rPr/>
      </w:pPr>
      <w:r>
        <w:rPr/>
      </w:r>
    </w:p>
    <w:p>
      <w:pPr>
        <w:pStyle w:val="TextBody"/>
        <w:bidi w:val="0"/>
        <w:spacing w:lineRule="auto" w:line="288"/>
        <w:ind w:left="0" w:right="0" w:hanging="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(i)Solely with respect to Participants who participate in the Mondelēz Global LLC Thrift Plan (the “401(k) Plan”) as of immediately prior to the Participant’s Date of Termination, the Employer shall pay to the Participant a lump sum cash payment within 30 days after the Date of Termination (or, if later, 30 days after the date of the Change in Control) equal to the amount of employer matching contributions that the Participant would have been vested in under the 401(k) Plan if the Participant had remained fully employed for 24 months following the Date of Termination (and which are forfeited under the 401(k) Plan by the Participant due to the termination of employment) (the “401(k) Payment”). The foregoing shall not be construed as (i) an amendment to the 401(k) Plan or the forfeiture provisions thereunder, (ii) a requirement for the Employer to make additional contributions to the 401(k) Plan, or (iii) a requirement for the distribution of any amounts from the 401(k) Plan. In addition, any repayment obligations of the Participant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351155"/>
                <wp:effectExtent l="0" t="0" r="0" b="0"/>
                <wp:wrapNone/>
                <wp:docPr id="498" name="Frame3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Employer with respect to any sign-on or similar bonus previously paid to the Participant shall be deemed waived by the Employer.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3.4. </w:t>
      </w:r>
      <w:r>
        <w:rPr>
          <w:rFonts w:ascii="Times New Roman;sans-serif" w:hAnsi="Times New Roman;sans-serif"/>
          <w:b w:val="false"/>
          <w:color w:val="000000"/>
          <w:sz w:val="24"/>
          <w:u w:val="single"/>
        </w:rPr>
        <w:t>[Reserved].</w:t>
      </w:r>
      <w:r>
        <w:rPr>
          <w:color w:val="000000"/>
        </w:rPr>
        <w:t xml:space="preserve"> </w:t>
      </w:r>
    </w:p>
    <w:p>
      <w:pPr>
        <w:pStyle w:val="TextBody"/>
        <w:bidi w:val="0"/>
        <w:spacing w:before="0" w:after="0"/>
        <w:ind w:left="0" w:right="0" w:hanging="60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3.5. </w:t>
      </w:r>
      <w:r>
        <w:rPr>
          <w:rFonts w:ascii="Times New Roman;sans-serif" w:hAnsi="Times New Roman;sans-serif"/>
          <w:b w:val="false"/>
          <w:color w:val="000000"/>
          <w:sz w:val="24"/>
          <w:u w:val="single"/>
        </w:rPr>
        <w:t>Potential Reduction in Payments for Certain Participants.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605"/>
        <w:jc w:val="both"/>
        <w:rPr>
          <w:rFonts w:ascii="Times New Roman;sans-serif" w:hAnsi="Times New Roman;sans-serif"/>
          <w:b w:val="false"/>
          <w:color w:val="000000"/>
          <w:sz w:val="24"/>
        </w:rPr>
      </w:pPr>
      <w:r>
        <w:rPr>
          <w:rFonts w:ascii="Times New Roman;sans-serif" w:hAnsi="Times New Roman;sans-serif"/>
          <w:b w:val="false"/>
          <w:color w:val="000000"/>
          <w:sz w:val="24"/>
        </w:rPr>
        <w:t>(a)    Anything in this Plan to the contrary notwithstanding, with respect to any Participant who is a citizen or resident of the United States, in the event (1) a Change in Control occurs and (2) in connection with such Change in Control it shall be determined that any Payment would be subject to the Excise Tax, then the aggregate Payments to the Participant will be the greater of (i) or (ii) below, after taking into account the Excise Tax and the applicable income and employment taxes payable by the Participant:</w:t>
      </w:r>
    </w:p>
    <w:p>
      <w:pPr>
        <w:pStyle w:val="TextBody"/>
        <w:bidi w:val="0"/>
        <w:spacing w:before="0" w:after="0"/>
        <w:jc w:val="both"/>
        <w:rPr/>
      </w:pPr>
      <w:r>
        <w:rPr/>
      </w:r>
    </w:p>
    <w:p>
      <w:pPr>
        <w:pStyle w:val="TextBody"/>
        <w:bidi w:val="0"/>
        <w:spacing w:lineRule="auto" w:line="288" w:before="0" w:after="0"/>
        <w:ind w:left="0" w:right="0" w:hanging="47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full amount of the Payments, or </w:t>
      </w:r>
    </w:p>
    <w:p>
      <w:pPr>
        <w:pStyle w:val="TextBody"/>
        <w:bidi w:val="0"/>
        <w:spacing w:before="0" w:after="0"/>
        <w:ind w:left="0" w:right="0" w:hanging="475"/>
        <w:jc w:val="both"/>
        <w:rPr/>
      </w:pPr>
      <w:r>
        <w:rPr/>
      </w:r>
    </w:p>
    <w:p>
      <w:pPr>
        <w:pStyle w:val="TextBody"/>
        <w:bidi w:val="0"/>
        <w:spacing w:lineRule="auto" w:line="288" w:before="0" w:after="0"/>
        <w:ind w:left="0" w:right="0" w:hanging="47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An amount (the "Reduced Amount") that is one dollar less than the smallest amount that would give rise to any Excise Tax. </w:t>
      </w:r>
    </w:p>
    <w:p>
      <w:pPr>
        <w:pStyle w:val="TextBody"/>
        <w:bidi w:val="0"/>
        <w:spacing w:before="0" w:after="0"/>
        <w:ind w:left="0" w:right="0" w:hanging="475"/>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Mondelēz Group will bear no responsibility for any Excise Tax payable on any Reduced Amount pursuant to a subsequent claim by the Internal Revenue Service or otherwise. For purposes of determining the Reduced Amount under this Section 3.5(a), amounts otherwise payable to the Participant under the Plan shall be reduced, to the extent necessary, in the following order: first, Separation Pay under Section 3.3(b), then the 401(k) Payment under Section 3.3(i), then the In-Flight Bonus under Section 3.11, then Accrued Obligations payable under Section 3.3(a), other than Annual Base Salary through the Date of Termination, followed by outplacement services payable under Section 3.3(d), welfare benefits payable under Section 3.3(c), perquisites payable under Section 3.3(e), and finally, the repayment waiver under Section 3.3(i). In the event that such reductions are not sufficient to reduce the aggregate Payments to the Participant to the Reduced Amount, then Payments due the Participant under any other plan shall be reduced in the order determined by the Plan Administrator in its sole discretion. </w:t>
      </w:r>
    </w:p>
    <w:p>
      <w:pPr>
        <w:pStyle w:val="TextBody"/>
        <w:bidi w:val="0"/>
        <w:spacing w:before="0" w:after="0"/>
        <w:jc w:val="both"/>
        <w:rPr/>
      </w:pPr>
      <w:r>
        <w:rPr/>
      </w:r>
    </w:p>
    <w:p>
      <w:pPr>
        <w:pStyle w:val="TextBody"/>
        <w:bidi w:val="0"/>
        <w:spacing w:lineRule="auto" w:line="288"/>
        <w:ind w:left="0" w:right="0" w:hanging="60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All determinations required to be made under this Section 3.5, including whether Reduced Amount is payable, and the assumptions to be utilized in arriving at such determinations, shall be made by the Company's independent auditors or such other nationally recognized certified public accounting firm as may be designated by the Company and approved by the Participant (the "Accounting Firm"), which shall provide detailed supporting calculations both to the Company and the Participant within 15 business days of the receipt of notice from the Participant that there has been a Payment, or such earlier time as is requested by the Company. All fees and expenses of the Accounting Firm shall be borne solely by the Company. Any determination by the Accounting Firm shall be binding upon the Mondelēz Group and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351155"/>
                <wp:effectExtent l="0" t="0" r="0" b="0"/>
                <wp:wrapNone/>
                <wp:docPr id="499" name="Frame3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605"/>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3.6. </w:t>
      </w:r>
      <w:r>
        <w:rPr>
          <w:rFonts w:ascii="Times New Roman;sans-serif" w:hAnsi="Times New Roman;sans-serif"/>
          <w:b w:val="false"/>
          <w:color w:val="000000"/>
          <w:sz w:val="24"/>
          <w:u w:val="single"/>
        </w:rPr>
        <w:t>Payment Obligations Absolute.</w:t>
      </w:r>
      <w:r>
        <w:rPr>
          <w:color w:val="000000"/>
        </w:rPr>
        <w:t xml:space="preserve"> </w:t>
      </w:r>
      <w:r>
        <w:rPr>
          <w:rFonts w:ascii="Times New Roman;sans-serif" w:hAnsi="Times New Roman;sans-serif"/>
          <w:b w:val="false"/>
          <w:color w:val="000000"/>
          <w:sz w:val="24"/>
        </w:rPr>
        <w:t>Upon a Change in Control and termination of employment under the circumstances described in Section 3.2(a), the obligations of the Mondelēz Group to pay or provide the Separation Benefits shall be absolute and unconditional and shall not be affected by any circumstances, including, without limitation, any set-off, counterclaim, recoupment, defense or other right that the Mondelēz Group may have against any Participant (except as otherwise set forth herein or as required pursuant to the Company’s Dodd-Frank Clawback Policy and the Company’s Compensation Recoupment Policy). In no event shall a Participant be obligated to seek other employment or take any other action by way of mitigation of the amounts payable to a Participant under any of the provisions of this Plan, nor shall the amount of any payment or value of any benefits hereunder be reduced by any compensation or benefits earned by a Participant as a result of employment by another employer, except as specifically provided under Section 3.3.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3.7. </w:t>
      </w:r>
      <w:r>
        <w:rPr>
          <w:rFonts w:ascii="Times New Roman;sans-serif" w:hAnsi="Times New Roman;sans-serif"/>
          <w:b w:val="false"/>
          <w:color w:val="000000"/>
          <w:sz w:val="24"/>
          <w:u w:val="single"/>
        </w:rPr>
        <w:t>Non-Competition and Non-Solicitation.</w:t>
      </w:r>
      <w:r>
        <w:rPr>
          <w:color w:val="000000"/>
        </w:rPr>
        <w:t xml:space="preserve"> </w:t>
      </w:r>
      <w:r>
        <w:rPr>
          <w:rFonts w:ascii="Times New Roman;sans-serif" w:hAnsi="Times New Roman;sans-serif"/>
          <w:b w:val="false"/>
          <w:color w:val="000000"/>
          <w:sz w:val="24"/>
        </w:rPr>
        <w:t>Upon a Change in Control and termination of employment under the circumstances described in Section 3.2(a), the obligations of the Mondelēz Group to pay or provide the Separation Benefits are contingent on the Participant’s adhering to the Non-Competition Agreement and the Non-Solicitation Agreement. Should the Participant violate the Non-Competition Agreement or Non-Solicitation Agreement, the Participant will be obligated to pay back to the Employer</w:t>
      </w:r>
      <w:r>
        <w:rPr>
          <w:color w:val="000000"/>
        </w:rPr>
        <w:t xml:space="preserve"> </w:t>
      </w:r>
      <w:r>
        <w:rPr>
          <w:rFonts w:ascii="Times New Roman;sans-serif" w:hAnsi="Times New Roman;sans-serif"/>
          <w:b w:val="false"/>
          <w:color w:val="000000"/>
          <w:sz w:val="24"/>
        </w:rPr>
        <w:t>the net amounts payable to the Participant pursuant to this Plan and the Employer will have no further obligation to pay the Participant any payments that may be remaining due under this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3.8.    </w:t>
      </w:r>
      <w:r>
        <w:rPr>
          <w:rFonts w:ascii="Times New Roman;sans-serif" w:hAnsi="Times New Roman;sans-serif"/>
          <w:b w:val="false"/>
          <w:color w:val="000000"/>
          <w:sz w:val="24"/>
          <w:u w:val="single"/>
        </w:rPr>
        <w:t>Non-Disparagement.</w:t>
      </w:r>
      <w:r>
        <w:rPr>
          <w:color w:val="000000"/>
        </w:rPr>
        <w:t xml:space="preserve"> </w:t>
      </w:r>
      <w:r>
        <w:rPr>
          <w:rFonts w:ascii="Times New Roman;sans-serif" w:hAnsi="Times New Roman;sans-serif"/>
          <w:b w:val="false"/>
          <w:color w:val="000000"/>
          <w:sz w:val="24"/>
        </w:rPr>
        <w:t>Upon a Change in Control and termination of employment under the circumstances described in Section 3.2(a), the obligations of the Mondelēz Group to pay or provide the Separation Benefits are contingent on the Participant's adhering to certain non-disparagement provisions. The Participant agrees that the Participant will not disparage, discredit or otherwise treat in a detrimental manner the Mondelēz Group or its officers, directors and employees, provided this clause does not prohibit a Participant from discussing or disclosing information about unlawful acts in the workplace, such as harassment or discrimination, or from making any other disclosures protected by the whistleblower provisions of any applicable law.</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3.9    </w:t>
      </w:r>
      <w:r>
        <w:rPr>
          <w:rFonts w:ascii="Times New Roman;sans-serif" w:hAnsi="Times New Roman;sans-serif"/>
          <w:b w:val="false"/>
          <w:color w:val="000000"/>
          <w:sz w:val="24"/>
          <w:u w:val="single"/>
        </w:rPr>
        <w:t>General Release of Claims.</w:t>
      </w:r>
      <w:r>
        <w:rPr>
          <w:color w:val="000000"/>
        </w:rPr>
        <w:t xml:space="preserve"> </w:t>
      </w:r>
      <w:r>
        <w:rPr>
          <w:rFonts w:ascii="Times New Roman;sans-serif" w:hAnsi="Times New Roman;sans-serif"/>
          <w:b w:val="false"/>
          <w:color w:val="000000"/>
          <w:sz w:val="24"/>
        </w:rPr>
        <w:t xml:space="preserve">Upon a Change in Control and termination of employment under the circumstances described in Section 3.2(a), the obligations of the Mondelēz Group to pay or provide the Separation Benefits are contingent on the Participant's (for him/herself, his/her heirs, legal representatives and assigns) execution and non-revocation of a general release in the form and substance attached hereto as </w:t>
      </w:r>
      <w:r>
        <w:rPr>
          <w:rFonts w:ascii="Times New Roman;sans-serif" w:hAnsi="Times New Roman;sans-serif"/>
          <w:b/>
          <w:color w:val="000000"/>
          <w:sz w:val="24"/>
        </w:rPr>
        <w:t xml:space="preserve">Exhibit A </w:t>
      </w:r>
      <w:r>
        <w:rPr>
          <w:rFonts w:ascii="Times New Roman;sans-serif" w:hAnsi="Times New Roman;sans-serif"/>
          <w:b w:val="false"/>
          <w:color w:val="000000"/>
          <w:sz w:val="24"/>
        </w:rPr>
        <w:t xml:space="preserve">to be provided by Employer with the general release becoming effective and non-revocable within 30 days (52 days if Participant’s termination of employment occurs as the result of a group termination) following the Participant's termination of employment and receipt of the general release, releasing the Mondelēz Group and its officers, directors, agents and employees from any claims or causes of action of any kind that the Participant might have against any one or more of them as of the date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351155"/>
                <wp:effectExtent l="0" t="0" r="0" b="0"/>
                <wp:wrapNone/>
                <wp:docPr id="500" name="Frame3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release, regarding his/her employment or the termination of that employment. The Participant understands that this release applies to all claims (s)he might have under any federal, state or local statute or ordinance, or the common law, for employment discrimination, wrongful discharge, breach of contract, violations of Title VII of the Civil Rights Act of 1964, the Civil Rights Act of 1991, the Age Discrimination in Employment Act, the Older Workers Benefit Protection Act, the Employee Retirement Income Security Act, the Americans With Disabilities Act, or the Family and Medical Leave Act, and all other claims related in any way to Participant's employment or the termination of that employment.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3.10. </w:t>
      </w:r>
      <w:r>
        <w:rPr>
          <w:rFonts w:ascii="Times New Roman;sans-serif" w:hAnsi="Times New Roman;sans-serif"/>
          <w:b w:val="false"/>
          <w:color w:val="000000"/>
          <w:sz w:val="24"/>
          <w:u w:val="single"/>
        </w:rPr>
        <w:t>Non-Exclusivity of Rights.</w:t>
      </w:r>
      <w:r>
        <w:rPr>
          <w:color w:val="000000"/>
        </w:rPr>
        <w:t xml:space="preserve"> </w:t>
      </w:r>
      <w:r>
        <w:rPr>
          <w:rFonts w:ascii="Times New Roman;sans-serif" w:hAnsi="Times New Roman;sans-serif"/>
          <w:b w:val="false"/>
          <w:color w:val="000000"/>
          <w:sz w:val="24"/>
        </w:rPr>
        <w:t>Nothing in this Plan shall prevent or limit the Participant's continuing or future participation in any plan, program, policy or practice provided by the Mondelēz Group and for which the Participant may qualify, nor, subject to Section 6.2, shall anything herein limit or otherwise affect such rights as the Participant may have under any contract or agreement with the Mondelēz Group. Amounts or benefits that the Participant is otherwise entitled to receive under any plan, policy, practice or program of or any contract or agreement with the Mondelēz Group will be payable in accordance with such plan, policy, practice or program or contract or agreement, except as explicitly modified by this Plan. For avoidance of doubt, any treatment triggered by a change in control in another plan or program maintained by the Company or an Employer which applies to a Participant will apply to the Participant notwithstanding any provision in this Plan to the contrary.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3.11. </w:t>
      </w:r>
      <w:r>
        <w:rPr>
          <w:rFonts w:ascii="Times New Roman;sans-serif" w:hAnsi="Times New Roman;sans-serif"/>
          <w:b w:val="false"/>
          <w:color w:val="000000"/>
          <w:sz w:val="24"/>
          <w:u w:val="single"/>
        </w:rPr>
        <w:t>Annual Bonus Treatment Upon Change in Control</w:t>
      </w:r>
      <w:r>
        <w:rPr>
          <w:rFonts w:ascii="Times New Roman;sans-serif" w:hAnsi="Times New Roman;sans-serif"/>
          <w:b w:val="false"/>
          <w:color w:val="000000"/>
          <w:sz w:val="24"/>
        </w:rPr>
        <w:t xml:space="preserve">. Upon a Change in Control (and provided the Participant remains employed through the Change in Control), the Employer shall pay the Participant, in a lump sum in cash within 30 days after the Change in Control, an amount equal to the Annual Incentive Award that the Participant would receive for the fiscal year during which the Change in Control occurs, based on the higher of target performance or actual performance as of immediately prior to the Change in Control, provided that, if less than 50% of the fiscal year has elapsed prior to the Change in Control, such award shall be pro-rated based on a fraction, the numerator of which is the number of days that have elapsed in applicable fiscal year through the Change in Control and the denominator of which is 365 (the “In-Flight Bonus”).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4. Successor to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Plan shall bind any successor of the Company, its assets or its businesses (whether direct or indirect, by purchase, merger, consolidation or otherwise), in the same manner and to the same extent that the Mondelēz Group would be obligated under this Plan if no succession had taken place.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case of any transaction in which a successor would not by the foregoing provision or by operation of law be bound by this Plan, the Company shall require such successor expressly and unconditionally to assume and agree to perform the Mondelēz Group’s obligations under this Plan, in the same manner and to the same extent that the Company would be required to perform if no such succession had taken place. The term </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351155"/>
                <wp:effectExtent l="0" t="0" r="0" b="0"/>
                <wp:wrapNone/>
                <wp:docPr id="501" name="Frame3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"Company," as used in this Plan, shall mean the Company as hereinbefore defined and any successor or assignee to the business or assets that by reason hereof becomes bound by this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5. Duration, Amendment and Termination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5.1. </w:t>
      </w:r>
      <w:r>
        <w:rPr>
          <w:rFonts w:ascii="Times New Roman;sans-serif" w:hAnsi="Times New Roman;sans-serif"/>
          <w:b w:val="false"/>
          <w:color w:val="000000"/>
          <w:sz w:val="24"/>
          <w:u w:val="single"/>
        </w:rPr>
        <w:t>Duration</w:t>
      </w:r>
      <w:r>
        <w:rPr>
          <w:rFonts w:ascii="Times New Roman;sans-serif" w:hAnsi="Times New Roman;sans-serif"/>
          <w:b w:val="false"/>
          <w:color w:val="000000"/>
          <w:sz w:val="24"/>
        </w:rPr>
        <w:t>. This Plan shall remain in effect until terminated as provided in Section 5.2. Notwithstanding the foregoing, if a Change in Control occurs, this Plan shall continue in full force and effect and shall not terminate or expire until after all Participants who become entitled to any payments or benefits hereunder shall have received such payments or benefits in full.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5.2. </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 The Plan may be terminated or amended in any respect by resolution adopted by the Committee unless a Change in Control has previously occurred. However, after the Board has knowledge of a possible transaction or event that if consummated would constitute a Change in Control, this Plan may not be terminated or amended in any manner that would adversely affect the rights or potential rights of Participants, unless and until the Board has determined that all transactions or events that, if consummated, would constitute a Change in Control have been abandoned and will not be consummated, and, provided that the Board does not have knowledge of other transactions or events that, if consummated, would constitute a Change in Control. If a Change in Control occurs, the Plan shall no longer be subject to amendment, change, substitution, deletion, revocation or termination in any respect that adversely affects the rights of Participants, and no Participant shall be removed from Plan participation.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6. Miscellaneous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6.1. </w:t>
      </w:r>
      <w:r>
        <w:rPr>
          <w:rFonts w:ascii="Times New Roman;sans-serif" w:hAnsi="Times New Roman;sans-serif"/>
          <w:b w:val="false"/>
          <w:color w:val="000000"/>
          <w:sz w:val="24"/>
          <w:u w:val="single"/>
        </w:rPr>
        <w:t>Legal Fees</w:t>
      </w:r>
      <w:r>
        <w:rPr>
          <w:rFonts w:ascii="Times New Roman;sans-serif" w:hAnsi="Times New Roman;sans-serif"/>
          <w:b w:val="false"/>
          <w:color w:val="000000"/>
          <w:sz w:val="24"/>
        </w:rPr>
        <w:t>. The Company agrees to pay, to the full extent permitted by law, all legal fees and expenses that the Participant may reasonably incur as a result of any contest by the Mondelēz Group, the Participant or others of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provided that the Company shall have no obligation under this Section 6.1 to the extent the resolution of any such contest includes a finding denying, in total, the Participant’s claims in such contest.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6.2. </w:t>
      </w:r>
      <w:r>
        <w:rPr>
          <w:rFonts w:ascii="Times New Roman;sans-serif" w:hAnsi="Times New Roman;sans-serif"/>
          <w:b w:val="false"/>
          <w:color w:val="000000"/>
          <w:sz w:val="24"/>
          <w:u w:val="single"/>
        </w:rPr>
        <w:t>Employment Status</w:t>
      </w:r>
      <w:r>
        <w:rPr>
          <w:rFonts w:ascii="Times New Roman;sans-serif" w:hAnsi="Times New Roman;sans-serif"/>
          <w:b w:val="false"/>
          <w:color w:val="000000"/>
          <w:sz w:val="24"/>
        </w:rPr>
        <w:t xml:space="preserve">. This Plan does not constitute a contract of employment or impose on the Participant, the Company or the Participant's Employer any obligation to retain the Participant as an employee, to change the status of the Participant's employment as an "at will" employee, or to change the Mondelēz Group’s policies regarding termination of employment. </w:t>
      </w:r>
    </w:p>
    <w:p>
      <w:pPr>
        <w:pStyle w:val="TextBody"/>
        <w:bidi w:val="0"/>
        <w:spacing w:lineRule="auto" w:line="288"/>
        <w:jc w:val="both"/>
        <w:rPr/>
      </w:pPr>
      <w:r>
        <w:rPr>
          <w:rFonts w:ascii="Times New Roman;sans-serif" w:hAnsi="Times New Roman;sans-serif"/>
          <w:b w:val="false"/>
          <w:color w:val="000000"/>
          <w:sz w:val="24"/>
        </w:rPr>
        <w:t xml:space="preserve">6.3. </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Employer may withhold from any amounts payable under this Plan such taxes as shall be required to be withheld pursuant to any applicable law or regulation as determined by the Employer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351155"/>
                <wp:effectExtent l="0" t="0" r="0" b="0"/>
                <wp:wrapNone/>
                <wp:docPr id="502" name="Frame3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6.4. </w:t>
      </w:r>
      <w:r>
        <w:rPr>
          <w:rFonts w:ascii="Times New Roman;sans-serif" w:hAnsi="Times New Roman;sans-serif"/>
          <w:b w:val="false"/>
          <w:color w:val="000000"/>
          <w:sz w:val="24"/>
          <w:u w:val="single"/>
        </w:rPr>
        <w:t>Validity and Severability</w:t>
      </w:r>
      <w:r>
        <w:rPr>
          <w:rFonts w:ascii="Times New Roman;sans-serif" w:hAnsi="Times New Roman;sans-serif"/>
          <w:b w:val="false"/>
          <w:color w:val="000000"/>
          <w:sz w:val="24"/>
        </w:rPr>
        <w:t xml:space="preserve">.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6.5.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validity, interpretation, construction and performance of the Plan shall in all respects be governed by the laws of the Commonwealth of Virginia, without reference to principles of conflict of law.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6.6. </w:t>
      </w:r>
      <w:r>
        <w:rPr>
          <w:rFonts w:ascii="Times New Roman;sans-serif" w:hAnsi="Times New Roman;sans-serif"/>
          <w:b w:val="false"/>
          <w:color w:val="000000"/>
          <w:sz w:val="24"/>
          <w:u w:val="single"/>
        </w:rPr>
        <w:t>Section 409A of the Code</w:t>
      </w:r>
      <w:r>
        <w:rPr>
          <w:rFonts w:ascii="Times New Roman;sans-serif" w:hAnsi="Times New Roman;sans-serif"/>
          <w:b w:val="false"/>
          <w:color w:val="000000"/>
          <w:sz w:val="24"/>
        </w:rPr>
        <w:t>. The Plan shall be interpreted, construed and operated to reflect the intent of the Company that all aspects of the Plan shall be interpreted either to be exempt from the provisions of Section 409A of the Code or, to the extent subject to Section 409A of the Code, comply with Section 409A of the Code. Notwithstanding anything to the contrary in Section 5.2, this Plan may be amended at any time, without the consent of any Participant, to avoid the application of Section 409A of the Code in a particular circumstance or to the extent determined necessary or desirable to satisfy any of the requirements under Section 409A of the Code, but the Employer shall not be under any obligation to make any such amendment. Nothing in the Plan shall provide a basis for any person to take action against the Employer based on matters covered by Section 409A of the Code, including the tax treatment of any amount payable under the Plan, and the Employer shall not under any circumstances have any liability to any Participant or other person for any taxes, penalties or interest due on amounts paid or payable under the Plan, including taxes, penalties or interest imposed under Section 409A of the Code.</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 xml:space="preserve">6.7 </w:t>
      </w:r>
      <w:r>
        <w:rPr>
          <w:rFonts w:ascii="Times New Roman;sans-serif" w:hAnsi="Times New Roman;sans-serif"/>
          <w:b w:val="false"/>
          <w:color w:val="000000"/>
          <w:sz w:val="24"/>
          <w:u w:val="single"/>
        </w:rPr>
        <w:t>Claim Procedure</w:t>
      </w:r>
      <w:r>
        <w:rPr>
          <w:rFonts w:ascii="Times New Roman;sans-serif" w:hAnsi="Times New Roman;sans-serif"/>
          <w:b w:val="false"/>
          <w:color w:val="000000"/>
          <w:sz w:val="24"/>
        </w:rPr>
        <w:t xml:space="preserve">. If an individual makes a written request alleging a right to receive Separation Benefits under the Plan or alleging a right to receive an adjustment in benefits being paid under the Plan, the Company shall treat it as a claim for benefits. All claims for Separation Benefits under the Plan shall be sent to the General Counsel of the Company and must be received within 30 days after the Date of Termination. If the Company determines that any individual who has claimed a right to receive Separation Benefits under the Plan is not entitled to receive all or a part of the benefits claimed, it will inform the claimant in writing of its determination and the reasons therefore in terms calculated to be understood by the claimant. The notice will be sent within 90 days of the written request, unless the Company determines additional time, not exceeding 90 days, is needed and provides the claimant with notice, during the initial 90-day period, of the circumstances requiring the extension of time and the length of the extension. The notice shall make specific reference to the pertinent Plan provisions on which the denial is based, and describe any additional material or information that is necessary. Such notice shall, in addition, inform the claimant what procedure the claimant should follow to take advantage of the review procedures set forth below in the event the claimant desires to contest the denial of the claim. The claimant may within 90 days thereafter submit in writing to the Plan Administrator a notice that the claimant contests the denial of his or her claim by the Company and desires a further review. The Plan Administrator shall within 60 days thereafter review the claim and authorize the claimant to appear </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351155"/>
                <wp:effectExtent l="0" t="0" r="0" b="0"/>
                <wp:wrapNone/>
                <wp:docPr id="503" name="Frame3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personally and review the pertinent documents and submit issues and comments relating to the claim to the persons responsible for making the determination on behalf of the Plan Administrator. The Plan Administrator will render its final decision with specific reasons therefor in writing and will transmit it to the claimant within 60 days of the written request for review, unless the Plan Administrator determines additional time, not exceeding 60 days, is needed, and so notifies the claimant during the initial 60-day period. If the Plan Administrator fails to respond to a claim filed in accordance with the foregoing within 60 days or any such extended period, the Plan Administrator shall be deemed to have denied the claim. The Committee may revise the foregoing procedures as it determines necessary to comply with changes in the applicable U.S. Department of Labor regulations.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6.8. </w:t>
      </w:r>
      <w:r>
        <w:rPr>
          <w:rFonts w:ascii="Times New Roman;sans-serif" w:hAnsi="Times New Roman;sans-serif"/>
          <w:b w:val="false"/>
          <w:color w:val="000000"/>
          <w:sz w:val="24"/>
          <w:u w:val="single"/>
        </w:rPr>
        <w:t>Unfunded Plan Status</w:t>
      </w:r>
      <w:r>
        <w:rPr>
          <w:rFonts w:ascii="Times New Roman;sans-serif" w:hAnsi="Times New Roman;sans-serif"/>
          <w:b w:val="false"/>
          <w:color w:val="000000"/>
          <w:sz w:val="24"/>
        </w:rPr>
        <w:t xml:space="preserve">. This Plan is unfunded and is intended to qualify as a severance pay plan within the meaning of Labor Department Regulations Section 2510.3-2(b). All payments pursuant to the Plan shall be made from the general funds of the Employer and no special or separate fund shall be established or other segregation of assets made to assure payment. No Participant or other person shall have under any circumstances any interest in any particular property or assets of the Mondelēz Group as a result of participating in the Plan. Notwithstanding the foregoing, the Committee may authorize the creation of trusts or other arrangements to assist in accumulating funds to meet the obligations created under the Plan; provided, however, that, unless the Committee otherwise determines, the existence of such trusts or other arrangements is consistent with the "unfunded" status of the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6.9. </w:t>
      </w:r>
      <w:r>
        <w:rPr>
          <w:rFonts w:ascii="Times New Roman;sans-serif" w:hAnsi="Times New Roman;sans-serif"/>
          <w:b w:val="false"/>
          <w:color w:val="000000"/>
          <w:sz w:val="24"/>
          <w:u w:val="single"/>
        </w:rPr>
        <w:t>Reliance on Adoption of Plan</w:t>
      </w:r>
      <w:r>
        <w:rPr>
          <w:rFonts w:ascii="Times New Roman;sans-serif" w:hAnsi="Times New Roman;sans-serif"/>
          <w:b w:val="false"/>
          <w:color w:val="000000"/>
          <w:sz w:val="24"/>
        </w:rPr>
        <w:t>. Subject to Section 5.2, each person who shall become a Key Executive shall be deemed to have served and continue to serve in such capacity in reliance upon the Change in Control provisions contained in this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6.10. </w:t>
      </w:r>
      <w:r>
        <w:rPr>
          <w:rFonts w:ascii="Times New Roman;sans-serif" w:hAnsi="Times New Roman;sans-serif"/>
          <w:b w:val="false"/>
          <w:color w:val="000000"/>
          <w:sz w:val="24"/>
          <w:u w:val="single"/>
        </w:rPr>
        <w:t>Plan Supersedes Prior U.S. Arrangements</w:t>
      </w:r>
      <w:r>
        <w:rPr>
          <w:rFonts w:ascii="Times New Roman;sans-serif" w:hAnsi="Times New Roman;sans-serif"/>
          <w:b w:val="false"/>
          <w:color w:val="000000"/>
          <w:sz w:val="24"/>
        </w:rPr>
        <w:t xml:space="preserve">. For the period of two years following the occurrence of a Change in Control, the provisions of this Plan shall supersede, with respect to U.S. Participants, any and all plans, programs, policies and arrangements of the Mondelēz Group providing severance benefits other than the 2005 Plan and the 2024 Plan (except whereby Payments under the 2005 Plan and the 2024 Plan are reduced in accordance with Section 3.5 above).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351155"/>
                <wp:effectExtent l="0" t="0" r="0" b="0"/>
                <wp:wrapNone/>
                <wp:docPr id="504" name="Frame3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Company has caused this Plan to be executed by its duly authorized officer effective as of the Effective Date set forth above.</w:t>
      </w:r>
    </w:p>
    <w:p>
      <w:pPr>
        <w:pStyle w:val="TextBody"/>
        <w:bidi w:val="0"/>
        <w:spacing w:before="0" w:after="0"/>
        <w:jc w:val="both"/>
        <w:rPr/>
      </w:pPr>
      <w:r>
        <w:rPr/>
      </w:r>
    </w:p>
    <w:p>
      <w:pPr>
        <w:pStyle w:val="TextBody"/>
        <w:bidi w:val="0"/>
        <w:spacing w:before="0" w:after="0"/>
        <w:jc w:val="both"/>
        <w:rPr/>
      </w:pPr>
      <w:r>
        <w:rPr/>
      </w:r>
    </w:p>
    <w:tbl>
      <w:tblPr>
        <w:tblW w:w="7060" w:type="dxa"/>
        <w:jc w:val="left"/>
        <w:tblInd w:w="0" w:type="dxa"/>
        <w:tblLayout w:type="fixed"/>
        <w:tblCellMar>
          <w:top w:w="28" w:type="dxa"/>
          <w:left w:w="28" w:type="dxa"/>
          <w:bottom w:w="28" w:type="dxa"/>
          <w:right w:w="28" w:type="dxa"/>
        </w:tblCellMar>
      </w:tblPr>
      <w:tblGrid>
        <w:gridCol w:w="759"/>
        <w:gridCol w:w="668"/>
        <w:gridCol w:w="668"/>
        <w:gridCol w:w="1453"/>
        <w:gridCol w:w="1453"/>
        <w:gridCol w:w="205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706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MONDELĒZ INTERNATIONAL, INC.</w:t>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Stephanie Lilak</w:t>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Stephanie Lilak</w:t>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and Chief People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the Mondelēz International, Inc. Change in Control Plan for Key Executives as Amended May 21,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351155"/>
                <wp:effectExtent l="0" t="0" r="0" b="0"/>
                <wp:wrapNone/>
                <wp:docPr id="505" name="Frame3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THIS RELEASE</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is entered into between [insert name]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and [insert name]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for the benefit of the Company. Capitalized terms used and not defined herein shall have the meanings provided in the Mondelēz International, Inc. Change in Control Plan for Key Executives, as amended and restated on February 2, 2017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The entering into and non-revocation of this Release is a condition to Employee’s right to receive the amounts and benefits described in Section 3.3 of the Plan.</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Accordingly, Employee and the Company agree as follows: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1.    In consideration for the amounts and benefits described in Section 3.3 of the Plan , to which Employee is not otherwise entitled, and the sufficiency of which Employee acknowledges, Employee represents and agrees, as follows: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(a)    Employee, for himself, his heirs, administrators, representatives, executors, successors and assigns (collectively “</w:t>
      </w:r>
      <w:r>
        <w:rPr>
          <w:rFonts w:ascii="Times New Roman;sans-serif" w:hAnsi="Times New Roman;sans-serif"/>
          <w:b w:val="false"/>
          <w:color w:val="000000"/>
          <w:sz w:val="24"/>
          <w:u w:val="single"/>
        </w:rPr>
        <w:t>Releasers</w:t>
      </w:r>
      <w:r>
        <w:rPr>
          <w:color w:val="000000"/>
        </w:rPr>
        <w:t>”</w:t>
      </w:r>
      <w:r>
        <w:rPr>
          <w:rFonts w:ascii="Times New Roman;sans-serif" w:hAnsi="Times New Roman;sans-serif"/>
          <w:b w:val="false"/>
          <w:color w:val="000000"/>
          <w:sz w:val="24"/>
        </w:rPr>
        <w:t>), hereby irrevocably and unconditionally releases, acquits and forever discharges and agrees not to sue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Times New Roman;sans-serif" w:hAnsi="Times New Roman;sans-serif"/>
          <w:b w:val="false"/>
          <w:color w:val="000000"/>
          <w:sz w:val="24"/>
          <w:u w:val="single"/>
        </w:rPr>
        <w:t>Releasees</w:t>
      </w:r>
      <w:r>
        <w:rPr>
          <w:color w:val="000000"/>
        </w:rPr>
        <w:t>”</w:t>
      </w:r>
      <w:r>
        <w:rPr>
          <w:rFonts w:ascii="Times New Roman;sans-serif" w:hAnsi="Times New Roman;sans-serif"/>
          <w:b w:val="false"/>
          <w:color w:val="000000"/>
          <w:sz w:val="24"/>
        </w:rPr>
        <w:t>), from all claims, rights and liabilities up to and including the date of this Release arising from or relating to Employee’s employment with, or termination of employment from, the Company and its subsidiaries and affiliates,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Title VII of the Civil Rights Act of 1964, as amended, the Age Discrimination in Employment Act of 1967, as amended, 29 U.S.C. § 621 et seq.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the Americans with Disabilities Act of 1990, as amended, the Family Medical Leave Act of 1993, as amended, the Employee Retirement Income Security Act of 1974, as amended, the Vietnam Era Veterans’ Readjustment Assistance Act of 1974, as amended, the Worker Adjustment and Retraining Notification Act of 1988, as amended, or any other federal, state or municipal ordinance relating to discrimination in employment. Nothing contained herein shall restrict the parties’ rights to enforce the terms of this Release.</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(b)    To the maximum extent permitted by law, Employee agrees that he has not filed, nor will he ever file, a lawsuit asserting any claims which are released by this Release, or to accept any benefit from any lawsuit which might be filed by another person or government entity based in whole or in part on any event, act, or omission which is the subject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351155"/>
                <wp:effectExtent l="0" t="0" r="0" b="0"/>
                <wp:wrapNone/>
                <wp:docPr id="506" name="Frame3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(c)    This Release specifically excludes (i) Employee’s right to receive the amounts and benefits described in Section 3.3 of the Plan, (ii) Employee’s rights to vested amounts and benefits under any employee benefit plan of the Company or its affiliates, (iii) any claims arising after the date hereof and (iv) any claim or right Employee may have to indemnification or coverage under the Company’s or any of its affiliates’ respective bylaws or directors’ and officers’ insurance policies.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(d)    The parties agree that this Release shall not affect the rights and responsibilities of the US Equal Employment Opportunity Commission (hereinafter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to enforce ADEA and other laws. In addition, the parties agree that this Release shall not be used to justify interfering with Employee’s protected right to file a charge or participate in an investigation or proceeding conducted by the EEOC. The parties further agree that Employee knowingly and voluntarily waives all rights or claims (that arose prior to Employee’s execution of this Release) the Releasers may have against the Releasees, or any of them, to receive any benefit or remedial relief (including, but not limited to, reinstatement, back pay, front pay, damages, attorneys’ fees, experts’ fees) as a consequence of any investigation or proceeding conducted by the EEOC.</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2.    Employee acknowledges that the Company has specifically advised him of the right to seek the advice of an attorney concerning the terms and conditions of this Release. Employee further acknowledges that he has been furnished with a copy of this Release, and he has been afforded twenty-one (21) calendar days in which to consider the terms and conditions set forth above prior to this Release. By executing this Release, Employee affirmatively states that he has had sufficient and reasonable time to review this Release and to consult with an attorney concerning his legal rights prior to the final execution of this Release. Employee further agrees that he has carefully read this Release and fully understands its terms. Employee acknowledges that he has entered into this Release, knowingly, freely and voluntarily. Employee understands that he may revoke this Release within seven (7) calendar days after signing this Release. Revocation of this Release must be made in writing and must be received by [insert name] at the Company, [insert address], within the time period set forth above.</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3.    This Release will be governed by and construed in accordance with the laws of the State of [insert State], without giving effect to any choice of law or conflicting provision or rule (whether of the State of [insert State] or any other jurisdiction) that would cause the laws of any jurisdiction other than the State of [insert State] to be applied. In furtherance of the foregoing, the internal law of the State of [insert State] will control the interpretation and construction of this agreement, even if under such jurisdiction’s choice of law or conflict of law analysis, the substantive law of some other jurisdiction would ordinarily apply. The provisions of this Release are severable, and if any part or portion of it is found to be unenforceable, the other paragraphs shall remain fully valid and enforceable.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351155"/>
                <wp:effectExtent l="0" t="0" r="0" b="0"/>
                <wp:wrapNone/>
                <wp:docPr id="507" name="Frame3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 xml:space="preserve">4.    This Release shall become effective and enforceable on the eighth day following its execution by Employee,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he does not timely exercise his right of revocation as described above. If Employee fails to sign and deliver this Release or timely revokes this Release, this Release will be without force or effect, and Employee shall not be entitled to any of the amounts or benefits described in Section 3.3 of the Plan.</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EMPLOYEE:___________________        DATE:________________________</w:t>
      </w:r>
    </w:p>
    <w:p>
      <w:pPr>
        <w:pStyle w:val="TextBody"/>
        <w:bidi w:val="0"/>
        <w:spacing w:before="0" w:after="24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351155"/>
                <wp:effectExtent l="0" t="0" r="0" b="0"/>
                <wp:wrapNone/>
                <wp:docPr id="508" name="Frame3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30, 2024</w:t>
      </w:r>
    </w:p>
    <w:p>
      <w:pPr>
        <w:pStyle w:val="TextBody"/>
        <w:bidi w:val="0"/>
        <w:spacing w:lineRule="auto" w:line="288" w:before="0" w:after="0"/>
        <w:jc w:val="left"/>
        <w:rPr>
          <w:color w:val="000000"/>
        </w:rPr>
      </w:pPr>
      <w:r>
        <w:rPr>
          <w:color w:val="000000"/>
        </w:rPr>
        <w:t> </w:t>
      </w:r>
    </w:p>
    <w:tbl>
      <w:tblPr>
        <w:tblW w:w="3450" w:type="dxa"/>
        <w:jc w:val="right"/>
        <w:tblInd w:w="0" w:type="dxa"/>
        <w:tblLayout w:type="fixed"/>
        <w:tblCellMar>
          <w:top w:w="28" w:type="dxa"/>
          <w:left w:w="28" w:type="dxa"/>
          <w:bottom w:w="28" w:type="dxa"/>
          <w:right w:w="28" w:type="dxa"/>
        </w:tblCellMar>
      </w:tblPr>
      <w:tblGrid>
        <w:gridCol w:w="1099"/>
        <w:gridCol w:w="967"/>
        <w:gridCol w:w="1384"/>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509"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Luca Zaramella,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30, 2024</w:t>
      </w:r>
    </w:p>
    <w:p>
      <w:pPr>
        <w:pStyle w:val="TextBody"/>
        <w:bidi w:val="0"/>
        <w:spacing w:lineRule="auto" w:line="288" w:before="0" w:after="0"/>
        <w:jc w:val="left"/>
        <w:rPr>
          <w:color w:val="000000"/>
        </w:rPr>
      </w:pPr>
      <w:r>
        <w:rPr>
          <w:color w:val="000000"/>
        </w:rPr>
        <w:t> </w:t>
      </w:r>
    </w:p>
    <w:tbl>
      <w:tblPr>
        <w:tblW w:w="2744" w:type="dxa"/>
        <w:jc w:val="righ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br/>
              <w:t>Executive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510"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450" w:type="dxa"/>
        <w:jc w:val="left"/>
        <w:tblInd w:w="0" w:type="dxa"/>
        <w:tblLayout w:type="fixed"/>
        <w:tblCellMar>
          <w:top w:w="28" w:type="dxa"/>
          <w:left w:w="28" w:type="dxa"/>
          <w:bottom w:w="28" w:type="dxa"/>
          <w:right w:w="28" w:type="dxa"/>
        </w:tblCellMar>
      </w:tblPr>
      <w:tblGrid>
        <w:gridCol w:w="1104"/>
        <w:gridCol w:w="968"/>
        <w:gridCol w:w="1378"/>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30,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2744" w:type="dxa"/>
        <w:jc w:val="lef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30, 2024</w:t>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511"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Palatino">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342</Pages>
  <Words>202737</Words>
  <Characters>1093936</Characters>
  <CharactersWithSpaces>1292850</CharactersWithSpaces>
  <Paragraphs>8385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