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0" w:lineRule="exact"/>
        <w:rPr>
          <w:sz w:val="24"/>
          <w:szCs w:val="24"/>
          <w:color w:val="auto"/>
        </w:rPr>
      </w:pPr>
    </w:p>
    <w:p>
      <w:pPr>
        <w:ind w:left="1020" w:hanging="330"/>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2025</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5" w:lineRule="exact"/>
        <w:rPr>
          <w:sz w:val="24"/>
          <w:szCs w:val="24"/>
          <w:color w:val="auto"/>
        </w:rPr>
      </w:pPr>
    </w:p>
    <w:p>
      <w:pPr>
        <w:ind w:left="1040" w:hanging="337"/>
        <w:spacing w:after="0"/>
        <w:tabs>
          <w:tab w:leader="none" w:pos="10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p>
      <w:pPr>
        <w:jc w:val="right"/>
        <w:ind w:right="4400"/>
        <w:spacing w:after="0"/>
        <w:tabs>
          <w:tab w:leader="none" w:pos="45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3" w:lineRule="exact"/>
        <w:rPr>
          <w:sz w:val="24"/>
          <w:szCs w:val="24"/>
          <w:color w:val="auto"/>
        </w:rPr>
      </w:pPr>
    </w:p>
    <w:p>
      <w:pPr>
        <w:jc w:val="right"/>
        <w:ind w:right="4360"/>
        <w:spacing w:after="0"/>
        <w:rPr>
          <w:sz w:val="20"/>
          <w:szCs w:val="20"/>
          <w:color w:val="auto"/>
        </w:rPr>
      </w:pPr>
      <w:r>
        <w:rPr>
          <w:rFonts w:ascii="Arial" w:cs="Arial" w:eastAsia="Arial" w:hAnsi="Arial"/>
          <w:sz w:val="16"/>
          <w:szCs w:val="16"/>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46355</wp:posOffset>
            </wp:positionV>
            <wp:extent cx="908685"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8685" cy="22288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Mondelēz International,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48" w:lineRule="exact"/>
        <w:rPr>
          <w:sz w:val="24"/>
          <w:szCs w:val="24"/>
          <w:color w:val="auto"/>
        </w:rPr>
      </w:pPr>
    </w:p>
    <w:tbl>
      <w:tblPr>
        <w:tblLayout w:type="fixed"/>
        <w:tblInd w:w="960" w:type="dxa"/>
        <w:tblCellMar>
          <w:top w:w="0" w:type="dxa"/>
          <w:left w:w="0" w:type="dxa"/>
          <w:bottom w:w="0" w:type="dxa"/>
          <w:right w:w="0" w:type="dxa"/>
        </w:tblCellMar>
      </w:tblPr>
      <w:tr>
        <w:trPr>
          <w:trHeight w:val="196"/>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Virginia</w:t>
            </w:r>
          </w:p>
        </w:tc>
        <w:tc>
          <w:tcPr>
            <w:tcW w:w="3540" w:type="dxa"/>
            <w:vAlign w:val="bottom"/>
          </w:tcPr>
          <w:p>
            <w:pPr>
              <w:jc w:val="right"/>
              <w:ind w:right="668"/>
              <w:spacing w:after="0"/>
              <w:rPr>
                <w:sz w:val="20"/>
                <w:szCs w:val="20"/>
                <w:color w:val="auto"/>
              </w:rPr>
            </w:pPr>
            <w:r>
              <w:rPr>
                <w:rFonts w:ascii="Arial" w:cs="Arial" w:eastAsia="Arial" w:hAnsi="Arial"/>
                <w:sz w:val="14"/>
                <w:szCs w:val="14"/>
                <w:b w:val="1"/>
                <w:bCs w:val="1"/>
                <w:color w:val="auto"/>
              </w:rPr>
              <w:t>52-2284372</w:t>
            </w:r>
          </w:p>
        </w:tc>
      </w:tr>
      <w:tr>
        <w:trPr>
          <w:trHeight w:val="197"/>
        </w:trPr>
        <w:tc>
          <w:tcPr>
            <w:tcW w:w="5040" w:type="dxa"/>
            <w:vAlign w:val="bottom"/>
          </w:tcPr>
          <w:p>
            <w:pPr>
              <w:jc w:val="center"/>
              <w:ind w:right="1248"/>
              <w:spacing w:after="0"/>
              <w:rPr>
                <w:sz w:val="20"/>
                <w:szCs w:val="20"/>
                <w:color w:val="auto"/>
              </w:rPr>
            </w:pPr>
            <w:r>
              <w:rPr>
                <w:rFonts w:ascii="Arial" w:cs="Arial" w:eastAsia="Arial" w:hAnsi="Arial"/>
                <w:sz w:val="14"/>
                <w:szCs w:val="14"/>
                <w:color w:val="auto"/>
              </w:rPr>
              <w:t>(State or other jurisdiction of incorporation or organization)</w:t>
            </w:r>
          </w:p>
        </w:tc>
        <w:tc>
          <w:tcPr>
            <w:tcW w:w="3540" w:type="dxa"/>
            <w:vAlign w:val="bottom"/>
          </w:tcPr>
          <w:p>
            <w:pPr>
              <w:jc w:val="center"/>
              <w:ind w:left="1248"/>
              <w:spacing w:after="0"/>
              <w:rPr>
                <w:sz w:val="20"/>
                <w:szCs w:val="20"/>
                <w:color w:val="auto"/>
              </w:rPr>
            </w:pPr>
            <w:r>
              <w:rPr>
                <w:rFonts w:ascii="Arial" w:cs="Arial" w:eastAsia="Arial" w:hAnsi="Arial"/>
                <w:sz w:val="14"/>
                <w:szCs w:val="14"/>
                <w:color w:val="auto"/>
              </w:rPr>
              <w:t>(I.R.S. Employer Identification No.)</w:t>
            </w:r>
          </w:p>
        </w:tc>
      </w:tr>
      <w:tr>
        <w:trPr>
          <w:trHeight w:val="262"/>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905 West Fulton Market, Suite 200</w:t>
            </w:r>
          </w:p>
        </w:tc>
        <w:tc>
          <w:tcPr>
            <w:tcW w:w="3540" w:type="dxa"/>
            <w:vAlign w:val="bottom"/>
          </w:tcPr>
          <w:p>
            <w:pPr>
              <w:spacing w:after="0"/>
              <w:rPr>
                <w:sz w:val="22"/>
                <w:szCs w:val="22"/>
                <w:color w:val="auto"/>
              </w:rPr>
            </w:pPr>
          </w:p>
        </w:tc>
      </w:tr>
      <w:tr>
        <w:trPr>
          <w:trHeight w:val="203"/>
        </w:trPr>
        <w:tc>
          <w:tcPr>
            <w:tcW w:w="5040" w:type="dxa"/>
            <w:vAlign w:val="bottom"/>
          </w:tcPr>
          <w:p>
            <w:pPr>
              <w:ind w:left="1240"/>
              <w:spacing w:after="0"/>
              <w:rPr>
                <w:sz w:val="20"/>
                <w:szCs w:val="20"/>
                <w:color w:val="auto"/>
              </w:rPr>
            </w:pPr>
            <w:r>
              <w:rPr>
                <w:rFonts w:ascii="Arial" w:cs="Arial" w:eastAsia="Arial" w:hAnsi="Arial"/>
                <w:sz w:val="14"/>
                <w:szCs w:val="14"/>
                <w:b w:val="1"/>
                <w:bCs w:val="1"/>
                <w:color w:val="auto"/>
              </w:rPr>
              <w:t>Chicago, Illinois</w:t>
            </w:r>
          </w:p>
        </w:tc>
        <w:tc>
          <w:tcPr>
            <w:tcW w:w="3540" w:type="dxa"/>
            <w:vAlign w:val="bottom"/>
          </w:tcPr>
          <w:p>
            <w:pPr>
              <w:jc w:val="right"/>
              <w:ind w:right="848"/>
              <w:spacing w:after="0"/>
              <w:rPr>
                <w:sz w:val="20"/>
                <w:szCs w:val="20"/>
                <w:color w:val="auto"/>
              </w:rPr>
            </w:pPr>
            <w:r>
              <w:rPr>
                <w:rFonts w:ascii="Arial" w:cs="Arial" w:eastAsia="Arial" w:hAnsi="Arial"/>
                <w:sz w:val="14"/>
                <w:szCs w:val="14"/>
                <w:b w:val="1"/>
                <w:bCs w:val="1"/>
                <w:color w:val="auto"/>
              </w:rPr>
              <w:t>60607</w:t>
            </w:r>
          </w:p>
        </w:tc>
      </w:tr>
      <w:tr>
        <w:trPr>
          <w:trHeight w:val="197"/>
        </w:trPr>
        <w:tc>
          <w:tcPr>
            <w:tcW w:w="5040" w:type="dxa"/>
            <w:vAlign w:val="bottom"/>
          </w:tcPr>
          <w:p>
            <w:pPr>
              <w:jc w:val="center"/>
              <w:ind w:right="1228"/>
              <w:spacing w:after="0"/>
              <w:rPr>
                <w:sz w:val="20"/>
                <w:szCs w:val="20"/>
                <w:color w:val="auto"/>
              </w:rPr>
            </w:pPr>
            <w:r>
              <w:rPr>
                <w:rFonts w:ascii="Arial" w:cs="Arial" w:eastAsia="Arial" w:hAnsi="Arial"/>
                <w:sz w:val="14"/>
                <w:szCs w:val="14"/>
                <w:color w:val="auto"/>
              </w:rPr>
              <w:t>(Address of principal executive offices)</w:t>
            </w:r>
          </w:p>
        </w:tc>
        <w:tc>
          <w:tcPr>
            <w:tcW w:w="3540" w:type="dxa"/>
            <w:vAlign w:val="bottom"/>
          </w:tcPr>
          <w:p>
            <w:pPr>
              <w:jc w:val="center"/>
              <w:ind w:left="1228"/>
              <w:spacing w:after="0"/>
              <w:rPr>
                <w:sz w:val="20"/>
                <w:szCs w:val="20"/>
                <w:color w:val="auto"/>
              </w:rPr>
            </w:pPr>
            <w:r>
              <w:rPr>
                <w:rFonts w:ascii="Arial" w:cs="Arial" w:eastAsia="Arial" w:hAnsi="Arial"/>
                <w:sz w:val="14"/>
                <w:szCs w:val="14"/>
                <w:color w:val="auto"/>
              </w:rPr>
              <w:t>(Zip Code)</w:t>
            </w:r>
          </w:p>
        </w:tc>
      </w:tr>
    </w:tbl>
    <w:p>
      <w:pPr>
        <w:spacing w:after="0" w:line="80"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 943-4000</w:t>
      </w:r>
    </w:p>
    <w:p>
      <w:pPr>
        <w:spacing w:after="0" w:line="69" w:lineRule="exact"/>
        <w:rPr>
          <w:sz w:val="24"/>
          <w:szCs w:val="24"/>
          <w:color w:val="auto"/>
        </w:rPr>
      </w:pPr>
    </w:p>
    <w:p>
      <w:pPr>
        <w:ind w:left="5120"/>
        <w:spacing w:after="0"/>
        <w:rPr>
          <w:sz w:val="20"/>
          <w:szCs w:val="20"/>
          <w:color w:val="auto"/>
        </w:rPr>
      </w:pPr>
      <w:r>
        <w:rPr>
          <w:rFonts w:ascii="Arial" w:cs="Arial" w:eastAsia="Arial" w:hAnsi="Arial"/>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10"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vMerge w:val="restart"/>
          </w:tcPr>
          <w:p>
            <w:pPr>
              <w:spacing w:after="0"/>
              <w:rPr>
                <w:sz w:val="14"/>
                <w:szCs w:val="14"/>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Trading</w:t>
            </w:r>
          </w:p>
        </w:tc>
        <w:tc>
          <w:tcPr>
            <w:tcW w:w="4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0" w:type="dxa"/>
            <w:vAlign w:val="bottom"/>
            <w:gridSpan w:val="2"/>
          </w:tcPr>
          <w:p>
            <w:pPr>
              <w:jc w:val="center"/>
              <w:ind w:right="120"/>
              <w:spacing w:after="0"/>
              <w:rPr>
                <w:sz w:val="20"/>
                <w:szCs w:val="20"/>
                <w:color w:val="auto"/>
              </w:rPr>
            </w:pPr>
            <w:r>
              <w:rPr>
                <w:rFonts w:ascii="Arial" w:cs="Arial" w:eastAsia="Arial" w:hAnsi="Arial"/>
                <w:sz w:val="14"/>
                <w:szCs w:val="14"/>
                <w:color w:val="auto"/>
              </w:rPr>
              <w:t>Class A Common Stock, no par value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MDLZ</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1.625% Notes due 2027</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MDLZ27</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0.250% Notes due 2028</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MDLZ28</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0.750% Notes due 2033</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MDLZ33</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2.375%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MDLZ35</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4.500%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MDLZ35A</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2"/>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1.375% Notes due 2041</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MDLZ41</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3.875% Notes due 2045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MDLZ45</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107" w:lineRule="exact"/>
        <w:rPr>
          <w:sz w:val="24"/>
          <w:szCs w:val="24"/>
          <w:color w:val="auto"/>
        </w:rPr>
      </w:pPr>
    </w:p>
    <w:p>
      <w:pPr>
        <w:jc w:val="both"/>
        <w:spacing w:after="0" w:line="21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9"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00" w:type="dxa"/>
            <w:vAlign w:val="bottom"/>
          </w:tcPr>
          <w:p>
            <w:pPr>
              <w:ind w:left="920"/>
              <w:spacing w:after="0"/>
              <w:rPr>
                <w:sz w:val="20"/>
                <w:szCs w:val="20"/>
                <w:color w:val="auto"/>
              </w:rPr>
            </w:pPr>
            <w:r>
              <w:rPr>
                <w:rFonts w:ascii="Wingdings" w:cs="Wingdings" w:eastAsia="Wingdings" w:hAnsi="Wingdings"/>
                <w:sz w:val="14"/>
                <w:szCs w:val="14"/>
                <w:b w:val="1"/>
                <w:bCs w:val="1"/>
                <w:color w:val="auto"/>
              </w:rPr>
              <w:t>x</w:t>
            </w:r>
          </w:p>
        </w:tc>
        <w:tc>
          <w:tcPr>
            <w:tcW w:w="4420" w:type="dxa"/>
            <w:vAlign w:val="bottom"/>
          </w:tcPr>
          <w:p>
            <w:pPr>
              <w:ind w:left="192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36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192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3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420" w:type="dxa"/>
            <w:vAlign w:val="bottom"/>
          </w:tcPr>
          <w:p>
            <w:pPr>
              <w:ind w:left="1920"/>
              <w:spacing w:after="0"/>
              <w:rPr>
                <w:sz w:val="20"/>
                <w:szCs w:val="20"/>
                <w:color w:val="auto"/>
              </w:rPr>
            </w:pPr>
            <w:r>
              <w:rPr>
                <w:rFonts w:ascii="Arial" w:cs="Arial" w:eastAsia="Arial" w:hAnsi="Arial"/>
                <w:sz w:val="14"/>
                <w:szCs w:val="14"/>
                <w:color w:val="auto"/>
              </w:rPr>
              <w:t>Emerging growth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7"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At July 24, 2025, there were 1,293,945,412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Page No.</w:t>
            </w:r>
          </w:p>
        </w:tc>
        <w:tc>
          <w:tcPr>
            <w:tcW w:w="0" w:type="dxa"/>
            <w:vAlign w:val="bottom"/>
          </w:tcPr>
          <w:p>
            <w:pPr>
              <w:spacing w:after="0"/>
              <w:rPr>
                <w:sz w:val="1"/>
                <w:szCs w:val="1"/>
                <w:color w:val="auto"/>
              </w:rPr>
            </w:pPr>
          </w:p>
        </w:tc>
      </w:tr>
      <w:tr>
        <w:trPr>
          <w:trHeight w:val="148"/>
        </w:trPr>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0000FF"/>
              </w:rPr>
              <w:t>PART I</w:t>
            </w:r>
          </w:p>
        </w:tc>
        <w:tc>
          <w:tcPr>
            <w:tcW w:w="9840" w:type="dxa"/>
            <w:vAlign w:val="bottom"/>
            <w:gridSpan w:val="16"/>
          </w:tcPr>
          <w:p>
            <w:pPr>
              <w:spacing w:after="0" w:line="149" w:lineRule="exact"/>
              <w:rPr>
                <w:sz w:val="20"/>
                <w:szCs w:val="20"/>
                <w:color w:val="auto"/>
              </w:rPr>
            </w:pPr>
            <w:r>
              <w:rPr>
                <w:rFonts w:ascii="Arial" w:cs="Arial" w:eastAsia="Arial" w:hAnsi="Arial"/>
                <w:sz w:val="14"/>
                <w:szCs w:val="14"/>
                <w:b w:val="1"/>
                <w:bCs w:val="1"/>
                <w:color w:val="auto"/>
              </w:rPr>
              <w:t>FINANCIAL INFORMATION</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460" w:type="dxa"/>
            <w:vAlign w:val="bottom"/>
            <w:tcBorders>
              <w:top w:val="single" w:sz="8" w:color="0000FF"/>
            </w:tcBorders>
          </w:tcPr>
          <w:p>
            <w:pPr>
              <w:spacing w:after="0"/>
              <w:rPr>
                <w:sz w:val="20"/>
                <w:szCs w:val="20"/>
                <w:color w:val="auto"/>
              </w:rPr>
            </w:pPr>
            <w:r>
              <w:rPr>
                <w:rFonts w:ascii="Arial" w:cs="Arial" w:eastAsia="Arial" w:hAnsi="Arial"/>
                <w:sz w:val="14"/>
                <w:szCs w:val="14"/>
                <w:color w:val="auto"/>
              </w:rPr>
              <w:t>Item 1.</w:t>
            </w:r>
          </w:p>
        </w:tc>
        <w:tc>
          <w:tcPr>
            <w:tcW w:w="340" w:type="dxa"/>
            <w:vAlign w:val="bottom"/>
            <w:gridSpan w:val="2"/>
          </w:tcPr>
          <w:p>
            <w:pPr>
              <w:spacing w:after="0"/>
              <w:rPr>
                <w:sz w:val="23"/>
                <w:szCs w:val="23"/>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auto"/>
              </w:rPr>
              <w:t>Financial Statements (Unaudited)</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98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rPr>
              <w:t>Condensed Consolidated Statements of Earnings for the Three and Six Months Ended June 30, 2025 and 2024</w:t>
            </w:r>
          </w:p>
        </w:tc>
        <w:tc>
          <w:tcPr>
            <w:tcW w:w="2860" w:type="dxa"/>
            <w:vAlign w:val="bottom"/>
            <w:gridSpan w:val="2"/>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0000FF"/>
              </w:rPr>
              <w:t>Condensed Consolidated Statements of Comprehensive Earnings for the Three and Six Months Ended June 30, 2025 and 2024</w:t>
            </w: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0" w:type="dxa"/>
            <w:vAlign w:val="bottom"/>
            <w:tcBorders>
              <w:top w:val="single" w:sz="8" w:color="0000FF"/>
            </w:tcBorders>
            <w:gridSpan w:val="15"/>
          </w:tcPr>
          <w:p>
            <w:pPr>
              <w:spacing w:after="0"/>
              <w:rPr>
                <w:sz w:val="20"/>
                <w:szCs w:val="20"/>
                <w:color w:val="auto"/>
              </w:rPr>
            </w:pPr>
            <w:r>
              <w:rPr>
                <w:rFonts w:ascii="Arial" w:cs="Arial" w:eastAsia="Arial" w:hAnsi="Arial"/>
                <w:sz w:val="14"/>
                <w:szCs w:val="14"/>
                <w:color w:val="0000FF"/>
              </w:rPr>
              <w:t>Condensed Consolidated Balance Sheets at June 30, 2025 and December 31, 2024</w:t>
            </w:r>
          </w:p>
        </w:tc>
        <w:tc>
          <w:tcPr>
            <w:tcW w:w="1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0000FF"/>
              </w:rPr>
              <w:t>Condensed Consolidated Statements of Equity for the Three and Six Months Ended June 30, 2025 and 2024</w:t>
            </w: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8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4"/>
                <w:szCs w:val="14"/>
                <w:color w:val="0000FF"/>
              </w:rPr>
              <w:t>Condensed Consolidated Statements of Cash Flows for the Six Months Ended June 30, 2025 and 2024</w:t>
            </w:r>
          </w:p>
        </w:tc>
        <w:tc>
          <w:tcPr>
            <w:tcW w:w="320" w:type="dxa"/>
            <w:vAlign w:val="bottom"/>
            <w:tcBorders>
              <w:top w:val="single" w:sz="8" w:color="0000FF"/>
            </w:tcBorders>
          </w:tcPr>
          <w:p>
            <w:pPr>
              <w:spacing w:after="0"/>
              <w:rPr>
                <w:sz w:val="15"/>
                <w:szCs w:val="15"/>
                <w:color w:val="auto"/>
              </w:rPr>
            </w:pPr>
          </w:p>
        </w:tc>
        <w:tc>
          <w:tcPr>
            <w:tcW w:w="3040" w:type="dxa"/>
            <w:vAlign w:val="bottom"/>
            <w:gridSpan w:val="3"/>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0000FF"/>
              </w:rPr>
              <w:t>Notes to Condensed Consolidated Financial Statements</w:t>
            </w: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line="20" w:lineRule="exact"/>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2.</w:t>
            </w:r>
          </w:p>
        </w:tc>
        <w:tc>
          <w:tcPr>
            <w:tcW w:w="556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4280" w:type="dxa"/>
            <w:vAlign w:val="bottom"/>
            <w:gridSpan w:val="5"/>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3.</w:t>
            </w:r>
          </w:p>
        </w:tc>
        <w:tc>
          <w:tcPr>
            <w:tcW w:w="368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6160" w:type="dxa"/>
            <w:vAlign w:val="bottom"/>
            <w:gridSpan w:val="8"/>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color w:val="auto"/>
              </w:rPr>
              <w:t>Item 4.</w:t>
            </w:r>
          </w:p>
        </w:tc>
        <w:tc>
          <w:tcPr>
            <w:tcW w:w="9840" w:type="dxa"/>
            <w:vAlign w:val="bottom"/>
            <w:gridSpan w:val="16"/>
          </w:tcPr>
          <w:p>
            <w:pPr>
              <w:spacing w:after="0"/>
              <w:rPr>
                <w:sz w:val="20"/>
                <w:szCs w:val="20"/>
                <w:color w:val="auto"/>
              </w:rPr>
            </w:pPr>
            <w:r>
              <w:rPr>
                <w:rFonts w:ascii="Arial" w:cs="Arial" w:eastAsia="Arial" w:hAnsi="Arial"/>
                <w:sz w:val="14"/>
                <w:szCs w:val="14"/>
                <w:color w:val="0000FF"/>
              </w:rPr>
              <w:t>Controls and Procedures</w:t>
            </w:r>
          </w:p>
        </w:tc>
        <w:tc>
          <w:tcPr>
            <w:tcW w:w="5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b w:val="1"/>
                <w:bCs w:val="1"/>
                <w:color w:val="0000FF"/>
              </w:rPr>
              <w:t>PART II</w:t>
            </w:r>
          </w:p>
        </w:tc>
        <w:tc>
          <w:tcPr>
            <w:tcW w:w="1540" w:type="dxa"/>
            <w:vAlign w:val="bottom"/>
            <w:tcBorders>
              <w:top w:val="single" w:sz="8" w:color="0000FF"/>
            </w:tcBorders>
            <w:gridSpan w:val="6"/>
          </w:tcPr>
          <w:p>
            <w:pPr>
              <w:spacing w:after="0"/>
              <w:rPr>
                <w:sz w:val="20"/>
                <w:szCs w:val="20"/>
                <w:color w:val="auto"/>
              </w:rPr>
            </w:pPr>
            <w:r>
              <w:rPr>
                <w:rFonts w:ascii="Arial" w:cs="Arial" w:eastAsia="Arial" w:hAnsi="Arial"/>
                <w:sz w:val="14"/>
                <w:szCs w:val="14"/>
                <w:b w:val="1"/>
                <w:bCs w:val="1"/>
                <w:color w:val="auto"/>
              </w:rPr>
              <w:t>OTHER INFORMATION</w:t>
            </w:r>
          </w:p>
        </w:tc>
        <w:tc>
          <w:tcPr>
            <w:tcW w:w="8300" w:type="dxa"/>
            <w:vAlign w:val="bottom"/>
            <w:gridSpan w:val="10"/>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auto"/>
              </w:rPr>
              <w:t>Item 1.</w:t>
            </w:r>
          </w:p>
        </w:tc>
        <w:tc>
          <w:tcPr>
            <w:tcW w:w="300" w:type="dxa"/>
            <w:vAlign w:val="bottom"/>
          </w:tcPr>
          <w:p>
            <w:pPr>
              <w:spacing w:after="0"/>
              <w:rPr>
                <w:sz w:val="20"/>
                <w:szCs w:val="20"/>
                <w:color w:val="auto"/>
              </w:rPr>
            </w:pPr>
          </w:p>
        </w:tc>
        <w:tc>
          <w:tcPr>
            <w:tcW w:w="116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w w:val="98"/>
              </w:rPr>
              <w:t>Legal Proceedings</w:t>
            </w:r>
          </w:p>
        </w:tc>
        <w:tc>
          <w:tcPr>
            <w:tcW w:w="8680" w:type="dxa"/>
            <w:vAlign w:val="bottom"/>
            <w:gridSpan w:val="11"/>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1A.</w:t>
            </w:r>
          </w:p>
        </w:tc>
        <w:tc>
          <w:tcPr>
            <w:tcW w:w="9840" w:type="dxa"/>
            <w:vAlign w:val="bottom"/>
            <w:gridSpan w:val="16"/>
          </w:tcPr>
          <w:p>
            <w:pPr>
              <w:spacing w:after="0"/>
              <w:rPr>
                <w:sz w:val="20"/>
                <w:szCs w:val="20"/>
                <w:color w:val="auto"/>
              </w:rPr>
            </w:pPr>
            <w:r>
              <w:rPr>
                <w:rFonts w:ascii="Arial" w:cs="Arial" w:eastAsia="Arial" w:hAnsi="Arial"/>
                <w:sz w:val="14"/>
                <w:szCs w:val="14"/>
                <w:color w:val="0000FF"/>
              </w:rPr>
              <w:t>Risk Factors</w:t>
            </w:r>
          </w:p>
        </w:tc>
        <w:tc>
          <w:tcPr>
            <w:tcW w:w="5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800" w:type="dxa"/>
            <w:vAlign w:val="bottom"/>
            <w:tcBorders>
              <w:right w:val="single" w:sz="8" w:color="0000FF"/>
            </w:tcBorders>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6040" w:type="dxa"/>
            <w:vAlign w:val="bottom"/>
            <w:gridSpan w:val="7"/>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line="20" w:lineRule="exact"/>
              <w:rPr>
                <w:sz w:val="1"/>
                <w:szCs w:val="1"/>
                <w:color w:val="auto"/>
              </w:rPr>
            </w:pPr>
          </w:p>
        </w:tc>
      </w:tr>
      <w:tr>
        <w:trPr>
          <w:trHeight w:val="236"/>
        </w:trPr>
        <w:tc>
          <w:tcPr>
            <w:tcW w:w="800" w:type="dxa"/>
            <w:vAlign w:val="bottom"/>
            <w:gridSpan w:val="3"/>
          </w:tcPr>
          <w:p>
            <w:pPr>
              <w:spacing w:after="0"/>
              <w:rPr>
                <w:sz w:val="20"/>
                <w:szCs w:val="20"/>
                <w:color w:val="auto"/>
              </w:rPr>
            </w:pPr>
            <w:r>
              <w:rPr>
                <w:rFonts w:ascii="Arial" w:cs="Arial" w:eastAsia="Arial" w:hAnsi="Arial"/>
                <w:sz w:val="14"/>
                <w:szCs w:val="14"/>
                <w:color w:val="auto"/>
              </w:rPr>
              <w:t>Item 2.</w:t>
            </w:r>
          </w:p>
        </w:tc>
        <w:tc>
          <w:tcPr>
            <w:tcW w:w="9840" w:type="dxa"/>
            <w:vAlign w:val="bottom"/>
            <w:gridSpan w:val="16"/>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5.</w:t>
            </w:r>
          </w:p>
        </w:tc>
        <w:tc>
          <w:tcPr>
            <w:tcW w:w="3800" w:type="dxa"/>
            <w:vAlign w:val="bottom"/>
            <w:tcBorders>
              <w:top w:val="single" w:sz="8" w:color="0000FF"/>
            </w:tcBorders>
            <w:gridSpan w:val="9"/>
          </w:tcPr>
          <w:p>
            <w:pPr>
              <w:spacing w:after="0"/>
              <w:rPr>
                <w:sz w:val="20"/>
                <w:szCs w:val="20"/>
                <w:color w:val="auto"/>
              </w:rPr>
            </w:pPr>
            <w:r>
              <w:rPr>
                <w:rFonts w:ascii="Arial" w:cs="Arial" w:eastAsia="Arial" w:hAnsi="Arial"/>
                <w:sz w:val="14"/>
                <w:szCs w:val="14"/>
                <w:color w:val="0000FF"/>
              </w:rPr>
              <w:t>Other Information</w:t>
            </w:r>
          </w:p>
        </w:tc>
        <w:tc>
          <w:tcPr>
            <w:tcW w:w="6040" w:type="dxa"/>
            <w:vAlign w:val="bottom"/>
            <w:gridSpan w:val="7"/>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color w:val="auto"/>
              </w:rPr>
              <w:t>Item 6.</w:t>
            </w:r>
          </w:p>
        </w:tc>
        <w:tc>
          <w:tcPr>
            <w:tcW w:w="4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w w:val="93"/>
              </w:rPr>
              <w:t>Exhibits</w:t>
            </w:r>
          </w:p>
        </w:tc>
        <w:tc>
          <w:tcPr>
            <w:tcW w:w="600" w:type="dxa"/>
            <w:vAlign w:val="bottom"/>
            <w:tcBorders>
              <w:top w:val="single" w:sz="8" w:color="0000FF"/>
            </w:tcBorders>
            <w:gridSpan w:val="3"/>
          </w:tcPr>
          <w:p>
            <w:pPr>
              <w:spacing w:after="0"/>
              <w:rPr>
                <w:sz w:val="20"/>
                <w:szCs w:val="20"/>
                <w:color w:val="auto"/>
              </w:rPr>
            </w:pPr>
          </w:p>
        </w:tc>
        <w:tc>
          <w:tcPr>
            <w:tcW w:w="8760" w:type="dxa"/>
            <w:vAlign w:val="bottom"/>
            <w:gridSpan w:val="12"/>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40" w:type="dxa"/>
            <w:vAlign w:val="bottom"/>
            <w:gridSpan w:val="16"/>
          </w:tcPr>
          <w:p>
            <w:pPr>
              <w:spacing w:after="0"/>
              <w:rPr>
                <w:sz w:val="20"/>
                <w:szCs w:val="20"/>
                <w:color w:val="auto"/>
              </w:rPr>
            </w:pPr>
            <w:r>
              <w:rPr>
                <w:rFonts w:ascii="Arial" w:cs="Arial" w:eastAsia="Arial" w:hAnsi="Arial"/>
                <w:sz w:val="14"/>
                <w:szCs w:val="14"/>
                <w:color w:val="0000FF"/>
              </w:rPr>
              <w:t>Signature</w:t>
            </w:r>
          </w:p>
        </w:tc>
        <w:tc>
          <w:tcPr>
            <w:tcW w:w="58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255905</wp:posOffset>
            </wp:positionV>
            <wp:extent cx="282575"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8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17,633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(10,086)</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 and exit costs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Benefit plan non-service (expense)/income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Earnings before income taxes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Loss on equity method investment transactions</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net earnings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Noncontrolling interest earnings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5200" w:type="dxa"/>
            <w:vAlign w:val="bottom"/>
          </w:tcPr>
          <w:p>
            <w:pPr>
              <w:ind w:left="220"/>
              <w:spacing w:after="0" w:line="156" w:lineRule="exact"/>
              <w:rPr>
                <w:sz w:val="20"/>
                <w:szCs w:val="20"/>
                <w:color w:val="auto"/>
              </w:rPr>
            </w:pPr>
            <w:r>
              <w:rPr>
                <w:rFonts w:ascii="Arial" w:cs="Arial" w:eastAsia="Arial" w:hAnsi="Arial"/>
                <w:sz w:val="18"/>
                <w:szCs w:val="18"/>
                <w:color w:val="auto"/>
              </w:rPr>
              <w:t>Net earnings attributable to</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1"/>
        </w:trPr>
        <w:tc>
          <w:tcPr>
            <w:tcW w:w="5200" w:type="dxa"/>
            <w:vAlign w:val="bottom"/>
          </w:tcPr>
          <w:p>
            <w:pPr>
              <w:ind w:left="38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data:</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220"/>
              <w:spacing w:after="0" w:line="176" w:lineRule="exact"/>
              <w:rPr>
                <w:sz w:val="20"/>
                <w:szCs w:val="20"/>
                <w:color w:val="auto"/>
              </w:rPr>
            </w:pPr>
            <w:r>
              <w:rPr>
                <w:rFonts w:ascii="Arial" w:cs="Arial" w:eastAsia="Arial" w:hAnsi="Arial"/>
                <w:sz w:val="18"/>
                <w:szCs w:val="18"/>
                <w:color w:val="auto"/>
              </w:rPr>
              <w:t>Basic earnings per share attributable to</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5"/>
                <w:szCs w:val="15"/>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5"/>
                <w:szCs w:val="15"/>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1"/>
        </w:trPr>
        <w:tc>
          <w:tcPr>
            <w:tcW w:w="5200" w:type="dxa"/>
            <w:vAlign w:val="bottom"/>
          </w:tcPr>
          <w:p>
            <w:pPr>
              <w:ind w:left="38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20"/>
              <w:spacing w:after="0" w:line="142" w:lineRule="exact"/>
              <w:rPr>
                <w:sz w:val="20"/>
                <w:szCs w:val="20"/>
                <w:color w:val="auto"/>
              </w:rPr>
            </w:pPr>
            <w:r>
              <w:rPr>
                <w:rFonts w:ascii="Arial" w:cs="Arial" w:eastAsia="Arial" w:hAnsi="Arial"/>
                <w:sz w:val="16"/>
                <w:szCs w:val="16"/>
                <w:color w:val="auto"/>
              </w:rPr>
              <w:t>Diluted earnings per share attributable to</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Pension and other benefit plans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cash flow hedges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earnings/(losses)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175"/>
        </w:trPr>
        <w:tc>
          <w:tcPr>
            <w:tcW w:w="5200" w:type="dxa"/>
            <w:vAlign w:val="bottom"/>
          </w:tcPr>
          <w:p>
            <w:pPr>
              <w:ind w:left="140"/>
              <w:spacing w:after="0" w:line="176" w:lineRule="exact"/>
              <w:rPr>
                <w:sz w:val="20"/>
                <w:szCs w:val="20"/>
                <w:color w:val="auto"/>
              </w:rPr>
            </w:pPr>
            <w:r>
              <w:rPr>
                <w:rFonts w:ascii="Arial" w:cs="Arial" w:eastAsia="Arial" w:hAnsi="Arial"/>
                <w:sz w:val="18"/>
                <w:szCs w:val="18"/>
                <w:color w:val="auto"/>
              </w:rPr>
              <w:t>less: Comprehensive earnings/(losses)</w:t>
            </w:r>
          </w:p>
        </w:tc>
        <w:tc>
          <w:tcPr>
            <w:tcW w:w="8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200" w:type="dxa"/>
            <w:vAlign w:val="bottom"/>
          </w:tcPr>
          <w:p>
            <w:pPr>
              <w:ind w:left="300"/>
              <w:spacing w:after="0"/>
              <w:rPr>
                <w:sz w:val="20"/>
                <w:szCs w:val="20"/>
                <w:color w:val="auto"/>
              </w:rPr>
            </w:pPr>
            <w:r>
              <w:rPr>
                <w:rFonts w:ascii="Arial" w:cs="Arial" w:eastAsia="Arial" w:hAnsi="Arial"/>
                <w:sz w:val="18"/>
                <w:szCs w:val="18"/>
                <w:color w:val="auto"/>
              </w:rPr>
              <w:t>attributable to noncontrolling interests</w:t>
            </w:r>
          </w:p>
        </w:tc>
        <w:tc>
          <w:tcPr>
            <w:tcW w:w="88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2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Comprehensive earnings/(losses) attributable to</w:t>
            </w:r>
          </w:p>
        </w:tc>
        <w:tc>
          <w:tcPr>
            <w:tcW w:w="880" w:type="dxa"/>
            <w:vAlign w:val="bottom"/>
            <w:tcBorders>
              <w:top w:val="single" w:sz="8" w:color="auto"/>
            </w:tcBorders>
            <w:vMerge w:val="restart"/>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1,059</w:t>
            </w: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5"/>
        </w:trPr>
        <w:tc>
          <w:tcPr>
            <w:tcW w:w="7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less allowance ($38 and $37, respectively)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Other receivables, less allowance ($40 and $37, respectively)</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23,017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18,848</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Prepaid pension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68,497</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19,549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41,539</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Common Stock, no par value (5,000,000,000 shares authorized, 1,996,537,778 shares issued)</w:t>
            </w: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32,276</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36,476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Treasury stock, at cost (702,842,632 and 678,708,640 shares, respectively)</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Mondelēz International Shareholders’ Equity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26,958</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68,497</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43180</wp:posOffset>
            </wp:positionV>
            <wp:extent cx="2825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8"/>
          </w:tcPr>
          <w:p>
            <w:pPr>
              <w:ind w:left="320"/>
              <w:spacing w:after="0"/>
              <w:rPr>
                <w:sz w:val="20"/>
                <w:szCs w:val="20"/>
                <w:color w:val="auto"/>
              </w:rPr>
            </w:pPr>
            <w:r>
              <w:rPr>
                <w:rFonts w:ascii="Arial" w:cs="Arial" w:eastAsia="Arial" w:hAnsi="Arial"/>
                <w:sz w:val="13"/>
                <w:szCs w:val="13"/>
                <w:b w:val="1"/>
                <w:bCs w:val="1"/>
                <w:color w:val="auto"/>
              </w:rPr>
              <w:t>Mondelēz International Shareholders’ Equity</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Treasury</w:t>
            </w: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1"/>
                <w:szCs w:val="11"/>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Earnings/</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(Losses)</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 June 30, 2025</w:t>
            </w: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April 1, 2025</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32,233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36,263</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(11,979)</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(30,732)</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25,823</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($0.470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(611)</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June 30, 2025</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32,280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36,293</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(11,561)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(30,819)</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26,247</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Six Months Ended June 30, 2025</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2025</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32,276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36,476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(12,471)</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(29,349)</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26,958</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1,051</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(1,580)</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($0.940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(1,222)</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June 30, 2025</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32,280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36,293</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(11,561)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(30,819)</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26,247</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Three Months Ended June 30, 2024</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April 1, 2024</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32,163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35,074</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(11,132)</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(27,623)</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28,514</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603</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($0.425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(569)</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June 30, 2024</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32,200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35,108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(11,515)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(28,104)</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27,718</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Six Months Ended June 30, 2024</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2024</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32,216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34,236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(10,946)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(27,174)</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28,366</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($0.850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(1,144)</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June 30, 2024</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32,200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35,108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(11,515)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(28,104)</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27,718</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For the Six Months Ended</w:t>
      </w:r>
    </w:p>
    <w:p>
      <w:pPr>
        <w:jc w:val="center"/>
        <w:ind w:left="74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399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2024</w:t>
            </w:r>
          </w:p>
        </w:tc>
      </w:tr>
      <w:tr>
        <w:trPr>
          <w:trHeight w:val="19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OPERATING ACTIVITIES</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140" w:type="dxa"/>
            <w:vAlign w:val="bottom"/>
          </w:tcPr>
          <w:p>
            <w:pPr>
              <w:jc w:val="right"/>
              <w:ind w:right="96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2,019</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earnings to operating cash flows: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636</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 expense</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Deferred income tax (benefit)/provision</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 impairments and accelerated depreciation</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Loss on equity method investment transactions</w:t>
            </w:r>
          </w:p>
        </w:tc>
        <w:tc>
          <w:tcPr>
            <w:tcW w:w="1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665</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method investment net earnings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Distributions from equity method investments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loss/(gain) on derivative contracts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Contingent consideration adjustments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non-cash items, net</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162"/>
        </w:trPr>
        <w:tc>
          <w:tcPr>
            <w:tcW w:w="7520" w:type="dxa"/>
            <w:vAlign w:val="bottom"/>
          </w:tcPr>
          <w:p>
            <w:pPr>
              <w:ind w:left="360"/>
              <w:spacing w:after="0" w:line="162" w:lineRule="exact"/>
              <w:rPr>
                <w:sz w:val="20"/>
                <w:szCs w:val="20"/>
                <w:color w:val="auto"/>
              </w:rPr>
            </w:pPr>
            <w:r>
              <w:rPr>
                <w:rFonts w:ascii="Arial" w:cs="Arial" w:eastAsia="Arial" w:hAnsi="Arial"/>
                <w:sz w:val="16"/>
                <w:szCs w:val="16"/>
                <w:color w:val="auto"/>
              </w:rPr>
              <w:t>Change in assets and liabilities,</w:t>
            </w: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5"/>
        </w:trPr>
        <w:tc>
          <w:tcPr>
            <w:tcW w:w="7520" w:type="dxa"/>
            <w:vAlign w:val="bottom"/>
          </w:tcPr>
          <w:p>
            <w:pPr>
              <w:ind w:left="480"/>
              <w:spacing w:after="0"/>
              <w:rPr>
                <w:sz w:val="20"/>
                <w:szCs w:val="20"/>
                <w:color w:val="auto"/>
              </w:rPr>
            </w:pPr>
            <w:r>
              <w:rPr>
                <w:rFonts w:ascii="Arial" w:cs="Arial" w:eastAsia="Arial" w:hAnsi="Arial"/>
                <w:sz w:val="16"/>
                <w:szCs w:val="16"/>
                <w:color w:val="auto"/>
              </w:rPr>
              <w:t>net of acquisitions and divestitures:</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Receivables, net</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r>
      <w:tr>
        <w:trPr>
          <w:trHeight w:val="215"/>
        </w:trPr>
        <w:tc>
          <w:tcPr>
            <w:tcW w:w="7520" w:type="dxa"/>
            <w:vAlign w:val="bottom"/>
          </w:tcPr>
          <w:p>
            <w:pPr>
              <w:ind w:left="560"/>
              <w:spacing w:after="0"/>
              <w:rPr>
                <w:sz w:val="20"/>
                <w:szCs w:val="20"/>
                <w:color w:val="auto"/>
              </w:rPr>
            </w:pPr>
            <w:r>
              <w:rPr>
                <w:rFonts w:ascii="Arial" w:cs="Arial" w:eastAsia="Arial" w:hAnsi="Arial"/>
                <w:sz w:val="16"/>
                <w:szCs w:val="16"/>
                <w:color w:val="auto"/>
              </w:rPr>
              <w:t>Inventories, net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(516)</w:t>
            </w:r>
          </w:p>
        </w:tc>
      </w:tr>
      <w:tr>
        <w:trPr>
          <w:trHeight w:val="217"/>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Accounts payable</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15"/>
        </w:trPr>
        <w:tc>
          <w:tcPr>
            <w:tcW w:w="7520" w:type="dxa"/>
            <w:vAlign w:val="bottom"/>
          </w:tcPr>
          <w:p>
            <w:pPr>
              <w:ind w:left="560"/>
              <w:spacing w:after="0"/>
              <w:rPr>
                <w:sz w:val="20"/>
                <w:szCs w:val="20"/>
                <w:color w:val="auto"/>
              </w:rPr>
            </w:pPr>
            <w:r>
              <w:rPr>
                <w:rFonts w:ascii="Arial" w:cs="Arial" w:eastAsia="Arial" w:hAnsi="Arial"/>
                <w:sz w:val="16"/>
                <w:szCs w:val="16"/>
                <w:color w:val="auto"/>
              </w:rPr>
              <w:t>Other current assets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7"/>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current liabilities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r>
      <w:tr>
        <w:trPr>
          <w:trHeight w:val="215"/>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 in pension and postretirement assets and liabilities, net</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10"/>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w:t>
            </w:r>
          </w:p>
        </w:tc>
      </w:tr>
      <w:tr>
        <w:trPr>
          <w:trHeight w:val="195"/>
        </w:trPr>
        <w:tc>
          <w:tcPr>
            <w:tcW w:w="7520" w:type="dxa"/>
            <w:vAlign w:val="bottom"/>
          </w:tcPr>
          <w:p>
            <w:pPr>
              <w:ind w:left="20"/>
              <w:spacing w:after="0"/>
              <w:rPr>
                <w:sz w:val="20"/>
                <w:szCs w:val="20"/>
                <w:color w:val="auto"/>
              </w:rPr>
            </w:pPr>
            <w:r>
              <w:rPr>
                <w:rFonts w:ascii="Arial" w:cs="Arial" w:eastAsia="Arial" w:hAnsi="Arial"/>
                <w:sz w:val="16"/>
                <w:szCs w:val="16"/>
                <w:color w:val="auto"/>
              </w:rPr>
              <w:t>CASH PROVIDED BY/(USED IN) INVESTING ACTIVITIES</w:t>
            </w: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Acquisitions, net of cash received</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divestitures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Proceeds from derivative settlements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7"/>
        </w:trPr>
        <w:tc>
          <w:tcPr>
            <w:tcW w:w="7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Payments for derivative settlements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Proceeds from/(contributions to) investments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of property, plant and equipment and other</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75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in investing activities</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r>
      <w:tr>
        <w:trPr>
          <w:trHeight w:val="19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FINANCING ACTIVITIES</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Net issuance of short-term borrowings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414</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proceeds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Long-term debt repayments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Common Stock</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(1,151)</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09"/>
        </w:trPr>
        <w:tc>
          <w:tcPr>
            <w:tcW w:w="75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in financing activities</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195"/>
        </w:trPr>
        <w:tc>
          <w:tcPr>
            <w:tcW w:w="75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Increase/(decrease)</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15"/>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w:t>
            </w:r>
          </w:p>
        </w:tc>
      </w:tr>
      <w:tr>
        <w:trPr>
          <w:trHeight w:val="235"/>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bottom w:val="single" w:sz="8" w:color="auto"/>
            </w:tcBorders>
            <w:shd w:val="clear" w:color="auto" w:fill="CCEEFF"/>
          </w:tcPr>
          <w:p>
            <w:pPr>
              <w:jc w:val="right"/>
              <w:ind w:right="9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52070</wp:posOffset>
            </wp:positionV>
            <wp:extent cx="28257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in common stock or in-substance common stock over which we exercise significant influence under the equity method of accounting.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Highly Inflationary Accounting</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Within our consolidated entities, Argentina, Türkiye, Egypt and Nigeria are accounted for as highly inflationary countries. Argentina, Türkiye, Egypt and Nigeria represent 1.6%, 0.6%, 0.5% and 0.3%, respectively, of our consolidated net revenues for the three months ended June 30, 2025 and 1.6%, 0.7%, 0.5% and 0.3% of our consolidated net revenues for the six months ended June 30, 2025. The aggregate losses from remeasurements of monetary assets and liabilities into our reporting currency for the highly inflationary countries were $8 million and $9 million for the three months ended June 30, 2025 and 2024, respectively, and $15 million and $17 million for the six months ended June 30, 2025 and 2024, respectively. Given the continued volatility of these currencies, impacts to our financial statements in future periods could be significantly different from historical levels.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Restricted cash primarily includes cash held on behalf of financial institutions in accordance with accounts receivable factoring arrangements and letters of credit arrangements with legally restricted cash collateral provisions. Restricted cash is recorded within other current assets and was $83 million as of June 30, 2025 and $49 million as of December 31, 2024. Total cash, cash equivalents and restricted cash was $1,587 million as of June 30, 2025 and $1,400 million as of December 31,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2"/>
                <w:szCs w:val="12"/>
                <w:color w:val="auto"/>
              </w:rPr>
            </w:pP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9"/>
        </w:trPr>
        <w:tc>
          <w:tcPr>
            <w:tcW w:w="6840" w:type="dxa"/>
            <w:vAlign w:val="bottom"/>
          </w:tcPr>
          <w:p>
            <w:pPr>
              <w:spacing w:after="0"/>
              <w:rPr>
                <w:sz w:val="16"/>
                <w:szCs w:val="16"/>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Net recovery for expected credit losses</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and 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outstanding principal amount of receivables under our uncommitted revolving non-recourse accounts receivable factoring arrangements amounted to $862 million as of June 30, 2025 and $159 million as of December 31, 2024.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179070</wp:posOffset>
            </wp:positionV>
            <wp:extent cx="28257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recorded $71 million in operating lease and $94 million in finance lease right-of-use assets obtained in exchange for lease obligations during the six months ended June 30, 2025 and $53 million in operating lease and $68 million in finance lease right-of-use assets obtained in exchange for lease obligations during the six months ended June 30, 2024.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part of our continued efforts to improve our working capital efficiency, we have worked with our suppliers over the past several years to optimize our terms and conditions, which include the extension of payment terms. We also facilitate voluntary supply chain financing (“SCF”) programs through several participating financial institutions. Amounts due to our suppliers that elected to participate in the SCF program are included in </w:t>
      </w:r>
      <w:r>
        <w:rPr>
          <w:rFonts w:ascii="Arial" w:cs="Arial" w:eastAsia="Arial" w:hAnsi="Arial"/>
          <w:sz w:val="18"/>
          <w:szCs w:val="18"/>
          <w:i w:val="1"/>
          <w:iCs w:val="1"/>
          <w:color w:val="auto"/>
        </w:rPr>
        <w:t>Accounts payable</w:t>
      </w:r>
      <w:r>
        <w:rPr>
          <w:rFonts w:ascii="Arial" w:cs="Arial" w:eastAsia="Arial" w:hAnsi="Arial"/>
          <w:sz w:val="18"/>
          <w:szCs w:val="18"/>
          <w:color w:val="auto"/>
        </w:rPr>
        <w:t xml:space="preserve"> in our consolidated balance sheets. Our outstanding obligations confirmed as valid under our SCF program are $3.7 billion as of both June 30, 2025 and December 31, 2024,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2023, the FASB issued an Accounting Standards Update ("ASU") to enhance the transparency of annual income tax disclosures, primarily related to the rate reconciliation and income taxes paid. The ASU is effective for fiscal years beginning after December 15, 2024 with early adoption permitted. We will adopt the guidance when it becomes effective, for our annual reporting for the year ending December 31, 2025.</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2024, the FASB issued an ASU that will require incremental disclosures in the notes to the financial statements to disaggregate income statement expense line items into specified expense categories and to provide additional information about certain expenses. The guidance is effective for the first annual reporting period beginning after December 15, 2026 and for interim reporting periods within annual reporting periods beginning after December 15, 2027. Early adoption is permitted. The guidance may be applied either on a prospective or retrospective basis. We currently expect to adopt the guidance when it becomes effective, for our annual reporting for the year ending December 31, 2027 and for our interim reporting in the first quarter of 2028. We are currently assessing whether we will adopt the guidance on a prospective or retrospective basis.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Evirth</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November 1, 2024, we acquired Evirth (Shanghai) Industrial Co., Ltd. ("Evirth"), a leading manufacturer of cakes and pastries in China. The acquisition will continue to expand our growth in the cakes and pastries categories. The cash consideration paid totaled ¥1.8 billion ($255 million), net of cash received.</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working to complete the valuation of assets acquired and liabilities assumed and have recorded a preliminary purchase price allocation.</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definite-lived intangible assets, we allocated $117 million to customer relationships which have an estimated useful life of 17 years. The fair value of customer relationships at the acquisition date was determined using the multi-period excess earnings method under the income approach. The fair value measurements are based on significant unobservable inputs, and thus represent Level 3 inputs. Significant assumptions used in assessing the fair values of the intangible assets include discounted cash flows, customer attrition rates and discount rates.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Goodwill of $ 125 million was determined as the excess of the purchase price over the fair value of the net assets acquired and arises principally as a result of expansion opportunities and synergies across China. None of the goodwill recognized will be deductible for income tax purposes. All of the goodwill was assigned to the AMEA operating segment. For further detail, refer to Note 5, </w:t>
      </w:r>
      <w:r>
        <w:rPr>
          <w:rFonts w:ascii="Arial" w:cs="Arial" w:eastAsia="Arial" w:hAnsi="Arial"/>
          <w:sz w:val="18"/>
          <w:szCs w:val="18"/>
          <w:i w:val="1"/>
          <w:iCs w:val="1"/>
          <w:color w:val="auto"/>
        </w:rPr>
        <w:t>Goodwill and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and Divestiture-Related Costs</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We recorded net gains of $21 million and $29 million in the three and six months ended June 30, 2025 and incurred $36 million and $79 million in the three and six months ended June 30, 2024 in total acquisition integration costs and contingent consideration adjustments.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net gains of $3 million and $7 million in the three and six months ended June 30, 2025 and incurred zero and $4 million in the three and six months ended June 30, 2024 in total divestiture-related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151765</wp:posOffset>
            </wp:positionV>
            <wp:extent cx="28257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As of June 30,</w:t>
            </w:r>
          </w:p>
        </w:tc>
        <w:tc>
          <w:tcPr>
            <w:tcW w:w="1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of December 31, 2024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left="876"/>
              <w:spacing w:after="0"/>
              <w:rPr>
                <w:sz w:val="20"/>
                <w:szCs w:val="20"/>
                <w:color w:val="auto"/>
              </w:rPr>
            </w:pPr>
            <w:r>
              <w:rPr>
                <w:rFonts w:ascii="Arial" w:cs="Arial" w:eastAsia="Arial" w:hAnsi="Arial"/>
                <w:sz w:val="18"/>
                <w:szCs w:val="18"/>
                <w:color w:val="auto"/>
              </w:rPr>
              <w:t>1,208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7"/>
              </w:rPr>
              <w:t>1,058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876"/>
              <w:spacing w:after="0"/>
              <w:rPr>
                <w:sz w:val="20"/>
                <w:szCs w:val="20"/>
                <w:color w:val="auto"/>
              </w:rPr>
            </w:pPr>
            <w:r>
              <w:rPr>
                <w:rFonts w:ascii="Arial" w:cs="Arial" w:eastAsia="Arial" w:hAnsi="Arial"/>
                <w:sz w:val="18"/>
                <w:szCs w:val="18"/>
                <w:color w:val="auto"/>
              </w:rPr>
              <w:t>3,926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7"/>
              </w:rPr>
              <w:t>2,940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876"/>
              <w:spacing w:after="0"/>
              <w:rPr>
                <w:sz w:val="20"/>
                <w:szCs w:val="20"/>
                <w:color w:val="auto"/>
              </w:rPr>
            </w:pPr>
            <w:r>
              <w:rPr>
                <w:rFonts w:ascii="Arial" w:cs="Arial" w:eastAsia="Arial" w:hAnsi="Arial"/>
                <w:sz w:val="18"/>
                <w:szCs w:val="18"/>
                <w:color w:val="auto"/>
              </w:rPr>
              <w:t>5,134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7"/>
              </w:rPr>
              <w:t>3,998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Inventory reserves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center"/>
              <w:ind w:left="876"/>
              <w:spacing w:after="0"/>
              <w:rPr>
                <w:sz w:val="20"/>
                <w:szCs w:val="20"/>
                <w:color w:val="auto"/>
              </w:rPr>
            </w:pPr>
            <w:r>
              <w:rPr>
                <w:rFonts w:ascii="Arial" w:cs="Arial" w:eastAsia="Arial" w:hAnsi="Arial"/>
                <w:sz w:val="18"/>
                <w:szCs w:val="18"/>
                <w:color w:val="auto"/>
              </w:rPr>
              <w:t>4,951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7"/>
              </w:rPr>
              <w:t>3,827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4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As of June 30,</w:t>
            </w:r>
          </w:p>
        </w:tc>
        <w:tc>
          <w:tcPr>
            <w:tcW w:w="1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 of December 31, 2024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center"/>
              <w:ind w:right="216"/>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836"/>
              <w:spacing w:after="0"/>
              <w:rPr>
                <w:sz w:val="20"/>
                <w:szCs w:val="20"/>
                <w:color w:val="auto"/>
              </w:rPr>
            </w:pPr>
            <w:r>
              <w:rPr>
                <w:rFonts w:ascii="Arial" w:cs="Arial" w:eastAsia="Arial" w:hAnsi="Arial"/>
                <w:sz w:val="18"/>
                <w:szCs w:val="18"/>
                <w:color w:val="auto"/>
              </w:rPr>
              <w:t>(9,149)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rPr>
              <w:t>(8,135)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2025, capital expenditures of $582 million excluded $366 million of accrued capital expenditures remaining unpaid at June 30, 2025 and included payment for the $458 million of capital expenditures that were accrued and unpaid at December 31, 2024. For the six months ended June 30, 2024, capital expenditures of $666 million excluded $364 million of accrued capital expenditures remaining unpaid at June 30, 2024 and included payment for the $471 million of capital expenditures that were accrued and unpaid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14605</wp:posOffset>
            </wp:positionV>
            <wp:extent cx="28257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consisted of:</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Latin America</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North America</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Total</w:t>
            </w:r>
          </w:p>
        </w:tc>
      </w:tr>
      <w:tr>
        <w:trPr>
          <w:trHeight w:val="196"/>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23,017</w:t>
            </w: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Currency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29"/>
        </w:trPr>
        <w:tc>
          <w:tcPr>
            <w:tcW w:w="328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Balance at June 30, 2025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24,344</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Relates to purchase price allocation adjustments for Evirth. See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additional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June 30, 2025</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left="737"/>
              <w:spacing w:after="0"/>
              <w:rPr>
                <w:sz w:val="20"/>
                <w:szCs w:val="20"/>
                <w:color w:val="auto"/>
              </w:rPr>
            </w:pPr>
            <w:r>
              <w:rPr>
                <w:rFonts w:ascii="Arial" w:cs="Arial" w:eastAsia="Arial" w:hAnsi="Arial"/>
                <w:sz w:val="14"/>
                <w:szCs w:val="14"/>
                <w:b w:val="1"/>
                <w:bCs w:val="1"/>
                <w:color w:val="auto"/>
              </w:rPr>
              <w:t>As of December 31, 2024</w:t>
            </w:r>
          </w:p>
        </w:tc>
        <w:tc>
          <w:tcPr>
            <w:tcW w:w="1020" w:type="dxa"/>
            <w:vAlign w:val="bottom"/>
            <w:tcBorders>
              <w:bottom w:val="single" w:sz="8" w:color="auto"/>
            </w:tcBorders>
          </w:tcPr>
          <w:p>
            <w:pPr>
              <w:spacing w:after="0"/>
              <w:rPr>
                <w:sz w:val="17"/>
                <w:szCs w:val="17"/>
                <w:color w:val="auto"/>
              </w:rPr>
            </w:pPr>
          </w:p>
        </w:tc>
      </w:tr>
      <w:tr>
        <w:trPr>
          <w:trHeight w:val="147"/>
        </w:trPr>
        <w:tc>
          <w:tcPr>
            <w:tcW w:w="3580" w:type="dxa"/>
            <w:vAlign w:val="bottom"/>
          </w:tcPr>
          <w:p>
            <w:pPr>
              <w:spacing w:after="0"/>
              <w:rPr>
                <w:sz w:val="12"/>
                <w:szCs w:val="12"/>
                <w:color w:val="auto"/>
              </w:rPr>
            </w:pPr>
          </w:p>
        </w:tc>
        <w:tc>
          <w:tcPr>
            <w:tcW w:w="11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Gross carrying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Net carrying</w:t>
            </w:r>
          </w:p>
        </w:tc>
        <w:tc>
          <w:tcPr>
            <w:tcW w:w="128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020" w:type="dxa"/>
            <w:vAlign w:val="bottom"/>
          </w:tcPr>
          <w:p>
            <w:pPr>
              <w:jc w:val="right"/>
              <w:ind w:right="77"/>
              <w:spacing w:after="0" w:line="147" w:lineRule="exact"/>
              <w:rPr>
                <w:sz w:val="20"/>
                <w:szCs w:val="20"/>
                <w:color w:val="auto"/>
              </w:rPr>
            </w:pPr>
            <w:r>
              <w:rPr>
                <w:rFonts w:ascii="Arial" w:cs="Arial" w:eastAsia="Arial" w:hAnsi="Arial"/>
                <w:sz w:val="14"/>
                <w:szCs w:val="14"/>
                <w:b w:val="1"/>
                <w:bCs w:val="1"/>
                <w:color w:val="auto"/>
              </w:rPr>
              <w:t>Net carrying</w:t>
            </w:r>
          </w:p>
        </w:tc>
      </w:tr>
      <w:tr>
        <w:trPr>
          <w:trHeight w:val="185"/>
        </w:trPr>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r>
      <w:tr>
        <w:trPr>
          <w:trHeight w:val="195"/>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w:t>
            </w:r>
          </w:p>
        </w:tc>
      </w:tr>
      <w:tr>
        <w:trPr>
          <w:trHeight w:val="23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Definite-life intangible assets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r>
      <w:tr>
        <w:trPr>
          <w:trHeight w:val="248"/>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18,848</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global </w:t>
      </w:r>
      <w:r>
        <w:rPr>
          <w:rFonts w:ascii="Arial" w:cs="Arial" w:eastAsia="Arial" w:hAnsi="Arial"/>
          <w:sz w:val="18"/>
          <w:szCs w:val="18"/>
          <w:i w:val="1"/>
          <w:iCs w:val="1"/>
          <w:color w:val="auto"/>
        </w:rPr>
        <w:t xml:space="preserve">LU </w:t>
      </w:r>
      <w:r>
        <w:rPr>
          <w:rFonts w:ascii="Arial" w:cs="Arial" w:eastAsia="Arial" w:hAnsi="Arial"/>
          <w:sz w:val="18"/>
          <w:szCs w:val="18"/>
          <w:color w:val="auto"/>
        </w:rPr>
        <w:t>biscuit business of Groupe Danone S.A., Cadbury Limited and Clif Bar. Definite-life intangible assets consist primarily of customer-related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intangibles, process technology and trademarks.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for intangible assets was $38 million and $37 million for the three months ended June 30, 2025 and 2024, respectively, and $75 million for both the six months ended June 30, 2025 and 2024,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Assessment:</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our reporting units and indefinite-life intangible assets for impairment annually as of July 1, or more frequently if events or circumstances indicate it is more likely than not that the fair value of a reporting unit or brand is less than its carrying amount. During the second quarter of 2025, we evaluated our goodwill impairment and intangible asset impairment risk through an assessment of potential triggering events. We considered qualitative and quantitative information in our assessment and concluded there were no impairment indicators.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our 2024 annual impairment testing, we recorded $153 million of asset impairment charges in the third quarter of 2024 related to two biscuit indefinite-life intangible assets in the Europe segment, one biscuit indefinite-life intangible asset in the AMEA segment and one candy and one biscuit indefinite-life intangible asset in the Latin America segment. Additionally, we identified thirteen indefinite-life intangible assets that each had a fair value in excess of book value of 10% or less. The aggregate book value of the thirteen indefinite-life intangible assets was $3.1 billion as of June 30, 2025. While no triggering events were identified for those indefinite-life intangible assets during the six months ended June 30, 2025, we are continuing to closely monitor their performance. If there are adverse changes to the related sales and earnings forecasts in the future, whether caused by business-specific or broader macroeconomic factors, one or more of those indefinite-life intangible assets could become impaired.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current equity method investments primarily relate to our ownership interests in Dong Suh Foods Corporation and Dong Suh Oil &amp; Fats Co. Ltd. As of June 30, 2025, we owned 50.0% and 49.0%, respectively, of these companies' outstanding shares. Our ownership interests may change over time due to investee stock-based compensation arrangements, share issuances or other equity-related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163195</wp:posOffset>
            </wp:positionV>
            <wp:extent cx="28257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investments accounted for under the equity method totaled $665 million as of June 30, 2025 and $635 million as of December 31, 2024. We recorded equity earnings of $19 million and received no cash dividends in the three months ended June 30, 2025 and recorded equity earnings of $48 million and received cash dividends of $2 million in the three months ended June 30, 2024. We recorded equity earnings of $35 million and received cash dividends of $ 44 million in the six months ended June 30, 2025 and recorded equity earnings of $79 million and received cash dividends of $82 million in the six months ended June 30, 2024. The activity during 2024 included our prior investment in JDE Peet’s N.V. (“JDEP”). During the fourth quarter of 2024, we sold our remaining 85.9 million shares in JDEP to JAB Holding Company and fully exited the investment.</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During the three months ended March 31, 2024, we recorded an impairment charge of €612 million ($665 million) related to our JDEP investment. This charge was included within </w:t>
      </w:r>
      <w:r>
        <w:rPr>
          <w:rFonts w:ascii="Arial" w:cs="Arial" w:eastAsia="Arial" w:hAnsi="Arial"/>
          <w:sz w:val="18"/>
          <w:szCs w:val="18"/>
          <w:i w:val="1"/>
          <w:iCs w:val="1"/>
          <w:color w:val="auto"/>
        </w:rPr>
        <w:t>Loss on equity method investment transactions</w:t>
      </w:r>
      <w:r>
        <w:rPr>
          <w:rFonts w:ascii="Arial" w:cs="Arial" w:eastAsia="Arial" w:hAnsi="Arial"/>
          <w:sz w:val="18"/>
          <w:szCs w:val="18"/>
          <w:color w:val="auto"/>
        </w:rPr>
        <w:t xml:space="preserve"> in the condensed consolidated statements of earnings.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and Borrowing Arrangements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2"/>
          </w:tcPr>
          <w:p>
            <w:pPr>
              <w:jc w:val="right"/>
              <w:ind w:right="941"/>
              <w:spacing w:after="0"/>
              <w:rPr>
                <w:sz w:val="20"/>
                <w:szCs w:val="20"/>
                <w:color w:val="auto"/>
              </w:rPr>
            </w:pPr>
            <w:r>
              <w:rPr>
                <w:rFonts w:ascii="Arial" w:cs="Arial" w:eastAsia="Arial" w:hAnsi="Arial"/>
                <w:sz w:val="14"/>
                <w:szCs w:val="14"/>
                <w:b w:val="1"/>
                <w:bCs w:val="1"/>
                <w:color w:val="auto"/>
              </w:rPr>
              <w:t>As of June 30, 2025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4"/>
                <w:szCs w:val="14"/>
                <w:b w:val="1"/>
                <w:bCs w:val="1"/>
                <w:color w:val="auto"/>
              </w:rPr>
              <w:t>As of December 31, 2024</w:t>
            </w:r>
          </w:p>
        </w:tc>
      </w:tr>
      <w:tr>
        <w:trPr>
          <w:trHeight w:val="143"/>
        </w:trPr>
        <w:tc>
          <w:tcPr>
            <w:tcW w:w="4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419"/>
              <w:spacing w:after="0" w:line="143" w:lineRule="exact"/>
              <w:rPr>
                <w:sz w:val="20"/>
                <w:szCs w:val="20"/>
                <w:color w:val="auto"/>
              </w:rPr>
            </w:pPr>
            <w:r>
              <w:rPr>
                <w:rFonts w:ascii="Arial" w:cs="Arial" w:eastAsia="Arial" w:hAnsi="Arial"/>
                <w:sz w:val="14"/>
                <w:szCs w:val="14"/>
                <w:b w:val="1"/>
                <w:bCs w:val="1"/>
                <w:color w:val="auto"/>
              </w:rPr>
              <w:t>Amount</w:t>
            </w:r>
          </w:p>
        </w:tc>
        <w:tc>
          <w:tcPr>
            <w:tcW w:w="2160" w:type="dxa"/>
            <w:vAlign w:val="bottom"/>
            <w:gridSpan w:val="3"/>
          </w:tcPr>
          <w:p>
            <w:pPr>
              <w:jc w:val="right"/>
              <w:ind w:right="770"/>
              <w:spacing w:after="0" w:line="143" w:lineRule="exact"/>
              <w:rPr>
                <w:sz w:val="20"/>
                <w:szCs w:val="20"/>
                <w:color w:val="auto"/>
              </w:rPr>
            </w:pPr>
            <w:r>
              <w:rPr>
                <w:rFonts w:ascii="Arial" w:cs="Arial" w:eastAsia="Arial" w:hAnsi="Arial"/>
                <w:sz w:val="14"/>
                <w:szCs w:val="14"/>
                <w:b w:val="1"/>
                <w:bCs w:val="1"/>
                <w:color w:val="auto"/>
              </w:rPr>
              <w:t>Weighted-</w:t>
            </w:r>
          </w:p>
        </w:tc>
        <w:tc>
          <w:tcPr>
            <w:tcW w:w="1320" w:type="dxa"/>
            <w:vAlign w:val="bottom"/>
          </w:tcPr>
          <w:p>
            <w:pPr>
              <w:jc w:val="right"/>
              <w:ind w:right="439"/>
              <w:spacing w:after="0" w:line="143" w:lineRule="exact"/>
              <w:rPr>
                <w:sz w:val="20"/>
                <w:szCs w:val="20"/>
                <w:color w:val="auto"/>
              </w:rPr>
            </w:pPr>
            <w:r>
              <w:rPr>
                <w:rFonts w:ascii="Arial" w:cs="Arial" w:eastAsia="Arial" w:hAnsi="Arial"/>
                <w:sz w:val="14"/>
                <w:szCs w:val="14"/>
                <w:b w:val="1"/>
                <w:bCs w:val="1"/>
                <w:color w:val="auto"/>
              </w:rPr>
              <w:t>Amount</w:t>
            </w:r>
          </w:p>
        </w:tc>
        <w:tc>
          <w:tcPr>
            <w:tcW w:w="1800" w:type="dxa"/>
            <w:vAlign w:val="bottom"/>
          </w:tcPr>
          <w:p>
            <w:pPr>
              <w:jc w:val="right"/>
              <w:ind w:right="419"/>
              <w:spacing w:after="0" w:line="143" w:lineRule="exact"/>
              <w:rPr>
                <w:sz w:val="20"/>
                <w:szCs w:val="20"/>
                <w:color w:val="auto"/>
              </w:rPr>
            </w:pPr>
            <w:r>
              <w:rPr>
                <w:rFonts w:ascii="Arial" w:cs="Arial" w:eastAsia="Arial" w:hAnsi="Arial"/>
                <w:sz w:val="14"/>
                <w:szCs w:val="14"/>
                <w:b w:val="1"/>
                <w:bCs w:val="1"/>
                <w:color w:val="auto"/>
              </w:rPr>
              <w:t>Weighted-</w:t>
            </w:r>
          </w:p>
        </w:tc>
      </w:tr>
      <w:tr>
        <w:trPr>
          <w:trHeight w:val="189"/>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Outstanding</w:t>
            </w:r>
          </w:p>
        </w:tc>
        <w:tc>
          <w:tcPr>
            <w:tcW w:w="21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rPr>
              <w:t>Average Rate</w:t>
            </w: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Outstanding</w:t>
            </w: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Average Rate</w:t>
            </w:r>
          </w:p>
        </w:tc>
      </w:tr>
      <w:tr>
        <w:trPr>
          <w:trHeight w:val="195"/>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8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rPr>
              <w:t>(in millions, except percentages)</w:t>
            </w:r>
          </w:p>
        </w:tc>
        <w:tc>
          <w:tcPr>
            <w:tcW w:w="1800" w:type="dxa"/>
            <w:vAlign w:val="bottom"/>
          </w:tcPr>
          <w:p>
            <w:pPr>
              <w:spacing w:after="0"/>
              <w:rPr>
                <w:sz w:val="16"/>
                <w:szCs w:val="16"/>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21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4.6 %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12.1 %</w:t>
            </w:r>
          </w:p>
        </w:tc>
      </w:tr>
      <w:tr>
        <w:trPr>
          <w:trHeight w:val="248"/>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short-term borrowings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and committed credit facilities available include: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875"/>
              <w:spacing w:after="0"/>
              <w:rPr>
                <w:sz w:val="20"/>
                <w:szCs w:val="20"/>
                <w:color w:val="auto"/>
              </w:rPr>
            </w:pPr>
            <w:r>
              <w:rPr>
                <w:rFonts w:ascii="Arial" w:cs="Arial" w:eastAsia="Arial" w:hAnsi="Arial"/>
                <w:sz w:val="14"/>
                <w:szCs w:val="14"/>
                <w:b w:val="1"/>
                <w:bCs w:val="1"/>
                <w:color w:val="auto"/>
              </w:rPr>
              <w:t>As of June 30, 2025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As of December 31, 2024</w:t>
            </w:r>
          </w:p>
        </w:tc>
      </w:tr>
      <w:tr>
        <w:trPr>
          <w:trHeight w:val="196"/>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Borrowed Amount</w:t>
            </w:r>
          </w:p>
        </w:tc>
      </w:tr>
      <w:tr>
        <w:trPr>
          <w:trHeight w:val="196"/>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4"/>
          </w:tcPr>
          <w:p>
            <w:pPr>
              <w:jc w:val="right"/>
              <w:ind w:right="1175"/>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facilities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19, 2025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February 18, 2026</w:t>
            </w:r>
          </w:p>
        </w:tc>
        <w:tc>
          <w:tcPr>
            <w:tcW w:w="18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23, 2027</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4600" w:type="dxa"/>
            <w:vAlign w:val="bottom"/>
          </w:tcPr>
          <w:p>
            <w:pPr>
              <w:ind w:left="240"/>
              <w:spacing w:after="0"/>
              <w:rPr>
                <w:sz w:val="20"/>
                <w:szCs w:val="20"/>
                <w:color w:val="auto"/>
              </w:rPr>
            </w:pPr>
            <w:r>
              <w:rPr>
                <w:rFonts w:ascii="Arial" w:cs="Arial" w:eastAsia="Arial" w:hAnsi="Arial"/>
                <w:sz w:val="18"/>
                <w:szCs w:val="18"/>
                <w:color w:val="auto"/>
              </w:rPr>
              <w:t>February 19, 2030</w:t>
            </w: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jc w:val="both"/>
        <w:ind w:left="260" w:hanging="252"/>
        <w:spacing w:after="0" w:line="263" w:lineRule="auto"/>
        <w:tabs>
          <w:tab w:leader="none" w:pos="247"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February 19, 2025, our $1.5 billion 364-day senior unsecured revolving credit agreement dated as of February 21, 2024 expired and we entered into a $1.5 billion 364-day senior unsecured revolving credit agreement that will expire on February 18, 2026. Additionally, we early terminated our $4.5 billion five-year senior unsecured revolving credit agreement dated as of February 23, 2022, and entered into a $4.5 billion five-year senior unsecured revolving credit agreement that will expire on February 19, 2030.</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maintain senior unsecured revolving credit facilities for general corporate purposes, including working capital needs, and to support our commercial paper program. The revolving credit agreements include a covenant that we maintain a minimum shareholders' equity of at least $25.0 billion, excluding accumulated other comprehensive earnings/(losses), the cumulative effects of any changes in accounting principles and earnings/(losses) recognized in connection with any mark-to-market accounting for pensions and other retirement plans. At June 30, 2025, we complied with this covenant. The revolving credit facility also contains customary representations, covenants and events of default. There are no credit rating triggers, provisions or other financial covenants that could require us to post collateral as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22860</wp:posOffset>
            </wp:positionV>
            <wp:extent cx="28257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2025, we repaid the following notes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3.250%</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March 2025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C$600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$417</w:t>
            </w:r>
          </w:p>
        </w:tc>
      </w:tr>
      <w:tr>
        <w:trPr>
          <w:trHeight w:val="23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1.500%</w:t>
            </w:r>
          </w:p>
        </w:tc>
        <w:tc>
          <w:tcPr>
            <w:tcW w:w="1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rPr>
              <w:t>May 2025</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$750</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$750</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2024, we repaid the following notes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ind w:left="90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rPr>
              <w:t>2.125%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March 2024</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$500</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2025, we issued the following notes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Issuance Date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Principal Amount</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85"/>
        </w:trPr>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May 2025</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4.250%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May 2028</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$700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$700</w:t>
            </w:r>
          </w:p>
        </w:tc>
        <w:tc>
          <w:tcPr>
            <w:tcW w:w="0" w:type="dxa"/>
            <w:vAlign w:val="bottom"/>
          </w:tcPr>
          <w:p>
            <w:pPr>
              <w:spacing w:after="0"/>
              <w:rPr>
                <w:sz w:val="1"/>
                <w:szCs w:val="1"/>
                <w:color w:val="auto"/>
              </w:rPr>
            </w:pPr>
          </w:p>
        </w:tc>
      </w:tr>
      <w:tr>
        <w:trPr>
          <w:trHeight w:val="230"/>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May 2025</w:t>
            </w: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4.500%</w:t>
            </w:r>
          </w:p>
        </w:tc>
        <w:tc>
          <w:tcPr>
            <w:tcW w:w="10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May 2030</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2025</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5.125%</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2035</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2024, we issued the following notes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Issuance Date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Principal Amount</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85"/>
        </w:trPr>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2024</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4.750%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2029</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$550</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fair value of our short-term borrowings reflects current market interest rates and approximates the amounts we have recorded on our condensed consolidated balance sheets. The fair value of substantially all of our long-term debt was determined using quoted prices in active markets (Level 1 valuation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As of June 30, 2025</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As of December 31, 2024</w:t>
            </w:r>
          </w:p>
        </w:tc>
      </w:tr>
      <w:tr>
        <w:trPr>
          <w:trHeight w:val="196"/>
        </w:trPr>
        <w:tc>
          <w:tcPr>
            <w:tcW w:w="3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40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19,128</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15,846</w:t>
            </w:r>
          </w:p>
        </w:tc>
      </w:tr>
      <w:tr>
        <w:trPr>
          <w:trHeight w:val="239"/>
        </w:trPr>
        <w:tc>
          <w:tcPr>
            <w:tcW w:w="384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140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8"/>
                <w:szCs w:val="18"/>
                <w:color w:val="auto"/>
              </w:rPr>
              <w:t>20,887</w:t>
            </w:r>
          </w:p>
        </w:tc>
        <w:tc>
          <w:tcPr>
            <w:tcW w:w="116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17,749</w:t>
            </w:r>
          </w:p>
        </w:tc>
      </w:tr>
      <w:tr>
        <w:trPr>
          <w:trHeight w:val="512"/>
        </w:trPr>
        <w:tc>
          <w:tcPr>
            <w:tcW w:w="3840" w:type="dxa"/>
            <w:vAlign w:val="bottom"/>
          </w:tcPr>
          <w:p>
            <w:pPr>
              <w:spacing w:after="0"/>
              <w:rPr>
                <w:sz w:val="20"/>
                <w:szCs w:val="20"/>
                <w:color w:val="auto"/>
              </w:rPr>
            </w:pPr>
            <w:r>
              <w:rPr>
                <w:rFonts w:ascii="Arial" w:cs="Arial" w:eastAsia="Arial" w:hAnsi="Arial"/>
                <w:sz w:val="18"/>
                <w:szCs w:val="18"/>
                <w:i w:val="1"/>
                <w:iCs w:val="1"/>
                <w:color w:val="auto"/>
              </w:rPr>
              <w:t>Interest and Other Expense, net</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9"/>
        </w:trPr>
        <w:tc>
          <w:tcPr>
            <w:tcW w:w="3840" w:type="dxa"/>
            <w:vAlign w:val="bottom"/>
          </w:tcPr>
          <w:p>
            <w:pPr>
              <w:spacing w:after="0"/>
              <w:rPr>
                <w:sz w:val="20"/>
                <w:szCs w:val="20"/>
                <w:color w:val="auto"/>
              </w:rPr>
            </w:pPr>
            <w:r>
              <w:rPr>
                <w:rFonts w:ascii="Arial" w:cs="Arial" w:eastAsia="Arial" w:hAnsi="Arial"/>
                <w:sz w:val="18"/>
                <w:szCs w:val="18"/>
                <w:color w:val="auto"/>
              </w:rPr>
              <w:t>Interest and other expense, net consisted of:</w:t>
            </w: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0"/>
        </w:trPr>
        <w:tc>
          <w:tcPr>
            <w:tcW w:w="3840" w:type="dxa"/>
            <w:vAlign w:val="bottom"/>
          </w:tcPr>
          <w:p>
            <w:pPr>
              <w:spacing w:after="0"/>
              <w:rPr>
                <w:sz w:val="23"/>
                <w:szCs w:val="23"/>
                <w:color w:val="auto"/>
              </w:rPr>
            </w:pPr>
          </w:p>
        </w:tc>
        <w:tc>
          <w:tcPr>
            <w:tcW w:w="310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40" w:type="dxa"/>
            <w:vAlign w:val="bottom"/>
            <w:gridSpan w:val="4"/>
          </w:tcPr>
          <w:p>
            <w:pPr>
              <w:jc w:val="center"/>
              <w:ind w:right="513"/>
              <w:spacing w:after="0"/>
              <w:rPr>
                <w:sz w:val="20"/>
                <w:szCs w:val="20"/>
                <w:color w:val="auto"/>
              </w:rPr>
            </w:pPr>
            <w:r>
              <w:rPr>
                <w:rFonts w:ascii="Arial" w:cs="Arial" w:eastAsia="Arial" w:hAnsi="Arial"/>
                <w:sz w:val="14"/>
                <w:szCs w:val="14"/>
                <w:b w:val="1"/>
                <w:bCs w:val="1"/>
                <w:color w:val="auto"/>
              </w:rPr>
              <w:t>For the Six Months Ended</w:t>
            </w:r>
          </w:p>
        </w:tc>
      </w:tr>
      <w:tr>
        <w:trPr>
          <w:trHeight w:val="185"/>
        </w:trPr>
        <w:tc>
          <w:tcPr>
            <w:tcW w:w="38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759"/>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rPr>
              <w:t>June 30,</w:t>
            </w:r>
          </w:p>
        </w:tc>
        <w:tc>
          <w:tcPr>
            <w:tcW w:w="1240" w:type="dxa"/>
            <w:vAlign w:val="bottom"/>
            <w:tcBorders>
              <w:bottom w:val="single" w:sz="8" w:color="auto"/>
            </w:tcBorders>
          </w:tcPr>
          <w:p>
            <w:pPr>
              <w:spacing w:after="0"/>
              <w:rPr>
                <w:sz w:val="16"/>
                <w:szCs w:val="16"/>
                <w:color w:val="auto"/>
              </w:rPr>
            </w:pPr>
          </w:p>
        </w:tc>
      </w:tr>
      <w:tr>
        <w:trPr>
          <w:trHeight w:val="195"/>
        </w:trPr>
        <w:tc>
          <w:tcPr>
            <w:tcW w:w="3840" w:type="dxa"/>
            <w:vAlign w:val="bottom"/>
          </w:tcPr>
          <w:p>
            <w:pPr>
              <w:spacing w:after="0"/>
              <w:rPr>
                <w:sz w:val="16"/>
                <w:szCs w:val="16"/>
                <w:color w:val="auto"/>
              </w:rPr>
            </w:pPr>
          </w:p>
        </w:tc>
        <w:tc>
          <w:tcPr>
            <w:tcW w:w="14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2024</w:t>
            </w:r>
          </w:p>
        </w:tc>
      </w:tr>
      <w:tr>
        <w:trPr>
          <w:trHeight w:val="196"/>
        </w:trPr>
        <w:tc>
          <w:tcPr>
            <w:tcW w:w="3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7"/>
                <w:szCs w:val="17"/>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0" w:type="dxa"/>
            <w:vAlign w:val="bottom"/>
            <w:shd w:val="clear" w:color="auto" w:fill="CCEEFF"/>
          </w:tcPr>
          <w:p>
            <w:pPr>
              <w:jc w:val="right"/>
              <w:ind w:right="119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72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48"/>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and other expense, net</w:t>
            </w:r>
          </w:p>
        </w:tc>
        <w:tc>
          <w:tcPr>
            <w:tcW w:w="140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Other income, net includes amortization of amounts excluded from our assessment of hedge effectiveness related to our net investment hedge derivative contracts, foreign currency transaction gains and losses on certain foreign currency denominated assets and liabilities, gains and losses on certain foreign currency derivative contracts, interest income and other non-operating items. Refer to Note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additional information about our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8890</wp:posOffset>
            </wp:positionV>
            <wp:extent cx="28257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Activities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and corresponding hedge type were recorded at fair value in the condensed consolidated balance sheets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As of June 30, 2025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As of December 31, 2024</w:t>
            </w:r>
          </w:p>
        </w:tc>
      </w:tr>
      <w:tr>
        <w:trPr>
          <w:trHeight w:val="143"/>
        </w:trPr>
        <w:tc>
          <w:tcPr>
            <w:tcW w:w="3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9"/>
              </w:rPr>
              <w:t>Asset</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2"/>
                <w:szCs w:val="12"/>
                <w:color w:val="auto"/>
              </w:rPr>
            </w:pPr>
          </w:p>
        </w:tc>
        <w:tc>
          <w:tcPr>
            <w:tcW w:w="1200" w:type="dxa"/>
            <w:vAlign w:val="bottom"/>
          </w:tcPr>
          <w:p>
            <w:pPr>
              <w:jc w:val="right"/>
              <w:ind w:right="353"/>
              <w:spacing w:after="0" w:line="143" w:lineRule="exact"/>
              <w:rPr>
                <w:sz w:val="20"/>
                <w:szCs w:val="20"/>
                <w:color w:val="auto"/>
              </w:rPr>
            </w:pPr>
            <w:r>
              <w:rPr>
                <w:rFonts w:ascii="Arial" w:cs="Arial" w:eastAsia="Arial" w:hAnsi="Arial"/>
                <w:sz w:val="14"/>
                <w:szCs w:val="14"/>
                <w:b w:val="1"/>
                <w:bCs w:val="1"/>
                <w:color w:val="auto"/>
              </w:rPr>
              <w:t>Liability</w:t>
            </w:r>
          </w:p>
        </w:tc>
      </w:tr>
      <w:tr>
        <w:trPr>
          <w:trHeight w:val="189"/>
        </w:trPr>
        <w:tc>
          <w:tcPr>
            <w:tcW w:w="3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Derivatives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Derivatives</w:t>
            </w:r>
          </w:p>
        </w:tc>
      </w:tr>
      <w:tr>
        <w:trPr>
          <w:trHeight w:val="196"/>
        </w:trPr>
        <w:tc>
          <w:tcPr>
            <w:tcW w:w="3160" w:type="dxa"/>
            <w:vAlign w:val="bottom"/>
          </w:tcPr>
          <w:p>
            <w:pPr>
              <w:spacing w:after="0"/>
              <w:rPr>
                <w:sz w:val="17"/>
                <w:szCs w:val="17"/>
                <w:color w:val="auto"/>
              </w:rPr>
            </w:pPr>
          </w:p>
        </w:tc>
        <w:tc>
          <w:tcPr>
            <w:tcW w:w="2040" w:type="dxa"/>
            <w:vAlign w:val="bottom"/>
          </w:tcPr>
          <w:p>
            <w:pPr>
              <w:jc w:val="center"/>
              <w:ind w:left="215"/>
              <w:spacing w:after="0" w:line="196" w:lineRule="exact"/>
              <w:rPr>
                <w:sz w:val="20"/>
                <w:szCs w:val="20"/>
                <w:color w:val="auto"/>
              </w:rPr>
            </w:pPr>
            <w:r>
              <w:rPr>
                <w:rFonts w:ascii="Arial" w:cs="Arial" w:eastAsia="Arial" w:hAnsi="Arial"/>
                <w:sz w:val="14"/>
                <w:szCs w:val="14"/>
                <w:b w:val="1"/>
                <w:bCs w:val="1"/>
                <w:color w:val="auto"/>
                <w:w w:val="99"/>
              </w:rPr>
              <w:t xml:space="preserve">Type of Hedge </w:t>
            </w:r>
            <w:r>
              <w:rPr>
                <w:rFonts w:ascii="Arial" w:cs="Arial" w:eastAsia="Arial" w:hAnsi="Arial"/>
                <w:sz w:val="18"/>
                <w:szCs w:val="18"/>
                <w:b w:val="1"/>
                <w:bCs w:val="1"/>
                <w:color w:val="auto"/>
                <w:w w:val="99"/>
                <w:vertAlign w:val="superscript"/>
              </w:rPr>
              <w:t>(1)</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316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b w:val="1"/>
                <w:bCs w:val="1"/>
                <w:color w:val="auto"/>
              </w:rPr>
              <w:t xml:space="preserve">accounting hedges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2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2040" w:type="dxa"/>
            <w:vAlign w:val="bottom"/>
          </w:tcPr>
          <w:p>
            <w:pPr>
              <w:jc w:val="center"/>
              <w:ind w:left="215"/>
              <w:spacing w:after="0"/>
              <w:rPr>
                <w:sz w:val="20"/>
                <w:szCs w:val="20"/>
                <w:color w:val="auto"/>
              </w:rPr>
            </w:pPr>
            <w:r>
              <w:rPr>
                <w:rFonts w:ascii="Arial" w:cs="Arial" w:eastAsia="Arial" w:hAnsi="Arial"/>
                <w:sz w:val="18"/>
                <w:szCs w:val="18"/>
                <w:color w:val="auto"/>
                <w:w w:val="96"/>
              </w:rPr>
              <w:t>NIH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4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99"/>
              </w:rPr>
              <w:t>CF</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Cross-currency swap contracts</w:t>
            </w:r>
          </w:p>
        </w:tc>
        <w:tc>
          <w:tcPr>
            <w:tcW w:w="2040" w:type="dxa"/>
            <w:vAlign w:val="bottom"/>
            <w:tcBorders>
              <w:bottom w:val="single" w:sz="8" w:color="CCEEFF"/>
            </w:tcBorders>
          </w:tcPr>
          <w:p>
            <w:pPr>
              <w:jc w:val="center"/>
              <w:ind w:left="235"/>
              <w:spacing w:after="0"/>
              <w:rPr>
                <w:sz w:val="20"/>
                <w:szCs w:val="20"/>
                <w:color w:val="auto"/>
              </w:rPr>
            </w:pPr>
            <w:r>
              <w:rPr>
                <w:rFonts w:ascii="Arial" w:cs="Arial" w:eastAsia="Arial" w:hAnsi="Arial"/>
                <w:sz w:val="18"/>
                <w:szCs w:val="18"/>
                <w:color w:val="auto"/>
                <w:w w:val="99"/>
              </w:rPr>
              <w:t>CF/NIH</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3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155"/>
        </w:trPr>
        <w:tc>
          <w:tcPr>
            <w:tcW w:w="31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1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w:t>
            </w:r>
          </w:p>
        </w:tc>
      </w:tr>
      <w:tr>
        <w:trPr>
          <w:trHeight w:val="248"/>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fair value</w:t>
            </w:r>
          </w:p>
        </w:tc>
        <w:tc>
          <w:tcPr>
            <w:tcW w:w="2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Derivative contracts designated as either cash flow ("CF") or net investment hedging ("NIH") instruments.</w:t>
      </w:r>
    </w:p>
    <w:p>
      <w:pPr>
        <w:spacing w:after="0" w:line="28" w:lineRule="exact"/>
        <w:rPr>
          <w:rFonts w:ascii="Arial" w:cs="Arial" w:eastAsia="Arial" w:hAnsi="Arial"/>
          <w:sz w:val="14"/>
          <w:szCs w:val="14"/>
          <w:color w:val="auto"/>
        </w:rPr>
      </w:pPr>
    </w:p>
    <w:p>
      <w:pPr>
        <w:jc w:val="both"/>
        <w:ind w:left="340" w:hanging="332"/>
        <w:spacing w:after="0" w:line="269"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We designate some of our non-U.S. dollar denominated debt to hedge a portion of our net investments in our non-U.S. operations. This debt is not reflected in the table above, but is included in long-term debt discussed in Note 7,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Non-U.S. dollar denominated debt designated as net investment hedges is also disclosed in the </w:t>
      </w:r>
      <w:r>
        <w:rPr>
          <w:rFonts w:ascii="Arial" w:cs="Arial" w:eastAsia="Arial" w:hAnsi="Arial"/>
          <w:sz w:val="14"/>
          <w:szCs w:val="14"/>
          <w:i w:val="1"/>
          <w:iCs w:val="1"/>
          <w:color w:val="auto"/>
        </w:rPr>
        <w:t>Notional Amounts of Derivatives and Other Hedging Instruments</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fair value of our derivative instruments in the condensed consolidated balance sheets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20" w:type="dxa"/>
            <w:vAlign w:val="bottom"/>
          </w:tcPr>
          <w:p>
            <w:pPr>
              <w:spacing w:after="0"/>
              <w:rPr>
                <w:sz w:val="17"/>
                <w:szCs w:val="17"/>
                <w:color w:val="auto"/>
              </w:rPr>
            </w:pPr>
          </w:p>
        </w:tc>
        <w:tc>
          <w:tcPr>
            <w:tcW w:w="25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As of June 30, 2025</w:t>
            </w:r>
          </w:p>
        </w:tc>
        <w:tc>
          <w:tcPr>
            <w:tcW w:w="7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As of December 31, 2024</w:t>
            </w:r>
          </w:p>
        </w:tc>
      </w:tr>
      <w:tr>
        <w:trPr>
          <w:trHeight w:val="196"/>
        </w:trPr>
        <w:tc>
          <w:tcPr>
            <w:tcW w:w="46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26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500" w:type="dxa"/>
            <w:vAlign w:val="bottom"/>
            <w:shd w:val="clear" w:color="auto" w:fill="CCEEFF"/>
          </w:tcPr>
          <w:p>
            <w:pPr>
              <w:jc w:val="right"/>
              <w:ind w:right="229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1,008</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50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191</w:t>
            </w:r>
          </w:p>
        </w:tc>
        <w:tc>
          <w:tcPr>
            <w:tcW w:w="64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5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1,202</w:t>
            </w:r>
          </w:p>
        </w:tc>
        <w:tc>
          <w:tcPr>
            <w:tcW w:w="6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39"/>
        </w:trPr>
        <w:tc>
          <w:tcPr>
            <w:tcW w:w="46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50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609</w:t>
            </w:r>
          </w:p>
        </w:tc>
        <w:tc>
          <w:tcPr>
            <w:tcW w:w="64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As of June 30, 2025</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4"/>
        </w:trPr>
        <w:tc>
          <w:tcPr>
            <w:tcW w:w="45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9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4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-548005</wp:posOffset>
            </wp:positionV>
            <wp:extent cx="28257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As of December 31, 2024</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1"/>
                <w:szCs w:val="11"/>
                <w:color w:val="auto"/>
              </w:rPr>
            </w:pPr>
          </w:p>
        </w:tc>
        <w:tc>
          <w:tcPr>
            <w:tcW w:w="16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Fair Value of Net</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Asset/(Liability)</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Level 1 fair value measurements use quoted prices in active markets for identical assets or liabilities. Level 1 financial assets and liabilities consist of exchange-traded commodity futures and listed options. The fair value of these instruments is determined based on quoted market prices on commodity exchanges.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Level 2 fair value measurements use quoted prices for similar assets or liabilities in active markets, quoted prices for identical or similar assets or liabilities in markets with insufficient volume or infrequent transactions, or model-based valuations in which significant inputs are observable in the market. Level 2 financial assets and liabilities consist primarily of over-the-counter (“OTC”) foreign currency forwards and options; commodity forwards and options; interest rate swaps; and cross-currency swaps. Our foreign currency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Level 3 fair value measurements use unobservable inputs and include the use of judgment by management about the assumptions market participants use in pricing the asset or liability. Level 3 financial liabilities consist of contingent consideration arrangements, which are presented in the </w:t>
      </w:r>
      <w:r>
        <w:rPr>
          <w:rFonts w:ascii="Arial" w:cs="Arial" w:eastAsia="Arial" w:hAnsi="Arial"/>
          <w:sz w:val="18"/>
          <w:szCs w:val="18"/>
          <w:i w:val="1"/>
          <w:iCs w:val="1"/>
          <w:color w:val="auto"/>
        </w:rPr>
        <w:t>Fair Value of Contingent Consideration</w:t>
      </w:r>
      <w:r>
        <w:rPr>
          <w:rFonts w:ascii="Arial" w:cs="Arial" w:eastAsia="Arial" w:hAnsi="Arial"/>
          <w:sz w:val="18"/>
          <w:szCs w:val="18"/>
          <w:color w:val="auto"/>
        </w:rPr>
        <w:t xml:space="preserve"> section appearing later in this footnote.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Notional Amounts of Derivatives and Other Hedging Instruments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gross notional values of our derivative instruments, as well as non-U.S. dollar debt designated as net investment hedging instruments, were: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4"/>
                <w:szCs w:val="14"/>
                <w:b w:val="1"/>
                <w:bCs w:val="1"/>
                <w:color w:val="auto"/>
              </w:rPr>
              <w:t>Notional Amount</w:t>
            </w:r>
          </w:p>
        </w:tc>
        <w:tc>
          <w:tcPr>
            <w:tcW w:w="9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As of June 30,</w:t>
            </w:r>
          </w:p>
        </w:tc>
        <w:tc>
          <w:tcPr>
            <w:tcW w:w="19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As of December 31, 2024</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3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center"/>
              <w:ind w:right="7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348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20,667</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13,973</w:t>
            </w:r>
          </w:p>
        </w:tc>
        <w:tc>
          <w:tcPr>
            <w:tcW w:w="9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2,089</w:t>
            </w: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2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7,219</w:t>
            </w:r>
          </w:p>
        </w:tc>
        <w:tc>
          <w:tcPr>
            <w:tcW w:w="9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dollar debt designated as net investment hedges:</w:t>
            </w:r>
          </w:p>
        </w:tc>
        <w:tc>
          <w:tcPr>
            <w:tcW w:w="2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Euro notes</w:t>
            </w:r>
          </w:p>
        </w:tc>
        <w:tc>
          <w:tcPr>
            <w:tcW w:w="2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3,755</w:t>
            </w:r>
          </w:p>
        </w:tc>
        <w:tc>
          <w:tcPr>
            <w:tcW w:w="9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Swiss franc notes</w:t>
            </w:r>
          </w:p>
        </w:tc>
        <w:tc>
          <w:tcPr>
            <w:tcW w:w="2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252</w:t>
            </w: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20"/>
              <w:spacing w:after="0"/>
              <w:rPr>
                <w:sz w:val="20"/>
                <w:szCs w:val="20"/>
                <w:color w:val="auto"/>
              </w:rPr>
            </w:pPr>
            <w:r>
              <w:rPr>
                <w:rFonts w:ascii="Arial" w:cs="Arial" w:eastAsia="Arial" w:hAnsi="Arial"/>
                <w:sz w:val="18"/>
                <w:szCs w:val="18"/>
                <w:color w:val="auto"/>
              </w:rPr>
              <w:t>Canadian dollar notes</w:t>
            </w:r>
          </w:p>
        </w:tc>
        <w:tc>
          <w:tcPr>
            <w:tcW w:w="2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478</w:t>
            </w:r>
          </w:p>
        </w:tc>
        <w:tc>
          <w:tcPr>
            <w:tcW w:w="9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4"/>
        </w:trPr>
        <w:tc>
          <w:tcPr>
            <w:tcW w:w="5120" w:type="dxa"/>
            <w:vAlign w:val="bottom"/>
          </w:tcPr>
          <w:p>
            <w:pPr>
              <w:spacing w:after="0"/>
              <w:rPr>
                <w:sz w:val="24"/>
                <w:szCs w:val="24"/>
                <w:color w:val="auto"/>
              </w:rPr>
            </w:pPr>
          </w:p>
        </w:tc>
        <w:tc>
          <w:tcPr>
            <w:tcW w:w="2360" w:type="dxa"/>
            <w:vAlign w:val="bottom"/>
          </w:tcPr>
          <w:p>
            <w:pPr>
              <w:jc w:val="right"/>
              <w:ind w:right="1676"/>
              <w:spacing w:after="0"/>
              <w:rPr>
                <w:sz w:val="20"/>
                <w:szCs w:val="20"/>
                <w:color w:val="auto"/>
              </w:rPr>
            </w:pPr>
            <w:r>
              <w:rPr>
                <w:rFonts w:ascii="Arial" w:cs="Arial" w:eastAsia="Arial" w:hAnsi="Arial"/>
                <w:sz w:val="18"/>
                <w:szCs w:val="18"/>
                <w:color w:val="auto"/>
              </w:rPr>
              <w:t>13</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1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-548005</wp:posOffset>
            </wp:positionV>
            <wp:extent cx="28257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derivative instruments designated as cash flow hedges include interest rate swaps and cross-currency swaps. As of June 30, 2025, the aggregate notional value of those derivatives was $1.6 billion.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Cash flow hedge activity, net of taxes, is recorded within accumulated other comprehensive earnings/(losses). Refer to Note 12, </w:t>
      </w:r>
      <w:r>
        <w:rPr>
          <w:rFonts w:ascii="Arial" w:cs="Arial" w:eastAsia="Arial" w:hAnsi="Arial"/>
          <w:sz w:val="18"/>
          <w:szCs w:val="18"/>
          <w:i w:val="1"/>
          <w:iCs w:val="1"/>
          <w:color w:val="auto"/>
        </w:rPr>
        <w:t xml:space="preserve">Reclassifications from Accumulated Other Comprehensive Income </w:t>
      </w:r>
      <w:r>
        <w:rPr>
          <w:rFonts w:ascii="Arial" w:cs="Arial" w:eastAsia="Arial" w:hAnsi="Arial"/>
          <w:sz w:val="18"/>
          <w:szCs w:val="18"/>
          <w:color w:val="auto"/>
        </w:rPr>
        <w:t>for additional information on current period activity. Based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conditions, $ 57 million of losses, net of taxes, included in accumulated other comprehensive earnings/(losses) from cash flow hedges as of June 30, 2025 are expected to be recognized into earnings during the next 12 months.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2025, our longest dated cash flow hedges were interest rate swaps that hedge forecasted interest rate payments over the next 3 years, 6 months.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hedge ("NIH") derivative contracts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enter into foreign currency contracts and cross-currency swaps to hedge certain investments in our non-U.S. operations against movements in exchange rates. As of June 30, 2025, the aggregate notional value of those derivatives was $9.3 billion.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hedge derivative contract pre-tax impacts on other comprehensive earnings/(losses) and net earnings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jc w:val="center"/>
              <w:ind w:right="376"/>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439"/>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(Loss)/gain on NIH contracts </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6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6" w:lineRule="exact"/>
              <w:rPr>
                <w:sz w:val="20"/>
                <w:szCs w:val="20"/>
                <w:color w:val="auto"/>
              </w:rPr>
            </w:pPr>
            <w:r>
              <w:rPr>
                <w:rFonts w:ascii="Arial" w:cs="Arial" w:eastAsia="Arial" w:hAnsi="Arial"/>
                <w:sz w:val="18"/>
                <w:szCs w:val="18"/>
                <w:color w:val="auto"/>
              </w:rPr>
              <w:t>Amounts excluded from the assessment of hedge effectiveness</w:t>
            </w:r>
          </w:p>
        </w:tc>
        <w:tc>
          <w:tcPr>
            <w:tcW w:w="920" w:type="dxa"/>
            <w:vAlign w:val="bottom"/>
          </w:tcPr>
          <w:p>
            <w:pPr>
              <w:spacing w:after="0"/>
              <w:rPr>
                <w:sz w:val="15"/>
                <w:szCs w:val="15"/>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8"/>
                <w:szCs w:val="18"/>
                <w:color w:val="auto"/>
              </w:rPr>
              <w:t>67</w:t>
            </w:r>
          </w:p>
        </w:tc>
        <w:tc>
          <w:tcPr>
            <w:tcW w:w="10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vMerge w:val="restart"/>
          </w:tcPr>
          <w:p>
            <w:pPr>
              <w:jc w:val="right"/>
              <w:ind w:right="61"/>
              <w:spacing w:after="0"/>
              <w:rPr>
                <w:sz w:val="20"/>
                <w:szCs w:val="20"/>
                <w:color w:val="auto"/>
              </w:rPr>
            </w:pPr>
            <w:r>
              <w:rPr>
                <w:rFonts w:ascii="Arial" w:cs="Arial" w:eastAsia="Arial" w:hAnsi="Arial"/>
                <w:sz w:val="18"/>
                <w:szCs w:val="18"/>
                <w:color w:val="auto"/>
              </w:rPr>
              <w:t>124</w:t>
            </w:r>
          </w:p>
        </w:tc>
        <w:tc>
          <w:tcPr>
            <w:tcW w:w="4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52"/>
        </w:trPr>
        <w:tc>
          <w:tcPr>
            <w:tcW w:w="5200" w:type="dxa"/>
            <w:vAlign w:val="bottom"/>
          </w:tcPr>
          <w:p>
            <w:pPr>
              <w:ind w:left="20"/>
              <w:spacing w:after="0"/>
              <w:rPr>
                <w:sz w:val="20"/>
                <w:szCs w:val="20"/>
                <w:color w:val="auto"/>
              </w:rPr>
            </w:pPr>
            <w:r>
              <w:rPr>
                <w:rFonts w:ascii="Arial" w:cs="Arial" w:eastAsia="Arial" w:hAnsi="Arial"/>
                <w:sz w:val="12"/>
                <w:szCs w:val="12"/>
                <w:color w:val="auto"/>
              </w:rPr>
              <w:t>(2)</w:t>
            </w:r>
          </w:p>
        </w:tc>
        <w:tc>
          <w:tcPr>
            <w:tcW w:w="9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340" w:hanging="332"/>
        <w:spacing w:after="0" w:line="272"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within the cumulative translation adjustment section of other comprehensive earnings/(losses).</w:t>
      </w:r>
    </w:p>
    <w:p>
      <w:pPr>
        <w:spacing w:after="0" w:line="182" w:lineRule="exact"/>
        <w:rPr>
          <w:rFonts w:ascii="Arial" w:cs="Arial" w:eastAsia="Arial" w:hAnsi="Arial"/>
          <w:sz w:val="14"/>
          <w:szCs w:val="14"/>
          <w:color w:val="auto"/>
        </w:rPr>
      </w:pPr>
    </w:p>
    <w:p>
      <w:pPr>
        <w:ind w:left="340" w:right="20" w:hanging="332"/>
        <w:spacing w:after="0" w:line="284"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assess the effectiveness of NIH relationships based on spot rates and amortize the initial value attributable to the excluded component to earnings over the life of the hedging instrument within interest and other expense,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Non-U.S. dollar debt designated as net investment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related to non-U.S. dollar debt designated as hedges of net investments in international operations, which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recorded within the cumulative translation adjustment section of other comprehensive earnings/(losses), were: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jc w:val="center"/>
              <w:ind w:right="375"/>
              <w:spacing w:after="0"/>
              <w:rPr>
                <w:sz w:val="20"/>
                <w:szCs w:val="20"/>
                <w:color w:val="auto"/>
              </w:rPr>
            </w:pPr>
            <w:r>
              <w:rPr>
                <w:rFonts w:ascii="Arial" w:cs="Arial" w:eastAsia="Arial" w:hAnsi="Arial"/>
                <w:sz w:val="14"/>
                <w:szCs w:val="14"/>
                <w:b w:val="1"/>
                <w:bCs w:val="1"/>
                <w:color w:val="auto"/>
              </w:rPr>
              <w:t>For the Six Months Ended</w:t>
            </w:r>
          </w:p>
        </w:tc>
      </w:tr>
      <w:tr>
        <w:trPr>
          <w:trHeight w:val="185"/>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439"/>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6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Swiss franc notes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Canadian notes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530"/>
        </w:trPr>
        <w:tc>
          <w:tcPr>
            <w:tcW w:w="5200" w:type="dxa"/>
            <w:vAlign w:val="bottom"/>
          </w:tcPr>
          <w:p>
            <w:pPr>
              <w:spacing w:after="0"/>
              <w:rPr>
                <w:sz w:val="24"/>
                <w:szCs w:val="24"/>
                <w:color w:val="auto"/>
              </w:rPr>
            </w:pPr>
          </w:p>
        </w:tc>
        <w:tc>
          <w:tcPr>
            <w:tcW w:w="920" w:type="dxa"/>
            <w:vAlign w:val="bottom"/>
          </w:tcPr>
          <w:p>
            <w:pPr>
              <w:jc w:val="right"/>
              <w:ind w:right="319"/>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9"/>
        </w:trPr>
        <w:tc>
          <w:tcPr>
            <w:tcW w:w="5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-548005</wp:posOffset>
            </wp:positionV>
            <wp:extent cx="28257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Accounting Hedges</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For derivatives not designated as accounting hedges ("economic hedges"), we classify gains and losses in the income statement based on the classification of the item economically hedged. Pre-tax gains/(losses) recorded in net earnings for economic hedges were: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For the Six Months Ended</w:t>
            </w:r>
          </w:p>
        </w:tc>
      </w:tr>
      <w:tr>
        <w:trPr>
          <w:trHeight w:val="189"/>
        </w:trPr>
        <w:tc>
          <w:tcPr>
            <w:tcW w:w="52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r>
      <w:tr>
        <w:trPr>
          <w:trHeight w:val="196"/>
        </w:trPr>
        <w:tc>
          <w:tcPr>
            <w:tcW w:w="5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Interest and other expense, net</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 - Cost of sales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 - Interest and other expense, net</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Contingent Consideration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Contingent consideration liabilities, which reflect earn-out arrangements from business combinations, are recorded at fair value each period, with changes in fair value reported in earnings. The fair values of our contingent consideration liabilities were $142 million and $179 million as of June 30, 2025 and December 31, 2024, respectively. Contingent consideration liabilities are primarily recorded in O</w:t>
      </w:r>
      <w:r>
        <w:rPr>
          <w:rFonts w:ascii="Arial" w:cs="Arial" w:eastAsia="Arial" w:hAnsi="Arial"/>
          <w:sz w:val="18"/>
          <w:szCs w:val="18"/>
          <w:i w:val="1"/>
          <w:iCs w:val="1"/>
          <w:color w:val="auto"/>
        </w:rPr>
        <w:t>ther liabilities</w:t>
      </w:r>
      <w:r>
        <w:rPr>
          <w:rFonts w:ascii="Arial" w:cs="Arial" w:eastAsia="Arial" w:hAnsi="Arial"/>
          <w:sz w:val="18"/>
          <w:szCs w:val="18"/>
          <w:color w:val="auto"/>
        </w:rPr>
        <w:t xml:space="preserve"> in the condensed consolidated balance sheets and changes in their fair values are primarily recorded in S</w:t>
      </w:r>
      <w:r>
        <w:rPr>
          <w:rFonts w:ascii="Arial" w:cs="Arial" w:eastAsia="Arial" w:hAnsi="Arial"/>
          <w:sz w:val="18"/>
          <w:szCs w:val="18"/>
          <w:i w:val="1"/>
          <w:iCs w:val="1"/>
          <w:color w:val="auto"/>
        </w:rPr>
        <w:t>elling, general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in the condensed consolidated statements of earnings.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estimated fair values of our contingent consideration liabilities were primarily determined using Monte Carlo simulations. Significant assumptions used in assessing the fair value of the liabilities include financial projections for net revenue, gross profit and EBITDA, as well as discount and volatility rates. Fair value measurements of contingent consideration liabilities are classified as Level 3 in the fair value hierarchy because they use unobservable inputs.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Contingent consideration liabilities include an earn-out arrangement related to the acquisition of Clif Bar &amp; Company (“Clif Bar”) in 2022. The possible payments under that arrangement range from zero to a maximum total of $2.4 billion, with higher payouts requiring the achievement of targets that generate rates of returns in excess of the base financial projections.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contingent consideration liability activity: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22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4"/>
          </w:tcPr>
          <w:p>
            <w:pPr>
              <w:jc w:val="center"/>
              <w:ind w:right="373"/>
              <w:spacing w:after="0"/>
              <w:rPr>
                <w:sz w:val="20"/>
                <w:szCs w:val="20"/>
                <w:color w:val="auto"/>
              </w:rPr>
            </w:pPr>
            <w:r>
              <w:rPr>
                <w:rFonts w:ascii="Arial" w:cs="Arial" w:eastAsia="Arial" w:hAnsi="Arial"/>
                <w:sz w:val="14"/>
                <w:szCs w:val="14"/>
                <w:b w:val="1"/>
                <w:bCs w:val="1"/>
                <w:color w:val="auto"/>
              </w:rPr>
              <w:t>For the Six Months Ended</w:t>
            </w:r>
          </w:p>
        </w:tc>
      </w:tr>
      <w:tr>
        <w:trPr>
          <w:trHeight w:val="189"/>
        </w:trPr>
        <w:tc>
          <w:tcPr>
            <w:tcW w:w="36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61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4"/>
                <w:szCs w:val="14"/>
                <w:b w:val="1"/>
                <w:bCs w:val="1"/>
                <w:color w:val="auto"/>
              </w:rPr>
              <w:t>June 30,</w:t>
            </w:r>
          </w:p>
        </w:tc>
        <w:tc>
          <w:tcPr>
            <w:tcW w:w="1280" w:type="dxa"/>
            <w:vAlign w:val="bottom"/>
            <w:tcBorders>
              <w:bottom w:val="single" w:sz="8" w:color="auto"/>
            </w:tcBorders>
          </w:tcPr>
          <w:p>
            <w:pPr>
              <w:spacing w:after="0"/>
              <w:rPr>
                <w:sz w:val="16"/>
                <w:szCs w:val="16"/>
                <w:color w:val="auto"/>
              </w:rPr>
            </w:pPr>
          </w:p>
        </w:tc>
      </w:tr>
      <w:tr>
        <w:trPr>
          <w:trHeight w:val="195"/>
        </w:trPr>
        <w:tc>
          <w:tcPr>
            <w:tcW w:w="3600" w:type="dxa"/>
            <w:vAlign w:val="bottom"/>
          </w:tcPr>
          <w:p>
            <w:pPr>
              <w:spacing w:after="0"/>
              <w:rPr>
                <w:sz w:val="16"/>
                <w:szCs w:val="16"/>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2024</w:t>
            </w:r>
          </w:p>
        </w:tc>
      </w:tr>
      <w:tr>
        <w:trPr>
          <w:trHeight w:val="196"/>
        </w:trPr>
        <w:tc>
          <w:tcPr>
            <w:tcW w:w="3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60" w:type="dxa"/>
            <w:vAlign w:val="bottom"/>
            <w:gridSpan w:val="3"/>
          </w:tcPr>
          <w:p>
            <w:pPr>
              <w:jc w:val="center"/>
              <w:ind w:right="61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40" w:type="dxa"/>
            <w:vAlign w:val="bottom"/>
            <w:gridSpan w:val="3"/>
          </w:tcPr>
          <w:p>
            <w:pPr>
              <w:jc w:val="center"/>
              <w:ind w:left="758"/>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7"/>
                <w:szCs w:val="17"/>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at beginning of period</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380" w:type="dxa"/>
            <w:vAlign w:val="bottom"/>
            <w:gridSpan w:val="2"/>
            <w:shd w:val="clear" w:color="auto" w:fill="CCEEFF"/>
          </w:tcPr>
          <w:p>
            <w:pPr>
              <w:jc w:val="center"/>
              <w:ind w:right="9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29"/>
        </w:trPr>
        <w:tc>
          <w:tcPr>
            <w:tcW w:w="3600" w:type="dxa"/>
            <w:vAlign w:val="bottom"/>
          </w:tcPr>
          <w:p>
            <w:pPr>
              <w:ind w:left="140"/>
              <w:spacing w:after="0"/>
              <w:rPr>
                <w:sz w:val="20"/>
                <w:szCs w:val="20"/>
                <w:color w:val="auto"/>
              </w:rPr>
            </w:pPr>
            <w:r>
              <w:rPr>
                <w:rFonts w:ascii="Arial" w:cs="Arial" w:eastAsia="Arial" w:hAnsi="Arial"/>
                <w:sz w:val="18"/>
                <w:szCs w:val="18"/>
                <w:color w:val="auto"/>
              </w:rPr>
              <w:t>Changes in fair value</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3600" w:type="dxa"/>
            <w:vAlign w:val="bottom"/>
          </w:tcPr>
          <w:p>
            <w:pPr>
              <w:ind w:left="140"/>
              <w:spacing w:after="0"/>
              <w:rPr>
                <w:sz w:val="20"/>
                <w:szCs w:val="20"/>
                <w:color w:val="auto"/>
              </w:rPr>
            </w:pPr>
            <w:r>
              <w:rPr>
                <w:rFonts w:ascii="Arial" w:cs="Arial" w:eastAsia="Arial" w:hAnsi="Arial"/>
                <w:sz w:val="18"/>
                <w:szCs w:val="18"/>
                <w:color w:val="auto"/>
              </w:rPr>
              <w:t>Currency</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at end of period</w:t>
            </w:r>
          </w:p>
        </w:tc>
        <w:tc>
          <w:tcPr>
            <w:tcW w:w="1260" w:type="dxa"/>
            <w:vAlign w:val="bottom"/>
            <w:tcBorders>
              <w:top w:val="single" w:sz="8" w:color="auto"/>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center"/>
              <w:ind w:right="10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3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gridSpan w:val="2"/>
          </w:tcPr>
          <w:p>
            <w:pPr>
              <w:jc w:val="center"/>
              <w:ind w:right="930"/>
              <w:spacing w:after="0"/>
              <w:rPr>
                <w:sz w:val="20"/>
                <w:szCs w:val="20"/>
                <w:color w:val="auto"/>
              </w:rPr>
            </w:pPr>
            <w:r>
              <w:rPr>
                <w:rFonts w:ascii="Arial" w:cs="Arial" w:eastAsia="Arial" w:hAnsi="Arial"/>
                <w:sz w:val="18"/>
                <w:szCs w:val="18"/>
                <w:color w:val="auto"/>
                <w:w w:val="99"/>
              </w:rPr>
              <w:t>15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5"/>
        </w:trPr>
        <w:tc>
          <w:tcPr>
            <w:tcW w:w="36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-539115</wp:posOffset>
            </wp:positionV>
            <wp:extent cx="28257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cost/(benefit)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576"/>
              <w:spacing w:after="0"/>
              <w:rPr>
                <w:sz w:val="20"/>
                <w:szCs w:val="20"/>
                <w:color w:val="auto"/>
              </w:rPr>
            </w:pPr>
            <w:r>
              <w:rPr>
                <w:rFonts w:ascii="Arial" w:cs="Arial" w:eastAsia="Arial" w:hAnsi="Arial"/>
                <w:sz w:val="14"/>
                <w:szCs w:val="14"/>
                <w:b w:val="1"/>
                <w:bCs w:val="1"/>
                <w:color w:val="auto"/>
              </w:rPr>
              <w:t>U.S. Plans</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Non-U.S. Plans</w:t>
            </w:r>
          </w:p>
        </w:tc>
        <w:tc>
          <w:tcPr>
            <w:tcW w:w="540" w:type="dxa"/>
            <w:vAlign w:val="bottom"/>
            <w:tcBorders>
              <w:bottom w:val="single" w:sz="8" w:color="auto"/>
            </w:tcBorders>
          </w:tcPr>
          <w:p>
            <w:pPr>
              <w:spacing w:after="0"/>
              <w:rPr>
                <w:sz w:val="17"/>
                <w:szCs w:val="17"/>
                <w:color w:val="auto"/>
              </w:rPr>
            </w:pPr>
          </w:p>
        </w:tc>
      </w:tr>
      <w:tr>
        <w:trPr>
          <w:trHeight w:val="143"/>
        </w:trPr>
        <w:tc>
          <w:tcPr>
            <w:tcW w:w="4460" w:type="dxa"/>
            <w:vAlign w:val="bottom"/>
          </w:tcPr>
          <w:p>
            <w:pPr>
              <w:spacing w:after="0"/>
              <w:rPr>
                <w:sz w:val="12"/>
                <w:szCs w:val="12"/>
                <w:color w:val="auto"/>
              </w:rPr>
            </w:pPr>
          </w:p>
        </w:tc>
        <w:tc>
          <w:tcPr>
            <w:tcW w:w="2880" w:type="dxa"/>
            <w:vAlign w:val="bottom"/>
            <w:gridSpan w:val="4"/>
          </w:tcPr>
          <w:p>
            <w:pPr>
              <w:jc w:val="center"/>
              <w:ind w:left="43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4"/>
          </w:tcPr>
          <w:p>
            <w:pPr>
              <w:jc w:val="center"/>
              <w:ind w:left="43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2"/>
                <w:szCs w:val="12"/>
                <w:color w:val="auto"/>
              </w:rPr>
            </w:pPr>
          </w:p>
        </w:tc>
      </w:tr>
      <w:tr>
        <w:trPr>
          <w:trHeight w:val="189"/>
        </w:trPr>
        <w:tc>
          <w:tcPr>
            <w:tcW w:w="44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57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r>
      <w:tr>
        <w:trPr>
          <w:trHeight w:val="195"/>
        </w:trPr>
        <w:tc>
          <w:tcPr>
            <w:tcW w:w="4460" w:type="dxa"/>
            <w:vAlign w:val="bottom"/>
          </w:tcPr>
          <w:p>
            <w:pPr>
              <w:spacing w:after="0"/>
              <w:rPr>
                <w:sz w:val="16"/>
                <w:szCs w:val="16"/>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196"/>
        </w:trPr>
        <w:tc>
          <w:tcPr>
            <w:tcW w:w="4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6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1"/>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Amortization of net loss and prior service cost</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losses</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Pr>
          <w:p>
            <w:pPr>
              <w:ind w:left="120"/>
              <w:spacing w:after="0"/>
              <w:rPr>
                <w:sz w:val="20"/>
                <w:szCs w:val="20"/>
                <w:color w:val="auto"/>
              </w:rPr>
            </w:pPr>
            <w:r>
              <w:rPr>
                <w:rFonts w:ascii="Arial" w:cs="Arial" w:eastAsia="Arial" w:hAnsi="Arial"/>
                <w:sz w:val="18"/>
                <w:szCs w:val="18"/>
                <w:color w:val="auto"/>
              </w:rPr>
              <w:t>Net periodic pension cost/(benefit)</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30"/>
        </w:trPr>
        <w:tc>
          <w:tcPr>
            <w:tcW w:w="446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576"/>
              <w:spacing w:after="0"/>
              <w:rPr>
                <w:sz w:val="20"/>
                <w:szCs w:val="20"/>
                <w:color w:val="auto"/>
              </w:rPr>
            </w:pPr>
            <w:r>
              <w:rPr>
                <w:rFonts w:ascii="Arial" w:cs="Arial" w:eastAsia="Arial" w:hAnsi="Arial"/>
                <w:sz w:val="14"/>
                <w:szCs w:val="14"/>
                <w:b w:val="1"/>
                <w:bCs w:val="1"/>
                <w:color w:val="auto"/>
              </w:rPr>
              <w:t>U.S. Plans</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Non-U.S. Plans</w:t>
            </w:r>
          </w:p>
        </w:tc>
        <w:tc>
          <w:tcPr>
            <w:tcW w:w="540" w:type="dxa"/>
            <w:vAlign w:val="bottom"/>
            <w:tcBorders>
              <w:bottom w:val="single" w:sz="8" w:color="auto"/>
            </w:tcBorders>
          </w:tcPr>
          <w:p>
            <w:pPr>
              <w:spacing w:after="0"/>
              <w:rPr>
                <w:sz w:val="24"/>
                <w:szCs w:val="24"/>
                <w:color w:val="auto"/>
              </w:rPr>
            </w:pPr>
          </w:p>
        </w:tc>
      </w:tr>
      <w:tr>
        <w:trPr>
          <w:trHeight w:val="143"/>
        </w:trPr>
        <w:tc>
          <w:tcPr>
            <w:tcW w:w="4460" w:type="dxa"/>
            <w:vAlign w:val="bottom"/>
          </w:tcPr>
          <w:p>
            <w:pPr>
              <w:spacing w:after="0"/>
              <w:rPr>
                <w:sz w:val="12"/>
                <w:szCs w:val="12"/>
                <w:color w:val="auto"/>
              </w:rPr>
            </w:pPr>
          </w:p>
        </w:tc>
        <w:tc>
          <w:tcPr>
            <w:tcW w:w="2880" w:type="dxa"/>
            <w:vAlign w:val="bottom"/>
            <w:gridSpan w:val="4"/>
          </w:tcPr>
          <w:p>
            <w:pPr>
              <w:jc w:val="center"/>
              <w:ind w:left="459"/>
              <w:spacing w:after="0" w:line="143" w:lineRule="exact"/>
              <w:rPr>
                <w:sz w:val="20"/>
                <w:szCs w:val="20"/>
                <w:color w:val="auto"/>
              </w:rPr>
            </w:pPr>
            <w:r>
              <w:rPr>
                <w:rFonts w:ascii="Arial" w:cs="Arial" w:eastAsia="Arial" w:hAnsi="Arial"/>
                <w:sz w:val="14"/>
                <w:szCs w:val="14"/>
                <w:b w:val="1"/>
                <w:bCs w:val="1"/>
                <w:color w:val="auto"/>
              </w:rPr>
              <w:t>For the Six Months Ended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4"/>
          </w:tcPr>
          <w:p>
            <w:pPr>
              <w:jc w:val="center"/>
              <w:ind w:left="439"/>
              <w:spacing w:after="0" w:line="143" w:lineRule="exact"/>
              <w:rPr>
                <w:sz w:val="20"/>
                <w:szCs w:val="20"/>
                <w:color w:val="auto"/>
              </w:rPr>
            </w:pPr>
            <w:r>
              <w:rPr>
                <w:rFonts w:ascii="Arial" w:cs="Arial" w:eastAsia="Arial" w:hAnsi="Arial"/>
                <w:sz w:val="14"/>
                <w:szCs w:val="14"/>
                <w:b w:val="1"/>
                <w:bCs w:val="1"/>
                <w:color w:val="auto"/>
              </w:rPr>
              <w:t>For the Six Months Ended</w:t>
            </w:r>
          </w:p>
        </w:tc>
        <w:tc>
          <w:tcPr>
            <w:tcW w:w="540" w:type="dxa"/>
            <w:vAlign w:val="bottom"/>
          </w:tcPr>
          <w:p>
            <w:pPr>
              <w:spacing w:after="0"/>
              <w:rPr>
                <w:sz w:val="12"/>
                <w:szCs w:val="12"/>
                <w:color w:val="auto"/>
              </w:rPr>
            </w:pPr>
          </w:p>
        </w:tc>
      </w:tr>
      <w:tr>
        <w:trPr>
          <w:trHeight w:val="189"/>
        </w:trPr>
        <w:tc>
          <w:tcPr>
            <w:tcW w:w="44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57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r>
      <w:tr>
        <w:trPr>
          <w:trHeight w:val="195"/>
        </w:trPr>
        <w:tc>
          <w:tcPr>
            <w:tcW w:w="4460" w:type="dxa"/>
            <w:vAlign w:val="bottom"/>
          </w:tcPr>
          <w:p>
            <w:pPr>
              <w:spacing w:after="0"/>
              <w:rPr>
                <w:sz w:val="16"/>
                <w:szCs w:val="16"/>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196"/>
        </w:trPr>
        <w:tc>
          <w:tcPr>
            <w:tcW w:w="4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6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1"/>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Amortization of net loss and prior service cost</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losses</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Pr>
          <w:p>
            <w:pPr>
              <w:ind w:left="120"/>
              <w:spacing w:after="0"/>
              <w:rPr>
                <w:sz w:val="20"/>
                <w:szCs w:val="20"/>
                <w:color w:val="auto"/>
              </w:rPr>
            </w:pPr>
            <w:r>
              <w:rPr>
                <w:rFonts w:ascii="Arial" w:cs="Arial" w:eastAsia="Arial" w:hAnsi="Arial"/>
                <w:sz w:val="18"/>
                <w:szCs w:val="18"/>
                <w:color w:val="auto"/>
              </w:rPr>
              <w:t>Net periodic pension cost/(benefit)</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2025, we contributed $1 million and $45 million to our U.S. and non-U.S. pension plans,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make contributions to our pension plans in accordance with local funding arrangements and statutory minimum funding requirements.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Discretionary contributions are made to the extent that they are tax deductible and do not generate an excise tax liability.</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2025, we plan to make further contributions of approximately $10 million to our U.S. plans and $23 million to our non-U.S. plans for the remainder of 2025. However, our actual contributions may be different due to many factors, including changes in tax and other benefit laws, significant differences between expected and actual pension asset performance or changes in interest rates.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Mondelēz Global LLC Retirement Plan Settlement</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the third quarter of 2024, we entered into agreements with two third-party insurance companies to purchase buy-in annuity contracts to cover the liabilities associated with the Mondelēz Global LLC Retirement Plan (“MDLZ Global Plan”), the pension plan for U.S. salaried employees. The agreements provided us with the option to elect a buy-out conversion, at which time full responsibility of the MDLZ Global Plan obligations would transfer to the insurance companies. On June 12, 2025 we elected the buy-out conversion and recognized a non-cash pre-tax settlement loss of $282 million as a component of our net periodic pension cost in the second quarter of 2025. That settlement loss is recorded within </w:t>
      </w:r>
      <w:r>
        <w:rPr>
          <w:rFonts w:ascii="Arial" w:cs="Arial" w:eastAsia="Arial" w:hAnsi="Arial"/>
          <w:sz w:val="18"/>
          <w:szCs w:val="18"/>
          <w:i w:val="1"/>
          <w:iCs w:val="1"/>
          <w:color w:val="auto"/>
        </w:rPr>
        <w:t>Benefit plan non-service (expense)/income</w:t>
      </w:r>
      <w:r>
        <w:rPr>
          <w:rFonts w:ascii="Arial" w:cs="Arial" w:eastAsia="Arial" w:hAnsi="Arial"/>
          <w:sz w:val="18"/>
          <w:szCs w:val="18"/>
          <w:color w:val="auto"/>
        </w:rPr>
        <w:t xml:space="preserve"> in the condensed consolidated statements of earnings.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July 11, 2019, we received a withdrawal liability assessment from the Bakery and Confectionery Union and the Industry International Pension Fund requiring pro-rata monthly payments over 20 years and we recorded a discounted liability of $491 million at that time. In connection with the discounted long-term liability, we recorded accreted interest of $3 million for both the three months ended June 30, 2025 and 2024 and $5 million for both the six months ended June 30, 2025 and 2024 within </w:t>
      </w:r>
      <w:r>
        <w:rPr>
          <w:rFonts w:ascii="Arial" w:cs="Arial" w:eastAsia="Arial" w:hAnsi="Arial"/>
          <w:sz w:val="18"/>
          <w:szCs w:val="18"/>
          <w:i w:val="1"/>
          <w:iCs w:val="1"/>
          <w:color w:val="auto"/>
        </w:rPr>
        <w:t>Interest and other expense, net</w:t>
      </w:r>
      <w:r>
        <w:rPr>
          <w:rFonts w:ascii="Arial" w:cs="Arial" w:eastAsia="Arial" w:hAnsi="Arial"/>
          <w:sz w:val="18"/>
          <w:szCs w:val="18"/>
          <w:color w:val="auto"/>
        </w:rPr>
        <w:t xml:space="preserve"> in the condensed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16510</wp:posOffset>
            </wp:positionV>
            <wp:extent cx="28257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statements of earnings. As of June 30, 2025, the remaining discounted withdrawal liability was $302 million, with $16 million recorded in </w:t>
      </w:r>
      <w:r>
        <w:rPr>
          <w:rFonts w:ascii="Arial" w:cs="Arial" w:eastAsia="Arial" w:hAnsi="Arial"/>
          <w:sz w:val="18"/>
          <w:szCs w:val="18"/>
          <w:i w:val="1"/>
          <w:iCs w:val="1"/>
          <w:color w:val="auto"/>
        </w:rPr>
        <w:t xml:space="preserve">Other current liabilities </w:t>
      </w:r>
      <w:r>
        <w:rPr>
          <w:rFonts w:ascii="Arial" w:cs="Arial" w:eastAsia="Arial" w:hAnsi="Arial"/>
          <w:sz w:val="18"/>
          <w:szCs w:val="18"/>
          <w:color w:val="auto"/>
        </w:rPr>
        <w:t>and $286 million recorded in</w:t>
      </w:r>
      <w:r>
        <w:rPr>
          <w:rFonts w:ascii="Arial" w:cs="Arial" w:eastAsia="Arial" w:hAnsi="Arial"/>
          <w:sz w:val="18"/>
          <w:szCs w:val="18"/>
          <w:i w:val="1"/>
          <w:iCs w:val="1"/>
          <w:color w:val="auto"/>
        </w:rPr>
        <w:t xml:space="preserve"> Other liabilities </w:t>
      </w:r>
      <w:r>
        <w:rPr>
          <w:rFonts w:ascii="Arial" w:cs="Arial" w:eastAsia="Arial" w:hAnsi="Arial"/>
          <w:sz w:val="18"/>
          <w:szCs w:val="18"/>
          <w:color w:val="auto"/>
        </w:rPr>
        <w:t>in the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and Postemployment Benefit Plans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net periodic postretirement benefit was $3 million and $2 million for the three months ended June 30, 2025 and 2024, respectively, and $6 million and $5 million for the six months ended June 30, 2025 and 2024, respectively. The net periodic postemployment cost was $6 million for both the three months ended June 30, 2025 and 2024 and $11 million for both the six months ended June 30, 2025 and 2024.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(the "District Court") related to the trading of December 2011 wheat futures contracts that occurred prior to the spin-off of Kraft Foods Group. The complaint alleged that Mondelēz Global:</w:t>
      </w:r>
    </w:p>
    <w:p>
      <w:pPr>
        <w:spacing w:after="0" w:line="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manipulated or attempted to manipulate the wheat markets during the fall of 2011; (2) violated position limit levels for wheat futures; and</w:t>
      </w:r>
    </w:p>
    <w:p>
      <w:pPr>
        <w:spacing w:after="0" w:line="9" w:lineRule="exact"/>
        <w:rPr>
          <w:rFonts w:ascii="Arial" w:cs="Arial" w:eastAsia="Arial" w:hAnsi="Arial"/>
          <w:sz w:val="18"/>
          <w:szCs w:val="18"/>
          <w:color w:val="auto"/>
        </w:rPr>
      </w:pPr>
    </w:p>
    <w:p>
      <w:pPr>
        <w:jc w:val="both"/>
        <w:ind w:firstLine="8"/>
        <w:spacing w:after="0" w:line="252" w:lineRule="auto"/>
        <w:tabs>
          <w:tab w:leader="none" w:pos="303"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in the United States District Court for the Northern District of Illinois as case number 15-cv-2937, Harry Ploss et al. v. Kraft Foods Group, Inc. and Mondelēz Global LLC. On January 3, 2020, the District Court granted plaintiffs' request to certify a class. In November 2022, the District Court adjourned the trial date it had previously set for November 30, 2022 and ordered the parties to brief Kraft’s motions to decertify the class and for summary judgment, which has been completed. It is not possible to predict the outcome of these matters; however, based on our Separation and Distribution Agreement with Kraft Foods Group dated as of September 27, 2012, we expect to bear any monetary penalties or other payments in connection with the class action.</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in November 2019, the European Commission informed us that it initiated an investigation into our alleged infringement of European Union competition law through certain practices allegedly restricting cross-border trade within the European Economic Area. In the second quarter of 2024, we reached a negotiated resolution in this matter. At that time, we had accrued (in accordance with U.S. GAAP), on a pre-tax basis, a liability of € 337.5 million ($ 376 million). Pursuant to the terms of the agreed settlement, we fulfilled our payment obligation in August 2024. We do not anticipate any modification of our business practices and agreements that would have a material impact on our ongoing business operations within the 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170180</wp:posOffset>
            </wp:positionV>
            <wp:extent cx="28257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As of June 30, 2025 and December 31, 2024, we had no material third-party guarantees recorded on our condensed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4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Shares Subject</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Exercise or</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Remaining</w:t>
            </w:r>
          </w:p>
        </w:tc>
        <w:tc>
          <w:tcPr>
            <w:tcW w:w="3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Grant Price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2"/>
                <w:szCs w:val="12"/>
                <w:color w:val="auto"/>
              </w:rPr>
            </w:pPr>
          </w:p>
        </w:tc>
        <w:tc>
          <w:tcPr>
            <w:tcW w:w="980" w:type="dxa"/>
            <w:vAlign w:val="bottom"/>
          </w:tcPr>
          <w:p>
            <w:pPr>
              <w:jc w:val="center"/>
              <w:ind w:left="99"/>
              <w:spacing w:after="0" w:line="149" w:lineRule="exact"/>
              <w:rPr>
                <w:sz w:val="20"/>
                <w:szCs w:val="20"/>
                <w:color w:val="auto"/>
              </w:rPr>
            </w:pPr>
            <w:r>
              <w:rPr>
                <w:rFonts w:ascii="Arial" w:cs="Arial" w:eastAsia="Arial" w:hAnsi="Arial"/>
                <w:sz w:val="14"/>
                <w:szCs w:val="14"/>
                <w:b w:val="1"/>
                <w:bCs w:val="1"/>
                <w:color w:val="auto"/>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to Option</w:t>
            </w: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 Share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w:t>
            </w:r>
          </w:p>
        </w:tc>
        <w:tc>
          <w:tcPr>
            <w:tcW w:w="360" w:type="dxa"/>
            <w:vAlign w:val="bottom"/>
          </w:tcPr>
          <w:p>
            <w:pPr>
              <w:spacing w:after="0"/>
              <w:rPr>
                <w:sz w:val="16"/>
                <w:szCs w:val="16"/>
                <w:color w:val="auto"/>
              </w:rPr>
            </w:pPr>
          </w:p>
        </w:tc>
        <w:tc>
          <w:tcPr>
            <w:tcW w:w="980" w:type="dxa"/>
            <w:vAlign w:val="bottom"/>
          </w:tcPr>
          <w:p>
            <w:pPr>
              <w:jc w:val="center"/>
              <w:ind w:left="119"/>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16,479,169</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$54.51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 years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Pr>
          <w:p>
            <w:pPr>
              <w:jc w:val="right"/>
              <w:spacing w:after="0"/>
              <w:rPr>
                <w:sz w:val="20"/>
                <w:szCs w:val="20"/>
                <w:color w:val="auto"/>
              </w:rPr>
            </w:pPr>
            <w:r>
              <w:rPr>
                <w:rFonts w:ascii="Arial" w:cs="Arial" w:eastAsia="Arial" w:hAnsi="Arial"/>
                <w:sz w:val="18"/>
                <w:szCs w:val="18"/>
                <w:color w:val="auto"/>
              </w:rPr>
              <w:t>1,989,760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rPr>
              <w:t>65.09</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options issued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1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67.65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480"/>
              <w:spacing w:after="0"/>
              <w:rPr>
                <w:sz w:val="20"/>
                <w:szCs w:val="20"/>
                <w:color w:val="auto"/>
              </w:rPr>
            </w:pPr>
            <w:r>
              <w:rPr>
                <w:rFonts w:ascii="Arial" w:cs="Arial" w:eastAsia="Arial" w:hAnsi="Arial"/>
                <w:sz w:val="18"/>
                <w:szCs w:val="18"/>
                <w:color w:val="auto"/>
              </w:rPr>
              <w:t>Total options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2,009,150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65.11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(1,689,734)</w:t>
            </w:r>
          </w:p>
        </w:tc>
        <w:tc>
          <w:tcPr>
            <w:tcW w:w="15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42.11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Options 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(259,913)</w:t>
            </w:r>
          </w:p>
        </w:tc>
        <w:tc>
          <w:tcPr>
            <w:tcW w:w="15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rPr>
              <w:t>66.82</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16,538,672</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56.87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6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hanging="332"/>
        <w:spacing w:after="0" w:line="305"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Cash received from options exercised was $27 million and $71 million in the three and six months ended June 30, 2025, respectively. The excess income tax benefit from stock option exercises was $1 million and $5 million in the three and six months ended June 30, 2025.</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("PSU") and deferred stock unit ("DSU")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96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3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Weighted-Average</w:t>
            </w:r>
          </w:p>
        </w:tc>
        <w:tc>
          <w:tcPr>
            <w:tcW w:w="1460" w:type="dxa"/>
            <w:vAlign w:val="bottom"/>
          </w:tcPr>
          <w:p>
            <w:pPr>
              <w:jc w:val="center"/>
              <w:ind w:left="121"/>
              <w:spacing w:after="0"/>
              <w:rPr>
                <w:sz w:val="20"/>
                <w:szCs w:val="20"/>
                <w:color w:val="auto"/>
              </w:rPr>
            </w:pPr>
            <w:r>
              <w:rPr>
                <w:rFonts w:ascii="Arial" w:cs="Arial" w:eastAsia="Arial" w:hAnsi="Arial"/>
                <w:sz w:val="14"/>
                <w:szCs w:val="14"/>
                <w:b w:val="1"/>
                <w:bCs w:val="1"/>
                <w:color w:val="auto"/>
              </w:rPr>
              <w:t>Weighted-Average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4"/>
          </w:tcPr>
          <w:p>
            <w:pPr>
              <w:jc w:val="right"/>
              <w:ind w:right="1060"/>
              <w:spacing w:after="0" w:line="149" w:lineRule="exact"/>
              <w:rPr>
                <w:sz w:val="20"/>
                <w:szCs w:val="20"/>
                <w:color w:val="auto"/>
              </w:rPr>
            </w:pPr>
            <w:r>
              <w:rPr>
                <w:rFonts w:ascii="Arial" w:cs="Arial" w:eastAsia="Arial" w:hAnsi="Arial"/>
                <w:sz w:val="14"/>
                <w:szCs w:val="14"/>
                <w:b w:val="1"/>
                <w:bCs w:val="1"/>
                <w:color w:val="auto"/>
              </w:rPr>
              <w:t>Fair Value</w:t>
            </w:r>
          </w:p>
        </w:tc>
        <w:tc>
          <w:tcPr>
            <w:tcW w:w="146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rPr>
              <w:t>Aggregate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8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of Shares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Per Share</w:t>
            </w:r>
          </w:p>
        </w:tc>
        <w:tc>
          <w:tcPr>
            <w:tcW w:w="68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w w:val="88"/>
              </w:rPr>
              <w:t>(4)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left="121"/>
              <w:spacing w:after="0" w:line="189" w:lineRule="exact"/>
              <w:rPr>
                <w:sz w:val="20"/>
                <w:szCs w:val="20"/>
                <w:color w:val="auto"/>
              </w:rPr>
            </w:pPr>
            <w:r>
              <w:rPr>
                <w:rFonts w:ascii="Arial" w:cs="Arial" w:eastAsia="Arial" w:hAnsi="Arial"/>
                <w:sz w:val="14"/>
                <w:szCs w:val="14"/>
                <w:b w:val="1"/>
                <w:bCs w:val="1"/>
                <w:color w:val="auto"/>
                <w:w w:val="97"/>
              </w:rPr>
              <w:t xml:space="preserve">Fair Value </w:t>
            </w:r>
            <w:r>
              <w:rPr>
                <w:rFonts w:ascii="Arial" w:cs="Arial" w:eastAsia="Arial" w:hAnsi="Arial"/>
                <w:sz w:val="21"/>
                <w:szCs w:val="21"/>
                <w:b w:val="1"/>
                <w:bCs w:val="1"/>
                <w:color w:val="auto"/>
                <w:w w:val="97"/>
                <w:vertAlign w:val="superscript"/>
              </w:rPr>
              <w:t>(3)</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4,536,574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04"/>
              <w:spacing w:after="0"/>
              <w:rPr>
                <w:sz w:val="20"/>
                <w:szCs w:val="20"/>
                <w:color w:val="auto"/>
              </w:rPr>
            </w:pPr>
            <w:r>
              <w:rPr>
                <w:rFonts w:ascii="Arial" w:cs="Arial" w:eastAsia="Arial" w:hAnsi="Arial"/>
                <w:sz w:val="18"/>
                <w:szCs w:val="18"/>
                <w:color w:val="auto"/>
                <w:w w:val="98"/>
              </w:rPr>
              <w:t>$67.76</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20"/>
              <w:spacing w:after="0"/>
              <w:rPr>
                <w:sz w:val="20"/>
                <w:szCs w:val="20"/>
                <w:color w:val="auto"/>
              </w:rPr>
            </w:pPr>
            <w:r>
              <w:rPr>
                <w:rFonts w:ascii="Arial" w:cs="Arial" w:eastAsia="Arial" w:hAnsi="Arial"/>
                <w:sz w:val="18"/>
                <w:szCs w:val="18"/>
                <w:color w:val="auto"/>
              </w:rPr>
              <w:t>Annual grant to eligible employees: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Performance share units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1,194,640</w:t>
            </w:r>
          </w:p>
        </w:tc>
        <w:tc>
          <w:tcPr>
            <w:tcW w:w="136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69.49</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480"/>
              <w:spacing w:after="0"/>
              <w:rPr>
                <w:sz w:val="20"/>
                <w:szCs w:val="20"/>
                <w:color w:val="auto"/>
              </w:rPr>
            </w:pPr>
            <w:r>
              <w:rPr>
                <w:rFonts w:ascii="Arial" w:cs="Arial" w:eastAsia="Arial" w:hAnsi="Arial"/>
                <w:sz w:val="18"/>
                <w:szCs w:val="18"/>
                <w:color w:val="auto"/>
              </w:rPr>
              <w:t>Deferred stock units</w:t>
            </w:r>
          </w:p>
        </w:tc>
        <w:tc>
          <w:tcPr>
            <w:tcW w:w="1960" w:type="dxa"/>
            <w:vAlign w:val="bottom"/>
          </w:tcPr>
          <w:p>
            <w:pPr>
              <w:jc w:val="right"/>
              <w:spacing w:after="0"/>
              <w:rPr>
                <w:sz w:val="20"/>
                <w:szCs w:val="20"/>
                <w:color w:val="auto"/>
              </w:rPr>
            </w:pPr>
            <w:r>
              <w:rPr>
                <w:rFonts w:ascii="Arial" w:cs="Arial" w:eastAsia="Arial" w:hAnsi="Arial"/>
                <w:sz w:val="18"/>
                <w:szCs w:val="18"/>
                <w:color w:val="auto"/>
              </w:rPr>
              <w:t>826,180</w:t>
            </w:r>
          </w:p>
        </w:tc>
        <w:tc>
          <w:tcPr>
            <w:tcW w:w="1360" w:type="dxa"/>
            <w:vAlign w:val="bottom"/>
            <w:gridSpan w:val="2"/>
          </w:tcPr>
          <w:p>
            <w:pPr>
              <w:jc w:val="center"/>
              <w:ind w:left="690"/>
              <w:spacing w:after="0"/>
              <w:rPr>
                <w:sz w:val="20"/>
                <w:szCs w:val="20"/>
                <w:color w:val="auto"/>
              </w:rPr>
            </w:pPr>
            <w:r>
              <w:rPr>
                <w:rFonts w:ascii="Arial" w:cs="Arial" w:eastAsia="Arial" w:hAnsi="Arial"/>
                <w:sz w:val="18"/>
                <w:szCs w:val="18"/>
                <w:color w:val="auto"/>
              </w:rPr>
              <w:t>65.09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802,146</w:t>
            </w:r>
          </w:p>
        </w:tc>
        <w:tc>
          <w:tcPr>
            <w:tcW w:w="136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60.10</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480"/>
              <w:spacing w:after="0"/>
              <w:rPr>
                <w:sz w:val="20"/>
                <w:szCs w:val="20"/>
                <w:color w:val="auto"/>
              </w:rPr>
            </w:pPr>
            <w:r>
              <w:rPr>
                <w:rFonts w:ascii="Arial" w:cs="Arial" w:eastAsia="Arial" w:hAnsi="Arial"/>
                <w:sz w:val="18"/>
                <w:szCs w:val="18"/>
                <w:color w:val="auto"/>
              </w:rPr>
              <w:t>Total shares 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2,822,966</w:t>
            </w:r>
          </w:p>
        </w:tc>
        <w:tc>
          <w:tcPr>
            <w:tcW w:w="1360" w:type="dxa"/>
            <w:vAlign w:val="bottom"/>
            <w:gridSpan w:val="2"/>
          </w:tcPr>
          <w:p>
            <w:pPr>
              <w:jc w:val="center"/>
              <w:ind w:left="690"/>
              <w:spacing w:after="0"/>
              <w:rPr>
                <w:sz w:val="20"/>
                <w:szCs w:val="20"/>
                <w:color w:val="auto"/>
              </w:rPr>
            </w:pPr>
            <w:r>
              <w:rPr>
                <w:rFonts w:ascii="Arial" w:cs="Arial" w:eastAsia="Arial" w:hAnsi="Arial"/>
                <w:sz w:val="18"/>
                <w:szCs w:val="18"/>
                <w:color w:val="auto"/>
              </w:rPr>
              <w:t>65.53</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1"/>
              <w:spacing w:after="0"/>
              <w:rPr>
                <w:sz w:val="20"/>
                <w:szCs w:val="20"/>
                <w:color w:val="auto"/>
              </w:rPr>
            </w:pPr>
            <w:r>
              <w:rPr>
                <w:rFonts w:ascii="Arial" w:cs="Arial" w:eastAsia="Arial" w:hAnsi="Arial"/>
                <w:sz w:val="18"/>
                <w:szCs w:val="18"/>
                <w:color w:val="auto"/>
              </w:rPr>
              <w:t>185</w:t>
            </w:r>
          </w:p>
        </w:tc>
        <w:tc>
          <w:tcPr>
            <w:tcW w:w="540" w:type="dxa"/>
            <w:vAlign w:val="bottom"/>
          </w:tcPr>
          <w:p>
            <w:pPr>
              <w:ind w:left="2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 (3)</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(1,428,347)</w:t>
            </w:r>
          </w:p>
        </w:tc>
        <w:tc>
          <w:tcPr>
            <w:tcW w:w="136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63.40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91</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(309,086)</w:t>
            </w:r>
          </w:p>
        </w:tc>
        <w:tc>
          <w:tcPr>
            <w:tcW w:w="1360" w:type="dxa"/>
            <w:vAlign w:val="bottom"/>
            <w:tcBorders>
              <w:bottom w:val="single" w:sz="8" w:color="CCEEFF"/>
            </w:tcBorders>
            <w:gridSpan w:val="2"/>
          </w:tcPr>
          <w:p>
            <w:pPr>
              <w:jc w:val="center"/>
              <w:ind w:left="690"/>
              <w:spacing w:after="0"/>
              <w:rPr>
                <w:sz w:val="20"/>
                <w:szCs w:val="20"/>
                <w:color w:val="auto"/>
              </w:rPr>
            </w:pPr>
            <w:r>
              <w:rPr>
                <w:rFonts w:ascii="Arial" w:cs="Arial" w:eastAsia="Arial" w:hAnsi="Arial"/>
                <w:sz w:val="18"/>
                <w:szCs w:val="18"/>
                <w:color w:val="auto"/>
              </w:rPr>
              <w:t>69.65</w:t>
            </w: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2025</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5,622,107</w:t>
            </w:r>
          </w:p>
        </w:tc>
        <w:tc>
          <w:tcPr>
            <w:tcW w:w="1360" w:type="dxa"/>
            <w:vAlign w:val="bottom"/>
            <w:tcBorders>
              <w:bottom w:val="single" w:sz="8" w:color="CCEEFF"/>
            </w:tcBorders>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67.64</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primarily DSUs and incremental PSUs issued over target.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PSUs, DSUs and other stock-based awards.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income tax shortfall upon vesting of PSUs and DSUs was zero and $1 million in the three and six months ended June 30, 2025, respectively.</w:t>
      </w:r>
    </w:p>
    <w:p>
      <w:pPr>
        <w:spacing w:after="0" w:line="1" w:lineRule="exact"/>
        <w:rPr>
          <w:rFonts w:ascii="Arial" w:cs="Arial" w:eastAsia="Arial" w:hAnsi="Arial"/>
          <w:sz w:val="14"/>
          <w:szCs w:val="14"/>
          <w:color w:val="auto"/>
        </w:rPr>
      </w:pPr>
    </w:p>
    <w:p>
      <w:pPr>
        <w:jc w:val="both"/>
        <w:ind w:left="340" w:hanging="332"/>
        <w:spacing w:after="0" w:line="236"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332105</wp:posOffset>
            </wp:positionV>
            <wp:extent cx="28257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Effective January 1, 2025, our Board of Directors replaced our prior share repurchase program by approving a program authorizing the repurchase of up to $9.0 billion of our Common Stock through December 31, 2027. Repurchases under the program are determined by management and are wholly discretionary.</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six months ended June 30, 2025, we repurchased approximately 27 million shares of Common Stock at an average cost of $58.33 per share, or an aggregate cost of approximately $1.6 billion, all of which was paid during the period. All share repurchases were funded through available cash and commercial paper issuances. As of June 30, 2025, we have approximately $7.4 billion in remaining share repurchase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167005</wp:posOffset>
            </wp:positionV>
            <wp:extent cx="28257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Reclassifications from Accumulated Other Comprehensive Income</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(losses)/gains of $(284) million and $(2) million in the second quarter of 2025 and 2024, respectively, and $(331) million and $21 million in the first six months of 2025 and 2024, respectively.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1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Six Months Ended</w:t>
            </w:r>
          </w:p>
        </w:tc>
      </w:tr>
      <w:tr>
        <w:trPr>
          <w:trHeight w:val="189"/>
        </w:trPr>
        <w:tc>
          <w:tcPr>
            <w:tcW w:w="6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5"/>
        </w:trPr>
        <w:tc>
          <w:tcPr>
            <w:tcW w:w="6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r>
      <w:tr>
        <w:trPr>
          <w:trHeight w:val="168"/>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5"/>
          </w:tcPr>
          <w:p>
            <w:pPr>
              <w:ind w:left="50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4"/>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Currency Translation Adjustments: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(10,488)</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(9,790)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(11,017)</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(9,574)</w:t>
            </w:r>
          </w:p>
        </w:tc>
      </w:tr>
      <w:tr>
        <w:trPr>
          <w:trHeight w:val="207"/>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translation adjustments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r>
      <w:tr>
        <w:trPr>
          <w:trHeight w:val="198"/>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 effect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00"/>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r>
      <w:tr>
        <w:trPr>
          <w:trHeight w:val="198"/>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other comprehensive (earnings)/loss attributable to noncontrolling interests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00"/>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(10,149)</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(10,149)</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(10,177)</w:t>
            </w:r>
          </w:p>
        </w:tc>
      </w:tr>
      <w:tr>
        <w:trPr>
          <w:trHeight w:val="169"/>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Pension and Other Benefit Plans: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3"/>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w:t>
            </w: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Net actuarial gain/(loss) arising during period</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7"/>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effect on net actuarial gain/(loss)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7"/>
        </w:trPr>
        <w:tc>
          <w:tcPr>
            <w:tcW w:w="6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Amortization of net loss and prior service </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03"/>
        </w:trPr>
        <w:tc>
          <w:tcPr>
            <w:tcW w:w="6420" w:type="dxa"/>
            <w:vAlign w:val="bottom"/>
          </w:tcPr>
          <w:p>
            <w:pPr>
              <w:ind w:left="360"/>
              <w:spacing w:after="0" w:line="202" w:lineRule="exact"/>
              <w:rPr>
                <w:sz w:val="20"/>
                <w:szCs w:val="20"/>
                <w:color w:val="auto"/>
              </w:rPr>
            </w:pPr>
            <w:r>
              <w:rPr>
                <w:rFonts w:ascii="Arial" w:cs="Arial" w:eastAsia="Arial" w:hAnsi="Arial"/>
                <w:sz w:val="14"/>
                <w:szCs w:val="14"/>
                <w:color w:val="auto"/>
              </w:rPr>
              <w:t xml:space="preserve">Settlement losses </w:t>
            </w:r>
            <w:r>
              <w:rPr>
                <w:rFonts w:ascii="Arial" w:cs="Arial" w:eastAsia="Arial" w:hAnsi="Arial"/>
                <w:sz w:val="18"/>
                <w:szCs w:val="18"/>
                <w:color w:val="auto"/>
                <w:vertAlign w:val="superscript"/>
              </w:rPr>
              <w:t>(1)</w:t>
            </w:r>
          </w:p>
        </w:tc>
        <w:tc>
          <w:tcPr>
            <w:tcW w:w="1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3"/>
        </w:trPr>
        <w:tc>
          <w:tcPr>
            <w:tcW w:w="642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Currency impact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200"/>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92"/>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Balance at end of period</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w:t>
            </w:r>
          </w:p>
        </w:tc>
      </w:tr>
      <w:tr>
        <w:trPr>
          <w:trHeight w:val="187"/>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 Cash Flow Hedges:</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7"/>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 contracts gains/(losses)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Cross-currency swap contracts gains/(losses)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7"/>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derivative gains/(losses)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Tax effect on net derivative gain/(loss)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7"/>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420" w:type="dxa"/>
            <w:vAlign w:val="bottom"/>
          </w:tcPr>
          <w:p>
            <w:pPr>
              <w:ind w:left="360"/>
              <w:spacing w:after="0" w:line="202" w:lineRule="exact"/>
              <w:rPr>
                <w:sz w:val="20"/>
                <w:szCs w:val="20"/>
                <w:color w:val="auto"/>
              </w:rPr>
            </w:pPr>
            <w:r>
              <w:rPr>
                <w:rFonts w:ascii="Arial" w:cs="Arial" w:eastAsia="Arial" w:hAnsi="Arial"/>
                <w:sz w:val="14"/>
                <w:szCs w:val="14"/>
                <w:color w:val="auto"/>
              </w:rPr>
              <w:t xml:space="preserve">Interest rate contracts </w:t>
            </w:r>
            <w:r>
              <w:rPr>
                <w:rFonts w:ascii="Arial" w:cs="Arial" w:eastAsia="Arial" w:hAnsi="Arial"/>
                <w:sz w:val="18"/>
                <w:szCs w:val="18"/>
                <w:color w:val="auto"/>
                <w:vertAlign w:val="superscript"/>
              </w:rPr>
              <w:t>(2)</w:t>
            </w:r>
          </w:p>
        </w:tc>
        <w:tc>
          <w:tcPr>
            <w:tcW w:w="1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3"/>
        </w:trPr>
        <w:tc>
          <w:tcPr>
            <w:tcW w:w="642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 xml:space="preserve">Cross-currency swap contracts </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03"/>
        </w:trPr>
        <w:tc>
          <w:tcPr>
            <w:tcW w:w="6420" w:type="dxa"/>
            <w:vAlign w:val="bottom"/>
          </w:tcPr>
          <w:p>
            <w:pPr>
              <w:ind w:left="360"/>
              <w:spacing w:after="0" w:line="202" w:lineRule="exact"/>
              <w:rPr>
                <w:sz w:val="20"/>
                <w:szCs w:val="20"/>
                <w:color w:val="auto"/>
              </w:rPr>
            </w:pPr>
            <w:r>
              <w:rPr>
                <w:rFonts w:ascii="Arial" w:cs="Arial" w:eastAsia="Arial" w:hAnsi="Arial"/>
                <w:sz w:val="14"/>
                <w:szCs w:val="14"/>
                <w:color w:val="auto"/>
              </w:rPr>
              <w:t xml:space="preserve">Other derivative contracts </w:t>
            </w:r>
            <w:r>
              <w:rPr>
                <w:rFonts w:ascii="Arial" w:cs="Arial" w:eastAsia="Arial" w:hAnsi="Arial"/>
                <w:sz w:val="18"/>
                <w:szCs w:val="18"/>
                <w:color w:val="auto"/>
                <w:vertAlign w:val="superscript"/>
              </w:rPr>
              <w:t>(2)</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3"/>
        </w:trPr>
        <w:tc>
          <w:tcPr>
            <w:tcW w:w="642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Currency impact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0"/>
        </w:trPr>
        <w:tc>
          <w:tcPr>
            <w:tcW w:w="64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2"/>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Balance at end of period</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r>
      <w:tr>
        <w:trPr>
          <w:trHeight w:val="173"/>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other comprehensive income attributable to Mondelēz International:</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(11,979)</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(11,132)</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(12,471)</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(10,946)</w:t>
            </w:r>
          </w:p>
        </w:tc>
      </w:tr>
      <w:tr>
        <w:trPr>
          <w:trHeight w:val="207"/>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other comprehensive earnings/(losses)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r>
      <w:tr>
        <w:trPr>
          <w:trHeight w:val="198"/>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other comprehensive (earnings)/loss attributable to noncontrolling interests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 attributable to Mondelēz International</w:t>
            </w: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418</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w:t>
            </w:r>
          </w:p>
        </w:tc>
      </w:tr>
      <w:tr>
        <w:trPr>
          <w:trHeight w:val="200"/>
        </w:trPr>
        <w:tc>
          <w:tcPr>
            <w:tcW w:w="6420" w:type="dxa"/>
            <w:vAlign w:val="bottom"/>
          </w:tcPr>
          <w:p>
            <w:pPr>
              <w:ind w:left="140"/>
              <w:spacing w:after="0"/>
              <w:rPr>
                <w:sz w:val="20"/>
                <w:szCs w:val="20"/>
                <w:color w:val="auto"/>
              </w:rPr>
            </w:pPr>
            <w:r>
              <w:rPr>
                <w:rFonts w:ascii="Arial" w:cs="Arial" w:eastAsia="Arial" w:hAnsi="Arial"/>
                <w:sz w:val="14"/>
                <w:szCs w:val="14"/>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(11,561)</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(11,561)</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(11,515)</w:t>
            </w:r>
          </w:p>
        </w:tc>
      </w:tr>
      <w:tr>
        <w:trPr>
          <w:trHeight w:val="21"/>
        </w:trPr>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net periodic benefit costs disclosed in Note 9,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31750</wp:posOffset>
            </wp:positionV>
            <wp:extent cx="28257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Program</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2014, our Board of Directors approved a multi-year restructuring program ("Simplify to Grow Program") to reduce our operating cost structure in both supply chain and overhead costs. Total restructuring and implementation charges of $5.4 billion were incurred throughout the Simplify to Grow Program, which ended in December 2024.</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recorded restructuring charges of $3 million and $45 million in the three and six months ended June 30, 2024 and recorded implementation costs of $12 million and $23 million in the three and six months ended June 30,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restructuring liability activity for the six months ended June 30, 2025 was: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center"/>
              <w:ind w:right="239"/>
              <w:spacing w:after="0"/>
              <w:rPr>
                <w:sz w:val="20"/>
                <w:szCs w:val="20"/>
                <w:color w:val="auto"/>
              </w:rPr>
            </w:pPr>
            <w:r>
              <w:rPr>
                <w:rFonts w:ascii="Arial" w:cs="Arial" w:eastAsia="Arial" w:hAnsi="Arial"/>
                <w:sz w:val="14"/>
                <w:szCs w:val="14"/>
                <w:b w:val="1"/>
                <w:bCs w:val="1"/>
                <w:color w:val="auto"/>
              </w:rPr>
              <w:t>Severance</w:t>
            </w:r>
          </w:p>
        </w:tc>
        <w:tc>
          <w:tcPr>
            <w:tcW w:w="0" w:type="dxa"/>
            <w:vAlign w:val="bottom"/>
          </w:tcPr>
          <w:p>
            <w:pPr>
              <w:spacing w:after="0"/>
              <w:rPr>
                <w:sz w:val="1"/>
                <w:szCs w:val="1"/>
                <w:color w:val="auto"/>
              </w:rPr>
            </w:pPr>
          </w:p>
        </w:tc>
      </w:tr>
      <w:tr>
        <w:trPr>
          <w:trHeight w:val="144"/>
        </w:trPr>
        <w:tc>
          <w:tcPr>
            <w:tcW w:w="9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center"/>
              <w:ind w:right="239"/>
              <w:spacing w:after="0" w:line="145" w:lineRule="exact"/>
              <w:rPr>
                <w:sz w:val="20"/>
                <w:szCs w:val="20"/>
                <w:color w:val="auto"/>
              </w:rPr>
            </w:pPr>
            <w:r>
              <w:rPr>
                <w:rFonts w:ascii="Arial" w:cs="Arial" w:eastAsia="Arial" w:hAnsi="Arial"/>
                <w:sz w:val="14"/>
                <w:szCs w:val="14"/>
                <w:b w:val="1"/>
                <w:bCs w:val="1"/>
                <w:color w:val="auto"/>
              </w:rPr>
              <w:t>and related</w:t>
            </w:r>
          </w:p>
        </w:tc>
        <w:tc>
          <w:tcPr>
            <w:tcW w:w="0" w:type="dxa"/>
            <w:vAlign w:val="bottom"/>
          </w:tcPr>
          <w:p>
            <w:pPr>
              <w:spacing w:after="0"/>
              <w:rPr>
                <w:sz w:val="1"/>
                <w:szCs w:val="1"/>
                <w:color w:val="auto"/>
              </w:rPr>
            </w:pPr>
          </w:p>
        </w:tc>
      </w:tr>
      <w:tr>
        <w:trPr>
          <w:trHeight w:val="189"/>
        </w:trPr>
        <w:tc>
          <w:tcPr>
            <w:tcW w:w="9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costs</w:t>
            </w:r>
          </w:p>
        </w:tc>
        <w:tc>
          <w:tcPr>
            <w:tcW w:w="0" w:type="dxa"/>
            <w:vAlign w:val="bottom"/>
          </w:tcPr>
          <w:p>
            <w:pPr>
              <w:spacing w:after="0"/>
              <w:rPr>
                <w:sz w:val="1"/>
                <w:szCs w:val="1"/>
                <w:color w:val="auto"/>
              </w:rPr>
            </w:pPr>
          </w:p>
        </w:tc>
      </w:tr>
      <w:tr>
        <w:trPr>
          <w:trHeight w:val="195"/>
        </w:trPr>
        <w:tc>
          <w:tcPr>
            <w:tcW w:w="9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center"/>
              <w:ind w:right="239"/>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9300" w:type="dxa"/>
            <w:vAlign w:val="bottom"/>
          </w:tcPr>
          <w:p>
            <w:pPr>
              <w:ind w:left="140"/>
              <w:spacing w:after="0"/>
              <w:rPr>
                <w:sz w:val="20"/>
                <w:szCs w:val="20"/>
                <w:color w:val="auto"/>
              </w:rPr>
            </w:pPr>
            <w:r>
              <w:rPr>
                <w:rFonts w:ascii="Arial" w:cs="Arial" w:eastAsia="Arial" w:hAnsi="Arial"/>
                <w:sz w:val="18"/>
                <w:szCs w:val="18"/>
                <w:color w:val="auto"/>
              </w:rPr>
              <w:t>Payments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and other</w:t>
            </w: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9300" w:type="dxa"/>
            <w:vAlign w:val="bottom"/>
          </w:tcPr>
          <w:p>
            <w:pPr>
              <w:ind w:left="20"/>
              <w:spacing w:after="0"/>
              <w:rPr>
                <w:sz w:val="20"/>
                <w:szCs w:val="20"/>
                <w:color w:val="auto"/>
              </w:rPr>
            </w:pPr>
            <w:r>
              <w:rPr>
                <w:rFonts w:ascii="Arial" w:cs="Arial" w:eastAsia="Arial" w:hAnsi="Arial"/>
                <w:sz w:val="18"/>
                <w:szCs w:val="18"/>
                <w:color w:val="auto"/>
              </w:rPr>
              <w:t>Liability balance, June 30, 2025</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9300" w:type="dxa"/>
            <w:vAlign w:val="bottom"/>
            <w:vMerge w:val="restart"/>
          </w:tcPr>
          <w:p>
            <w:pPr>
              <w:spacing w:after="0"/>
              <w:rPr>
                <w:sz w:val="20"/>
                <w:szCs w:val="20"/>
                <w:color w:val="auto"/>
              </w:rPr>
            </w:pPr>
            <w:r>
              <w:rPr>
                <w:rFonts w:ascii="Arial" w:cs="Arial" w:eastAsia="Arial" w:hAnsi="Arial"/>
                <w:sz w:val="18"/>
                <w:szCs w:val="18"/>
                <w:color w:val="auto"/>
              </w:rPr>
              <w:t>The liability for restructuring charges is included within other current liabilities and other long-term liabilities.</w:t>
            </w: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93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9300" w:type="dxa"/>
            <w:vAlign w:val="bottom"/>
          </w:tcPr>
          <w:p>
            <w:pPr>
              <w:spacing w:after="0"/>
              <w:rPr>
                <w:sz w:val="20"/>
                <w:szCs w:val="20"/>
                <w:color w:val="auto"/>
              </w:rPr>
            </w:pPr>
            <w:r>
              <w:rPr>
                <w:rFonts w:ascii="Arial" w:cs="Arial" w:eastAsia="Arial" w:hAnsi="Arial"/>
                <w:sz w:val="18"/>
                <w:szCs w:val="18"/>
                <w:b w:val="1"/>
                <w:bCs w:val="1"/>
                <w:color w:val="auto"/>
              </w:rPr>
              <w:t>Note 14. Income Taxes</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effective tax rate was 26.9% for the second quarter of 2025 as compared to 34.7% in the second quarter of 2024. The decrease in our effective tax rate was driven by our jurisdictional mix of earnings, particularly the impact of lower mark-to-market losses on commodity and foreign currency derivatives in the current quarter, and higher costs from tax law changes in the second quarter of 2024.</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the six months ended June 30, 2025, was 27.4% as compared to 26.2% for the six months ended June 30, 2024. The increase in our year-to-date effective tax rate was driven by our jurisdictional mix of earnings (including the impact of mark-to-market gains and losses on commodity and foreign currency derivatives) and the relative impact of permanent items on lower pre-tax earnings on a year-over-year basis. Those items were partially offset by additional releases of liabilities for uncertain tax positions due to audit developments in the six months ended June 30, 2025, as compared to the six months ended June 30, 2024.</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4, 2025, the One Big Beautiful Bill Act ("OBBBA") was signed into U.S. law. This legislation contains numerous tax provisions, including an increase to the tax rate applied to income earned by our foreign subsidiaries, favorable changes to foreign tax credit calculation methodologies, and changes to the timing of certain tax deductions for qualifying depreciable assets, costs of research and development performed in the U.S. and interest expense. While we are still evaluating the impacts of the OBBBA, we do not expect any material impacts to our financial statements for the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168275</wp:posOffset>
            </wp:positionV>
            <wp:extent cx="282575"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980" w:type="dxa"/>
            <w:vAlign w:val="bottom"/>
            <w:gridSpan w:val="6"/>
          </w:tcPr>
          <w:p>
            <w:pPr>
              <w:ind w:left="46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5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Noncontrolling interest earnings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Mondelēz International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1,295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1,343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1,298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Plus: Dilutive effect of outstanding stock awards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1,299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Basic earnings per share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80" w:type="dxa"/>
            <w:vAlign w:val="bottom"/>
            <w:vMerge w:val="continue"/>
          </w:tcPr>
          <w:p>
            <w:pPr>
              <w:spacing w:after="0"/>
              <w:rPr>
                <w:sz w:val="10"/>
                <w:szCs w:val="10"/>
                <w:color w:val="auto"/>
              </w:rPr>
            </w:pPr>
          </w:p>
        </w:tc>
        <w:tc>
          <w:tcPr>
            <w:tcW w:w="860" w:type="dxa"/>
            <w:vAlign w:val="bottom"/>
            <w:vMerge w:val="restart"/>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1"/>
        </w:trPr>
        <w:tc>
          <w:tcPr>
            <w:tcW w:w="528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exclude antidilutive Mondelēz International share-based payment awards from our calculation of weighted-average shares for diluted EPS. We excluded antidilutive stock options and performance share units of 4.6 million and 4.2 million for the three months ended June 30, 2025 and 2024, respectively, and 3.8 million and 3.4 million for the six months ended June 30, 2025 and 2024,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manufacture and market primarily snack food products, including chocolate, biscuits and baked snacks, as well as gum &amp; candy, cheese</w:t>
      </w:r>
    </w:p>
    <w:p>
      <w:pPr>
        <w:spacing w:after="0" w:line="27" w:lineRule="exact"/>
        <w:rPr>
          <w:sz w:val="20"/>
          <w:szCs w:val="20"/>
          <w:color w:val="auto"/>
        </w:rPr>
      </w:pPr>
    </w:p>
    <w:p>
      <w:pPr>
        <w:jc w:val="both"/>
        <w:ind w:firstLine="8"/>
        <w:spacing w:after="0" w:line="255" w:lineRule="auto"/>
        <w:tabs>
          <w:tab w:leader="none" w:pos="1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grocery and powdered beverages. 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320" w:hanging="1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Chief Operating Decision Maker ("CODM") is our Chief Executive Officer. Our CODM uses segment operating income in the annual plan and forecasting process and considers actual versus plan variances in assessing the performance of the segment. The CODM also uses segment operating income as an input to the overall compensation measures for segment management under our incentive compensation plans. We believe it is appropriate to disclose this measure to help investors analyze segment performance and trends. Segment operating income excludes certain mark-to-market impacts on commodity and foreign currency derivatives (which are primarily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our CODM reviews. Additionally, assets for reportable segments are not disclosed as such information is not regularly reviewed by the Company's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170815</wp:posOffset>
            </wp:positionV>
            <wp:extent cx="28257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tabs>
          <w:tab w:leader="none" w:pos="460" w:val="left"/>
          <w:tab w:leader="none" w:pos="1300" w:val="left"/>
          <w:tab w:leader="none" w:pos="1720" w:val="left"/>
          <w:tab w:leader="none" w:pos="2580" w:val="left"/>
          <w:tab w:leader="none" w:pos="3560" w:val="left"/>
          <w:tab w:leader="none" w:pos="4400" w:val="left"/>
          <w:tab w:leader="none" w:pos="5340" w:val="left"/>
          <w:tab w:leader="none" w:pos="5820" w:val="left"/>
          <w:tab w:leader="none" w:pos="6720" w:val="left"/>
          <w:tab w:leader="none" w:pos="7520" w:val="left"/>
          <w:tab w:leader="none" w:pos="7880" w:val="left"/>
          <w:tab w:leader="none" w:pos="8860" w:val="left"/>
          <w:tab w:leader="none" w:pos="9700" w:val="left"/>
          <w:tab w:leader="none" w:pos="10260" w:val="left"/>
          <w:tab w:leader="none" w:pos="10620" w:val="left"/>
        </w:tabs>
        <w:rPr>
          <w:sz w:val="20"/>
          <w:szCs w:val="20"/>
          <w:color w:val="auto"/>
        </w:rPr>
      </w:pPr>
      <w:r>
        <w:rPr>
          <w:rFonts w:ascii="Arial" w:cs="Arial" w:eastAsia="Arial" w:hAnsi="Arial"/>
          <w:sz w:val="18"/>
          <w:szCs w:val="18"/>
          <w:color w:val="auto"/>
        </w:rPr>
        <w:t>Our</w:t>
        <w:tab/>
        <w:t>segment</w:t>
        <w:tab/>
        <w:t>net</w:t>
        <w:tab/>
        <w:t>revenue,</w:t>
        <w:tab/>
        <w:t>significant</w:t>
        <w:tab/>
        <w:t>segment</w:t>
        <w:tab/>
        <w:t>expenses</w:t>
        <w:tab/>
        <w:t>and</w:t>
        <w:tab/>
        <w:t>operating</w:t>
        <w:tab/>
        <w:t>income,</w:t>
        <w:tab/>
        <w:t>by</w:t>
        <w:tab/>
        <w:t>reportable</w:t>
        <w:tab/>
        <w:t>segment</w:t>
        <w:tab/>
        <w:t>were</w:t>
        <w:tab/>
        <w:t>as</w:t>
      </w:r>
      <w:r>
        <w:rPr>
          <w:sz w:val="20"/>
          <w:szCs w:val="20"/>
          <w:color w:val="auto"/>
        </w:rPr>
        <w:tab/>
      </w:r>
      <w:r>
        <w:rPr>
          <w:rFonts w:ascii="Arial" w:cs="Arial" w:eastAsia="Arial" w:hAnsi="Arial"/>
          <w:sz w:val="17"/>
          <w:szCs w:val="17"/>
          <w:color w:val="auto"/>
        </w:rPr>
        <w:t>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center"/>
              <w:ind w:left="375"/>
              <w:spacing w:after="0"/>
              <w:rPr>
                <w:sz w:val="20"/>
                <w:szCs w:val="20"/>
                <w:color w:val="auto"/>
              </w:rPr>
            </w:pPr>
            <w:r>
              <w:rPr>
                <w:rFonts w:ascii="Arial" w:cs="Arial" w:eastAsia="Arial" w:hAnsi="Arial"/>
                <w:sz w:val="14"/>
                <w:szCs w:val="14"/>
                <w:b w:val="1"/>
                <w:bCs w:val="1"/>
                <w:color w:val="auto"/>
              </w:rPr>
              <w:t>Three Months Ended June 30, 2025</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Latin America</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AMEA</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Europe</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North America</w:t>
            </w:r>
          </w:p>
        </w:tc>
        <w:tc>
          <w:tcPr>
            <w:tcW w:w="30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8,984</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181"/>
        </w:trPr>
        <w:tc>
          <w:tcPr>
            <w:tcW w:w="41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Segment selling, general and administrative</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losses from derivatives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gridSpan w:val="6"/>
            <w:vMerge w:val="restart"/>
          </w:tcPr>
          <w:p>
            <w:pPr>
              <w:jc w:val="center"/>
              <w:ind w:left="375"/>
              <w:spacing w:after="0"/>
              <w:rPr>
                <w:sz w:val="20"/>
                <w:szCs w:val="20"/>
                <w:color w:val="auto"/>
              </w:rPr>
            </w:pPr>
            <w:r>
              <w:rPr>
                <w:rFonts w:ascii="Arial" w:cs="Arial" w:eastAsia="Arial" w:hAnsi="Arial"/>
                <w:sz w:val="14"/>
                <w:szCs w:val="14"/>
                <w:b w:val="1"/>
                <w:bCs w:val="1"/>
                <w:color w:val="auto"/>
              </w:rPr>
              <w:t>Three Months Ended June 30, 2024</w:t>
            </w: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vMerge w:val="continue"/>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Latin America</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AMEA</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Europe</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North America</w:t>
            </w:r>
          </w:p>
        </w:tc>
        <w:tc>
          <w:tcPr>
            <w:tcW w:w="30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Segment selling, general and administrative</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losses from derivatives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gridSpan w:val="6"/>
            <w:vMerge w:val="restart"/>
          </w:tcPr>
          <w:p>
            <w:pPr>
              <w:jc w:val="center"/>
              <w:ind w:left="395"/>
              <w:spacing w:after="0"/>
              <w:rPr>
                <w:sz w:val="20"/>
                <w:szCs w:val="20"/>
                <w:color w:val="auto"/>
              </w:rPr>
            </w:pPr>
            <w:r>
              <w:rPr>
                <w:rFonts w:ascii="Arial" w:cs="Arial" w:eastAsia="Arial" w:hAnsi="Arial"/>
                <w:sz w:val="14"/>
                <w:szCs w:val="14"/>
                <w:b w:val="1"/>
                <w:bCs w:val="1"/>
                <w:color w:val="auto"/>
              </w:rPr>
              <w:t>Six Months Ended June 30, 2025</w:t>
            </w: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vMerge w:val="continue"/>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Latin America</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AMEA</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Europe</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North America</w:t>
            </w:r>
          </w:p>
        </w:tc>
        <w:tc>
          <w:tcPr>
            <w:tcW w:w="30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18,297</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181"/>
        </w:trPr>
        <w:tc>
          <w:tcPr>
            <w:tcW w:w="41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Segment selling, general and administrative</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losses from derivatives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394335</wp:posOffset>
            </wp:positionV>
            <wp:extent cx="28257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6"/>
          </w:tcPr>
          <w:p>
            <w:pPr>
              <w:jc w:val="center"/>
              <w:ind w:left="435"/>
              <w:spacing w:after="0"/>
              <w:rPr>
                <w:sz w:val="20"/>
                <w:szCs w:val="20"/>
                <w:color w:val="auto"/>
              </w:rPr>
            </w:pPr>
            <w:r>
              <w:rPr>
                <w:rFonts w:ascii="Arial" w:cs="Arial" w:eastAsia="Arial" w:hAnsi="Arial"/>
                <w:sz w:val="14"/>
                <w:szCs w:val="14"/>
                <w:b w:val="1"/>
                <w:bCs w:val="1"/>
                <w:color w:val="auto"/>
              </w:rPr>
              <w:t>Six Months Ended June 30, 2024</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Latin America</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AMEA</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Europe</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North America</w:t>
            </w:r>
          </w:p>
        </w:tc>
        <w:tc>
          <w:tcPr>
            <w:tcW w:w="30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7"/>
              </w:rPr>
              <w:t>6,242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rPr>
              <w:t>5,303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17,633</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left="455"/>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center"/>
              <w:ind w:left="90"/>
              <w:spacing w:after="0"/>
              <w:rPr>
                <w:sz w:val="20"/>
                <w:szCs w:val="20"/>
                <w:color w:val="auto"/>
              </w:rPr>
            </w:pPr>
            <w:r>
              <w:rPr>
                <w:rFonts w:ascii="Arial" w:cs="Arial" w:eastAsia="Arial" w:hAnsi="Arial"/>
                <w:sz w:val="18"/>
                <w:szCs w:val="18"/>
                <w:color w:val="auto"/>
                <w:w w:val="98"/>
              </w:rPr>
              <w:t>(3,059)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Segment selling, general and administrative</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center"/>
              <w:ind w:left="455"/>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center"/>
              <w:ind w:left="90"/>
              <w:spacing w:after="0"/>
              <w:rPr>
                <w:sz w:val="20"/>
                <w:szCs w:val="20"/>
                <w:color w:val="auto"/>
              </w:rPr>
            </w:pPr>
            <w:r>
              <w:rPr>
                <w:rFonts w:ascii="Arial" w:cs="Arial" w:eastAsia="Arial" w:hAnsi="Arial"/>
                <w:sz w:val="18"/>
                <w:szCs w:val="18"/>
                <w:color w:val="auto"/>
                <w:w w:val="98"/>
              </w:rPr>
              <w:t>(1,150)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ind w:left="475"/>
              <w:spacing w:after="0"/>
              <w:rPr>
                <w:sz w:val="20"/>
                <w:szCs w:val="20"/>
                <w:color w:val="auto"/>
              </w:rPr>
            </w:pPr>
            <w:r>
              <w:rPr>
                <w:rFonts w:ascii="Arial" w:cs="Arial" w:eastAsia="Arial" w:hAnsi="Arial"/>
                <w:sz w:val="18"/>
                <w:szCs w:val="18"/>
                <w:color w:val="auto"/>
                <w:w w:val="97"/>
              </w:rPr>
              <w:t>1,141</w:t>
            </w:r>
          </w:p>
        </w:tc>
        <w:tc>
          <w:tcPr>
            <w:tcW w:w="100" w:type="dxa"/>
            <w:vAlign w:val="bottom"/>
          </w:tcPr>
          <w:p>
            <w:pPr>
              <w:spacing w:after="0"/>
              <w:rPr>
                <w:sz w:val="19"/>
                <w:szCs w:val="19"/>
                <w:color w:val="auto"/>
              </w:rPr>
            </w:pPr>
          </w:p>
        </w:tc>
        <w:tc>
          <w:tcPr>
            <w:tcW w:w="540" w:type="dxa"/>
            <w:vAlign w:val="bottom"/>
          </w:tcPr>
          <w:p>
            <w:pPr>
              <w:jc w:val="right"/>
              <w:ind w:right="333"/>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ind w:left="110"/>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gains from derivatives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(1) SG&amp;A for all reportable segments includes: Advertising &amp; consumer expenses and overhead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563880</wp:posOffset>
            </wp:positionV>
            <wp:extent cx="28257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and capital expenditures by segment, reflecting our current segment structure for all periods presented, were:</w:t>
      </w:r>
    </w:p>
    <w:p>
      <w:pPr>
        <w:spacing w:after="0" w:line="59"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6350</wp:posOffset>
            </wp:positionV>
            <wp:extent cx="24517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2024</w:t>
            </w:r>
          </w:p>
        </w:tc>
      </w:tr>
      <w:tr>
        <w:trPr>
          <w:trHeight w:val="209"/>
        </w:trPr>
        <w:tc>
          <w:tcPr>
            <w:tcW w:w="7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8"/>
                <w:szCs w:val="18"/>
                <w:color w:val="auto"/>
              </w:rPr>
            </w:pPr>
          </w:p>
        </w:tc>
      </w:tr>
      <w:tr>
        <w:trPr>
          <w:trHeight w:val="231"/>
        </w:trPr>
        <w:tc>
          <w:tcPr>
            <w:tcW w:w="738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Depreciation expense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w:t>
            </w:r>
          </w:p>
        </w:tc>
        <w:tc>
          <w:tcPr>
            <w:tcW w:w="1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29"/>
        </w:trPr>
        <w:tc>
          <w:tcPr>
            <w:tcW w:w="7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24"/>
                <w:szCs w:val="24"/>
                <w:color w:val="auto"/>
              </w:rPr>
            </w:pPr>
          </w:p>
        </w:tc>
      </w:tr>
      <w:tr>
        <w:trPr>
          <w:trHeight w:val="185"/>
        </w:trPr>
        <w:tc>
          <w:tcPr>
            <w:tcW w:w="73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r>
      <w:tr>
        <w:trPr>
          <w:trHeight w:val="209"/>
        </w:trPr>
        <w:tc>
          <w:tcPr>
            <w:tcW w:w="7380" w:type="dxa"/>
            <w:vAlign w:val="bottom"/>
          </w:tcPr>
          <w:p>
            <w:pPr>
              <w:spacing w:after="0"/>
              <w:rPr>
                <w:sz w:val="18"/>
                <w:szCs w:val="18"/>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2024</w:t>
            </w:r>
          </w:p>
        </w:tc>
      </w:tr>
      <w:tr>
        <w:trPr>
          <w:trHeight w:val="209"/>
        </w:trPr>
        <w:tc>
          <w:tcPr>
            <w:tcW w:w="7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8"/>
                <w:szCs w:val="18"/>
                <w:color w:val="auto"/>
              </w:rPr>
            </w:pPr>
          </w:p>
        </w:tc>
      </w:tr>
      <w:tr>
        <w:trPr>
          <w:trHeight w:val="230"/>
        </w:trPr>
        <w:tc>
          <w:tcPr>
            <w:tcW w:w="738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Depreciation expense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w:t>
            </w:r>
          </w:p>
        </w:tc>
        <w:tc>
          <w:tcPr>
            <w:tcW w:w="1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firstLine="8"/>
        <w:spacing w:after="0" w:line="285" w:lineRule="auto"/>
        <w:tabs>
          <w:tab w:leader="none" w:pos="2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depreciation expense related to owned property, plant and equipment. Does not include amortization of intangible assets or leased assets. Refer to the consolidated statements of cash flows for total depreciation and amortization expenses.</w:t>
      </w:r>
    </w:p>
    <w:p>
      <w:pPr>
        <w:spacing w:after="0" w:line="200" w:lineRule="exact"/>
        <w:rPr>
          <w:sz w:val="20"/>
          <w:szCs w:val="20"/>
          <w:color w:val="auto"/>
        </w:rPr>
      </w:pPr>
    </w:p>
    <w:p>
      <w:pPr>
        <w:spacing w:after="0" w:line="28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Six Months Ended</w:t>
      </w:r>
    </w:p>
    <w:p>
      <w:pPr>
        <w:spacing w:after="0" w:line="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6350</wp:posOffset>
            </wp:positionV>
            <wp:extent cx="24517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80" w:type="dxa"/>
            <w:vAlign w:val="bottom"/>
          </w:tcPr>
          <w:p>
            <w:pPr>
              <w:spacing w:after="0"/>
              <w:rPr>
                <w:sz w:val="17"/>
                <w:szCs w:val="17"/>
                <w:color w:val="auto"/>
              </w:rPr>
            </w:pPr>
          </w:p>
        </w:tc>
        <w:tc>
          <w:tcPr>
            <w:tcW w:w="12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2024</w:t>
            </w:r>
          </w:p>
        </w:tc>
      </w:tr>
      <w:tr>
        <w:trPr>
          <w:trHeight w:val="210"/>
        </w:trPr>
        <w:tc>
          <w:tcPr>
            <w:tcW w:w="7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8"/>
                <w:szCs w:val="18"/>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Europe</w:t>
            </w: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7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Corporate</w:t>
            </w: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2245995</wp:posOffset>
            </wp:positionV>
            <wp:extent cx="28257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Net Revenue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reflecting our current segment structure for all periods presented, were: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For the Three Months Ended June 30, 2025</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8,984</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For the Three Months Ended June 30, 2024</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3640" w:type="dxa"/>
            <w:vAlign w:val="bottom"/>
          </w:tcPr>
          <w:p>
            <w:pPr>
              <w:ind w:left="1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Six Months Ended June 30, 2025</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3"/>
        </w:trPr>
        <w:tc>
          <w:tcPr>
            <w:tcW w:w="3640" w:type="dxa"/>
            <w:vAlign w:val="bottom"/>
          </w:tcPr>
          <w:p>
            <w:pPr>
              <w:ind w:left="1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18,297</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Six Months Ended June 30, 2024</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394335</wp:posOffset>
            </wp:positionV>
            <wp:extent cx="28257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Strategy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core business is making and selling chocolate, biscuits and baked snacks, with additional businesses in adjacent, locally relevant categories including gum &amp; candy, cheese &amp; grocery and powdered beverages around the world.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continue to observe significant market and geopolitical uncertainty, fluctuating consumer demand, inflationary pressures, supply constraints, trade and regulatory uncertainty and exchange rate volatility. As a result, we experienced significantly higher operating costs, including higher overall raw material, labor and energy costs that have continued to rise. In particular, we expect to continue to face higher cocoa costs, as the market price for cocoa beans has increased significantly year-over-year and it is likely that prices will remain elevated for some time. Refer to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for additional information.</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overall outlook for future snacks revenue growth remains strong; however, we anticipate ongoing volatility. We will continue to proactively manage our business in response to the evolving global economic environment, related uncertainty and business risks while also prioritizing and supporting our employees and customers. We continue to take steps to mitigate impacts to our supply chain, operations, technology and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and Regulatory Uncertainty</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many markets, including the United States, certain products or a portion of our products, including significant inputs, are imported from other jurisdictions. As the current geopolitical environment remains unpredictable, we continue to monitor and evaluate the impact of proposed and enacted tariffs, including proposed and enacted retaliatory tariffs or other trade restrictions. We are evaluating the potential impact of these developments as well as our ability to mitigate the impact, as they are expected to adversely impact our revenue and cost of goods sold. If the provisions of certain proposed tariffs for which implementation is currently delayed are ultimately implemented as originally proposed, or if additional tariff actions are implemented, we would expect those adverse impacts on our business operations and financial performance to be significant. For most products and materials imported to the United States from Mexico and Canada, we comply with the terms of the U.S.-Mexico-Canada Agreement and are therefore not subject to tariffs on most products and materials imported from those jurisdictions. However, the current trade environment continues to evolve rapidly and there can be no assurance that such products and materials will continue to be exempt. The implementation of additional protectionist trade measures, and any further retaliatory actions taken in response, could result in increased costs and pricing pressures, disrupt consumer spending patterns, and impact market stability and consumer confidence, any or all of which could adversely affect our operating results. For additional information, see the risk factors in our Annual Report on Form 10-K for the year ended December 31, 2024, including the risk entitled “</w:t>
      </w:r>
      <w:r>
        <w:rPr>
          <w:rFonts w:ascii="Arial" w:cs="Arial" w:eastAsia="Arial" w:hAnsi="Arial"/>
          <w:sz w:val="18"/>
          <w:szCs w:val="18"/>
          <w:i w:val="1"/>
          <w:iCs w:val="1"/>
          <w:color w:val="auto"/>
        </w:rPr>
        <w:t>We are subject to risks from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trade policies and tariff and import/export regulations by the U.S. and/or other foreign governments.</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 in Ukraine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February 2022, following the Russian military invasion of Ukraine, we stopped production and closed our facilities in Ukraine; since then, we have taken steps to protect the safety of our employees and to restore operations at our two manufacturing facilities, which were significantly damaged in March 2022.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163195</wp:posOffset>
            </wp:positionV>
            <wp:extent cx="28257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suspended new capital investments and our advertising spending in Russia, but as a food company with more than 2,500 employees in the country, we have not ceased operations because we believe that we play a role in the continuity of the food supply. We continue to evaluate the situation in Ukraine and Russia and our ability to control our operating activities and businesses on an ongoing basis and comply with applicable international sanctions. We continue to consolidate both our Ukrainian and Russian subsidiaries. During the second quarter of 2025, Ukraine generated 0.4% and Russia generated 4.0% of our consolidated net revenue and during the second quarter of 2024, Ukraine generated 0.4% and Russia generated 2.9% of our consolidated net revenue. The profitability of and the assets held by our Russian business continue to remain above historic levels. We cannot predict if the recent strength in our Russian business will continue in the future.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in Russia are subject to risks, including the temporary or permanent loss of assets due to expropriation or further curtailment of our ability to conduct business operations in Russia. In the event this were to occur, this could lead to the partial or full impairment of our Russian assets or deconsolidation of our Russian operations in future periods, or the termination of and loss of revenue from our business operations, based on actions taken by Russia, other parties or us. For additional information, see the risk factors in our Annual Report on Form 10-K for the year ended December 31, 2024, including the risk entitled “</w:t>
      </w:r>
      <w:r>
        <w:rPr>
          <w:rFonts w:ascii="Arial" w:cs="Arial" w:eastAsia="Arial" w:hAnsi="Arial"/>
          <w:sz w:val="18"/>
          <w:szCs w:val="18"/>
          <w:i w:val="1"/>
          <w:iCs w:val="1"/>
          <w:color w:val="auto"/>
        </w:rPr>
        <w:t>The war in Ukraine has impacted and could continue to impact</w:t>
      </w:r>
      <w:r>
        <w:rPr>
          <w:rFonts w:ascii="Arial" w:cs="Arial" w:eastAsia="Arial" w:hAnsi="Arial"/>
          <w:sz w:val="18"/>
          <w:szCs w:val="18"/>
          <w:color w:val="auto"/>
        </w:rPr>
        <w:t xml:space="preserve"> </w:t>
      </w:r>
      <w:r>
        <w:rPr>
          <w:rFonts w:ascii="Arial" w:cs="Arial" w:eastAsia="Arial" w:hAnsi="Arial"/>
          <w:sz w:val="18"/>
          <w:szCs w:val="18"/>
          <w:i w:val="1"/>
          <w:iCs w:val="1"/>
          <w:color w:val="auto"/>
        </w:rPr>
        <w:t>our business operations, financial performance and results of operations.</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the Middle East</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October 2023, conflict developed in the Middle East between Hamas and Israel, and has expanded to other parts of the region. Throughout 2024 and into 2025, we experienced limited adverse sales impacts related to this conflict in certain AMEA markets, but this did not have a material impact on our business, results of operations or financial condition. We continue to evaluate the impacts of these developments on our business and we cannot predict if the conflict will have a significant impact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Extreme Price Growth in Argentina and Other Currency-Related Items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December 2023, the Argentinean peso significantly devalued. The peso's devaluation and potential resulting distortion on our non-GAAP Organic Net Revenue, Organic Net Revenue growth and other constant currency growth rate measures resulted in our decision to exclude the impact of pricing increases in excess of 26% year-over-year ("extreme pricing") in Argentina, from these measures beginning in the first quarter of 2024. The benchmark of 26% represents the minimum annual inflation rate for each year over a 3-year period which would result in a cumulative inflation rate in excess of 100%, the level at which an economy is considered hyperinflationary under U.S. GAAP. Throughout the following MD&amp;A discussion, we exclude the impact of extreme pricing in Argentina from the net pricing impact of Organic Net Revenue and Organic Net Revenue growth and its related impact on our other non-GAAP financial constant currency growth measures. Additionally within this MD&amp;A discussion, "currency-related items" reflect the impacts of extreme pricing and year-over-year currency translation rate changes.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Currency-related items impacted our non-GAAP financial measures for the three months ended June 30, 2025 as follows:</w:t>
      </w:r>
    </w:p>
    <w:p>
      <w:pPr>
        <w:spacing w:after="0" w:line="24" w:lineRule="exact"/>
        <w:rPr>
          <w:sz w:val="20"/>
          <w:szCs w:val="20"/>
          <w:color w:val="auto"/>
        </w:rPr>
      </w:pPr>
    </w:p>
    <w:p>
      <w:pPr>
        <w:jc w:val="both"/>
        <w:ind w:left="660" w:hanging="328"/>
        <w:spacing w:after="0" w:line="251" w:lineRule="auto"/>
        <w:tabs>
          <w:tab w:leader="none" w:pos="648" w:val="left"/>
        </w:tabs>
        <w:numPr>
          <w:ilvl w:val="0"/>
          <w:numId w:val="14"/>
        </w:numPr>
        <w:rPr>
          <w:rFonts w:ascii="Arial" w:cs="Arial" w:eastAsia="Arial" w:hAnsi="Arial"/>
          <w:sz w:val="20"/>
          <w:szCs w:val="20"/>
          <w:b w:val="1"/>
          <w:bCs w:val="1"/>
          <w:i w:val="1"/>
          <w:iCs w:val="1"/>
          <w:color w:val="auto"/>
        </w:rPr>
      </w:pPr>
      <w:r>
        <w:rPr>
          <w:rFonts w:ascii="Arial" w:cs="Arial" w:eastAsia="Arial" w:hAnsi="Arial"/>
          <w:sz w:val="18"/>
          <w:szCs w:val="18"/>
          <w:color w:val="auto"/>
        </w:rPr>
        <w:t>Organic Net Revenue: In the second quarter of 2025, favorable currency-related items of $68 million (0.8 pp) were driven by favorable currency translation rate changes of $45 million (0.6 pp) and extreme pricing of $23 million (0.2 pp). In Emerging Markets, unfavorable currency-related items of $58 million (1.8 pp) were driven by unfavorable currency translation rate changes of $81 million (2.5 pp), partially offset by extreme pricing of $23 million (0.7 pp). In Developed Markets, favorable currency-related items of $126 million (2.5 pp) were driven by favorable currency translation rate changes.</w:t>
      </w:r>
    </w:p>
    <w:p>
      <w:pPr>
        <w:spacing w:after="0" w:line="3" w:lineRule="exact"/>
        <w:rPr>
          <w:rFonts w:ascii="Arial" w:cs="Arial" w:eastAsia="Arial" w:hAnsi="Arial"/>
          <w:sz w:val="20"/>
          <w:szCs w:val="20"/>
          <w:b w:val="1"/>
          <w:bCs w:val="1"/>
          <w:i w:val="1"/>
          <w:iCs w:val="1"/>
          <w:color w:val="auto"/>
        </w:rPr>
      </w:pPr>
    </w:p>
    <w:p>
      <w:pPr>
        <w:ind w:left="660" w:hanging="328"/>
        <w:spacing w:after="0" w:line="250" w:lineRule="auto"/>
        <w:tabs>
          <w:tab w:leader="none" w:pos="655"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Adjusted Operating Income: In the second quarter of 2025, favorable currency-related items of $30 million were driven by favorable currency translation rate changes of $26 million and extreme pricing of $4 million.</w:t>
      </w:r>
    </w:p>
    <w:p>
      <w:pPr>
        <w:ind w:left="660" w:hanging="328"/>
        <w:spacing w:after="0" w:line="266" w:lineRule="auto"/>
        <w:tabs>
          <w:tab w:leader="none" w:pos="655"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Adjusted EPS: In the second quarter of 2025, favorable currency-related items of $0.02 were driven by favorable currency translation rate changes, as extreme pricing had an immaterial impact.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Currency-related items impacted our non-GAAP financial measures for the six months ended June 30, 2025 as follows:</w:t>
      </w:r>
    </w:p>
    <w:p>
      <w:pPr>
        <w:spacing w:after="0" w:line="24" w:lineRule="exact"/>
        <w:rPr>
          <w:sz w:val="20"/>
          <w:szCs w:val="20"/>
          <w:color w:val="auto"/>
        </w:rPr>
      </w:pPr>
    </w:p>
    <w:p>
      <w:pPr>
        <w:jc w:val="both"/>
        <w:ind w:left="660" w:right="20" w:hanging="328"/>
        <w:spacing w:after="0" w:line="253" w:lineRule="auto"/>
        <w:tabs>
          <w:tab w:leader="none" w:pos="648" w:val="left"/>
        </w:tabs>
        <w:numPr>
          <w:ilvl w:val="0"/>
          <w:numId w:val="15"/>
        </w:numPr>
        <w:rPr>
          <w:rFonts w:ascii="Arial" w:cs="Arial" w:eastAsia="Arial" w:hAnsi="Arial"/>
          <w:sz w:val="20"/>
          <w:szCs w:val="20"/>
          <w:b w:val="1"/>
          <w:bCs w:val="1"/>
          <w:i w:val="1"/>
          <w:iCs w:val="1"/>
          <w:color w:val="auto"/>
        </w:rPr>
      </w:pPr>
      <w:r>
        <w:rPr>
          <w:rFonts w:ascii="Arial" w:cs="Arial" w:eastAsia="Arial" w:hAnsi="Arial"/>
          <w:sz w:val="18"/>
          <w:szCs w:val="18"/>
          <w:color w:val="auto"/>
        </w:rPr>
        <w:t>Organic Net Revenue: In the first six months of 2025, unfavorable currency-related items of $274 million (1.6 pp) were driven by unfavorable currency translation rate changes of $320 million (1.8 pp), partially offset by extreme pricing of $46 million (0.2 pp). In Emerging Markets, unfavorable currency-related items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25400</wp:posOffset>
            </wp:positionV>
            <wp:extent cx="28257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$310 million (4.4 pp) were driven by unfavorable currency translation rate changes of $356 million (5.1 pp), partially offset by extreme pricing of 46 million (0.7 pp). In Developed Markets, favorable currency-related items of 36 million (0.3 pp) were driven by favorable currency translation rate changes.</w:t>
      </w:r>
    </w:p>
    <w:p>
      <w:pPr>
        <w:spacing w:after="0" w:line="1" w:lineRule="exact"/>
        <w:rPr>
          <w:sz w:val="20"/>
          <w:szCs w:val="20"/>
          <w:color w:val="auto"/>
        </w:rPr>
      </w:pPr>
    </w:p>
    <w:p>
      <w:pPr>
        <w:ind w:left="660" w:hanging="328"/>
        <w:spacing w:after="0" w:line="250"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Adjusted Operating Income: In the first six months of 2025, favorable currency-related items of $3 million were driven by the impact of extreme pricing of $8 million, partially offset by unfavorable currency translation rate changes of $5 million.</w:t>
      </w:r>
    </w:p>
    <w:p>
      <w:pPr>
        <w:ind w:left="660" w:hanging="328"/>
        <w:spacing w:after="0" w:line="266"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Adjusted EPS: In the first six months of 2025, currency-related items were neutral as unfavorable currency translation rate changes were offset by extreme pricing.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ERP System Implementation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July 2024, our Board of Directors approved funding of $1.2 billion for a multi -year systems transformation program to upgrade our global ERP and supply chain systems (the “ERP System Implementation”). ERP System Implementation spending comprises both capital expenditures and operating expenses, of which a majority is expected to relate to operating expenses. The operating expenses associated with the ERP System Implementation represent incremental transformational costs above the normal ongoing level of spending on information technology to support operations. The ERP System Implementation program will be implemented by region in several phases with spending occurring over the next four years, with expected completion by year-end 2028.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additional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During the fourth quarter of 2024, we completed the acquisition of Evirth (Shanghai) Industrial Co., Ltd, a leading manufacturer of cakes and pastries in China.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 Transactions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Transactions (Euronext Amsterdam: “JDEP”)</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During the first quarter of 2024, we recorded an impairment charge of €612 million ($ 665 million) related to our JDEP investment. During the fourth quarter of 2024, we sold our remaining 85.9 million shares to JAB Holdings Company. For additional information, refer to Note 6, </w:t>
      </w:r>
      <w:r>
        <w:rPr>
          <w:rFonts w:ascii="Arial" w:cs="Arial" w:eastAsia="Arial" w:hAnsi="Arial"/>
          <w:sz w:val="18"/>
          <w:szCs w:val="18"/>
          <w:i w:val="1"/>
          <w:iCs w:val="1"/>
          <w:color w:val="auto"/>
        </w:rPr>
        <w:t>Equity Method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Mondelēz Global LLC Retirement Plan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the third quarter of 2024, we entered into agreements with two third-party insurance companies to purchase buy-in annuity contracts to cover the liabilities associated with the Mondelēz Global LLC Retirement Plan (“MDLZ Global Plan”), the pension plan for U.S. salaried employees. The agreements provided us with the option to elect a buy-out conversion, at which time full responsibility of the MDLZ Global Plan obligations would transfer to the insurance companies. On June 12, 2025 we elected the buy-out conversion and recognized a non-cash pretax settlement loss of $282 million as a component of net periodic pension cost in the second quarter of 2025. Refer to Note 9, </w:t>
      </w:r>
      <w:r>
        <w:rPr>
          <w:rFonts w:ascii="Arial" w:cs="Arial" w:eastAsia="Arial" w:hAnsi="Arial"/>
          <w:sz w:val="18"/>
          <w:szCs w:val="18"/>
          <w:i w:val="1"/>
          <w:iCs w:val="1"/>
          <w:color w:val="auto"/>
        </w:rPr>
        <w:t xml:space="preserve">Benefit Plans </w:t>
      </w:r>
      <w:r>
        <w:rPr>
          <w:rFonts w:ascii="Arial" w:cs="Arial" w:eastAsia="Arial" w:hAnsi="Arial"/>
          <w:sz w:val="18"/>
          <w:szCs w:val="18"/>
          <w:color w:val="auto"/>
        </w:rPr>
        <w:t>for additional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monitor existing and potential future tax reform around the world. Numerous countries have enacted the Organization of Economic Cooperation and Development’s model rules on a global minimum tax, effective for 2024. While the existing legislation does not have a material impact on our condensed consolidated financial statements, we are monitoring how the June 28, 2025 G7 announcement that U.S.-parented companies be exempted from certain aspects of the global minimum tax regime will be incorporated into the model rules and local legislation around the world.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July 4, 2025, the One Big Beautiful Bill Act ("OBBBA") was signed into U.S. law. While we are still evaluating the impacts of the OBBBA, we do not expect any material impacts to our financial statements for the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160655</wp:posOffset>
            </wp:positionV>
            <wp:extent cx="28257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use non-GAAP financial measures internally to make operating and strategic decisions, including the preparation of our annual operating plan, evaluation of business performance and as a factor in determining incentive compensation. We believe that non-GAAP financial measures, when used in connection with results reported in accordance with U.S. GAAP, provide additional information to facilitate comparisons of our historical operating results and to enable a more comprehensive understanding of trends in our underlying operating results. We also believe that presenting these measures allows investors to view our performance using the same measures that management and our Board of Directors use in evaluating our business performance and trends. However, non-GAAP financial measures should be considered in addition to, and not as substitutes for, financial information prepared in accordance with U.S. GAAP. In addition, our non-GAAP financial measures may not be the same as or comparable to similar non-GAAP measures presented by other companies. A limitation of these non-GAAP financial measures is they exclude items that have an impact on our U.S. GAAP reported results. The best way this limitation can be addressed is by evaluating our non-GAAP financial measures in combination with our U.S. GAAP reported results. We have provided the reconciliations between the GAAP and non-GAAP financial measures along with a discussion of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also evaluate the operating performance of the company and its international subsidiaries on a constant currency basis. Our non-GAAP measures presented on a constant currency basis exclude the effects of currency translation rate changes and, beginning in the first quarter of 2024, extreme pricing increases in Argentina. For additional information, refer to </w:t>
      </w:r>
      <w:r>
        <w:rPr>
          <w:rFonts w:ascii="Arial" w:cs="Arial" w:eastAsia="Arial" w:hAnsi="Arial"/>
          <w:sz w:val="18"/>
          <w:szCs w:val="18"/>
          <w:i w:val="1"/>
          <w:iCs w:val="1"/>
          <w:color w:val="auto"/>
        </w:rPr>
        <w:t>Extreme Price Growth in Argentin</w:t>
      </w:r>
      <w:r>
        <w:rPr>
          <w:rFonts w:ascii="Arial" w:cs="Arial" w:eastAsia="Arial" w:hAnsi="Arial"/>
          <w:sz w:val="18"/>
          <w:szCs w:val="18"/>
          <w:color w:val="auto"/>
        </w:rPr>
        <w:t>a. We determine constant currency operating results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primary non-GAAP financial measures and corresponding metrics, listed below, reflect how we evaluate our current and prior-year operating results. As new events or circumstances arise, these definitions could change. When our definitions change, we provide the updated definitions and present the related non-GAAP historical results on a comparable basis. When items no longer impact our current or future presentation of non-GAAP operating results, we remove these items from our non-GAAP definitions. For descriptions of the items excluded from our non-GAAP financial measures,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w:t>
      </w:r>
    </w:p>
    <w:p>
      <w:pPr>
        <w:spacing w:after="0" w:line="206" w:lineRule="exact"/>
        <w:rPr>
          <w:sz w:val="20"/>
          <w:szCs w:val="20"/>
          <w:color w:val="auto"/>
        </w:rPr>
      </w:pPr>
    </w:p>
    <w:p>
      <w:pPr>
        <w:jc w:val="both"/>
        <w:ind w:left="660" w:hanging="328"/>
        <w:spacing w:after="0" w:line="25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“Organic Net Revenue” is defined as net revenues (the most comparable U.S. GAAP financial measure) excluding, when they occur, the impacts of acquisitions, divestitures, short-term distributor agreements related to the sale of a business and currency-related items. We believe that Organic Net Revenue reflects the underlying growth from the ongoing activities of our business and provides improved comparability of results. Organic Net Revenue growth is presented on a consolidated basis, for each of our segments and for our emerging markets and developed markets, and these underlying measures are also reconciled to the most comparable U.S. GAAP financial measures above.</w:t>
      </w:r>
    </w:p>
    <w:p>
      <w:pPr>
        <w:spacing w:after="0" w:line="4" w:lineRule="exact"/>
        <w:rPr>
          <w:rFonts w:ascii="Arial" w:cs="Arial" w:eastAsia="Arial" w:hAnsi="Arial"/>
          <w:sz w:val="18"/>
          <w:szCs w:val="18"/>
          <w:color w:val="auto"/>
        </w:rPr>
      </w:pPr>
    </w:p>
    <w:p>
      <w:pPr>
        <w:jc w:val="both"/>
        <w:ind w:left="980" w:hanging="324"/>
        <w:spacing w:after="0" w:line="250" w:lineRule="auto"/>
        <w:tabs>
          <w:tab w:leader="none" w:pos="975"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980" w:right="20" w:hanging="324"/>
        <w:spacing w:after="0" w:line="266" w:lineRule="auto"/>
        <w:tabs>
          <w:tab w:leader="none" w:pos="975"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198"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Income” is defined as operating income (the most comparable U.S. GAAP financial measure) excluding, when they occur, the impacts of the Simplify to Grow Program; gains or losses (including non-cash impairment charges) on goodwill and intangible assets; divestiture-related items; acquisition-related items; operating results from short-term distributor agreements related to the sale of a business; remeasurement of net monetary position of highly inflationary countries; mark-to-market impacts from commodity and foreign currency derivative contracts economically hedging forecasted transactions; impacts from resolution of indirect tax matters; incremental costs due to the war in Ukraine; impact from the European Commission legal matter; the impact from pension participation changes; and operating costs from the ERP System Implementation program. We also present Adjusted Operating Income margin, which is subject to the same adjustments as Adjusted Operating Income. We also evaluate growth in our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15240</wp:posOffset>
            </wp:positionV>
            <wp:extent cx="28257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Operating Income on a constant currency basis. We believe these measures provide improved comparability of underlying operating results.</w:t>
      </w:r>
    </w:p>
    <w:p>
      <w:pPr>
        <w:spacing w:after="0" w:line="180" w:lineRule="exact"/>
        <w:rPr>
          <w:sz w:val="20"/>
          <w:szCs w:val="20"/>
          <w:color w:val="auto"/>
        </w:rPr>
      </w:pPr>
    </w:p>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EPS” is defined as diluted EPS attributable to Mondelēz International (the most comparable U.S. GAAP financial measure) from continuing operations excluding, when they occur, the impacts of the items listed in the Adjusted Operating Income definition as well as gains or losses on debt extinguishment and related expenses; gains or losses on interest rate swaps no longer designated as accounting cash flow hedges due to changed financing and hedging plans; gains or losses on marketable securities transactions; initial impacts from enacted tax law changes; and gains or losses on equity method investment transactions. We also evaluate growth in our Adjusted EPS on a constant currency basis. We believe Adjusted EPS provides improved comparability of underlying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693420</wp:posOffset>
            </wp:positionV>
            <wp:extent cx="28257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below table and subsequent commentary presents income or (expense) items that affected the comparability of our results of operations and provides details of each item. Please refer to the notes to the condensed consolidated financial statements indicated below for additional information. These items are excluded from our non-GAAP earnings measures to better facilitate comparisons of our underlying operating performance across periods. Refer to the </w:t>
      </w:r>
      <w:r>
        <w:rPr>
          <w:rFonts w:ascii="Arial" w:cs="Arial" w:eastAsia="Arial" w:hAnsi="Arial"/>
          <w:sz w:val="18"/>
          <w:szCs w:val="18"/>
          <w:i w:val="1"/>
          <w:iCs w:val="1"/>
          <w:color w:val="auto"/>
        </w:rPr>
        <w:t>Consolidated Results of Operations – Net Earnings and Earnings per Share Attributable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Mondelēz International </w:t>
      </w:r>
      <w:r>
        <w:rPr>
          <w:rFonts w:ascii="Arial" w:cs="Arial" w:eastAsia="Arial" w:hAnsi="Arial"/>
          <w:sz w:val="18"/>
          <w:szCs w:val="18"/>
          <w:color w:val="auto"/>
        </w:rPr>
        <w:t>table for the after-tax per share impacts of these items and to the</w:t>
      </w:r>
      <w:r>
        <w:rPr>
          <w:rFonts w:ascii="Arial" w:cs="Arial" w:eastAsia="Arial" w:hAnsi="Arial"/>
          <w:sz w:val="18"/>
          <w:szCs w:val="18"/>
          <w:i w:val="1"/>
          <w:iCs w:val="1"/>
          <w:color w:val="auto"/>
        </w:rPr>
        <w:t xml:space="preserve"> Non-GAAP Financial Measures </w:t>
      </w:r>
      <w:r>
        <w:rPr>
          <w:rFonts w:ascii="Arial" w:cs="Arial" w:eastAsia="Arial" w:hAnsi="Arial"/>
          <w:sz w:val="18"/>
          <w:szCs w:val="18"/>
          <w:color w:val="auto"/>
        </w:rPr>
        <w:t>section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definitions of our non-GAAP financial measures.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420" w:type="dxa"/>
            <w:vAlign w:val="bottom"/>
            <w:gridSpan w:val="2"/>
          </w:tcPr>
          <w:p>
            <w:pPr>
              <w:jc w:val="center"/>
              <w:ind w:left="561"/>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See Note</w:t>
            </w: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(in millions, except percentages)</w:t>
            </w: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Simplify to Grow Program</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Note 13</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Mark-to-market (losses)/gains from derivatives </w:t>
            </w:r>
            <w:r>
              <w:rPr>
                <w:rFonts w:ascii="Arial" w:cs="Arial" w:eastAsia="Arial" w:hAnsi="Arial"/>
                <w:sz w:val="21"/>
                <w:szCs w:val="21"/>
                <w:b w:val="1"/>
                <w:bCs w:val="1"/>
                <w:color w:val="auto"/>
                <w:vertAlign w:val="superscript"/>
              </w:rPr>
              <w:t>(1)</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Note 8</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(93)</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(766)</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Acquisition-related items</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7"/>
              </w:rPr>
              <w:t>Note 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Divestiture-related items</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Note 2</w:t>
            </w:r>
          </w:p>
        </w:tc>
        <w:tc>
          <w:tcPr>
            <w:tcW w:w="2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Operating results from short-term distributor</w:t>
            </w: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agreements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Incremental costs due to war in Ukraine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European Commission legal matter</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Note 10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ERP System Implementation costs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Remeasurement of net monetary position</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7"/>
              </w:rPr>
              <w:t>Note 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Impact from pension participation changes</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Note 9</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(287)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Initial impacts from enacted tax law changes</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Note 14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Loss on equity method investment transactions</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Note 6</w:t>
            </w:r>
          </w:p>
        </w:tc>
        <w:tc>
          <w:tcPr>
            <w:tcW w:w="26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impacts recorded in operating income and interest expense and other, net in the accompanying condensed consolidated statements of earnings.</w:t>
      </w:r>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Simplify to Grow Program </w:t>
      </w:r>
      <w:r>
        <w:rPr>
          <w:rFonts w:ascii="Arial" w:cs="Arial" w:eastAsia="Arial" w:hAnsi="Arial"/>
          <w:sz w:val="18"/>
          <w:szCs w:val="18"/>
          <w:color w:val="auto"/>
        </w:rPr>
        <w:t>– Reflects restructuring charges incurred under the company’s Simplify to Grow Program to reduce both its supply</w:t>
      </w:r>
      <w:r>
        <w:rPr>
          <w:rFonts w:ascii="Arial" w:cs="Arial" w:eastAsia="Arial" w:hAnsi="Arial"/>
          <w:sz w:val="18"/>
          <w:szCs w:val="18"/>
          <w:b w:val="1"/>
          <w:bCs w:val="1"/>
          <w:color w:val="auto"/>
        </w:rPr>
        <w:t xml:space="preserve"> </w:t>
      </w:r>
      <w:r>
        <w:rPr>
          <w:rFonts w:ascii="Arial" w:cs="Arial" w:eastAsia="Arial" w:hAnsi="Arial"/>
          <w:sz w:val="18"/>
          <w:szCs w:val="18"/>
          <w:color w:val="auto"/>
        </w:rPr>
        <w:t>chain and overhead costs. It comprises charges, such as severance, asset write-downs, and other costs of implementing that program, partially offset by gains on sales of assets disposed of in connection with the program. The company completed its Simplify to Grow Program in the fourth quarter of 2024. Following the completion of the program, any adjustments to the liability of previously recorded charges will be reflected within this item.</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Mark-to-market impacts from derivatives </w:t>
      </w:r>
      <w:r>
        <w:rPr>
          <w:rFonts w:ascii="Arial" w:cs="Arial" w:eastAsia="Arial" w:hAnsi="Arial"/>
          <w:sz w:val="18"/>
          <w:szCs w:val="18"/>
          <w:color w:val="auto"/>
        </w:rPr>
        <w:t>– We exclude unrealized gains and losses (mark-to-market impacts) from commodity and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derivative contracts economically hedging forecasted transactions from our non-GAAP earnings measures. The mark-to-market impacts of those derivatives are excluded until the related gains or losses are realized. Since we purchase commodity and foreign currency derivative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 xml:space="preserve">Acquisition-related items – </w:t>
      </w:r>
      <w:r>
        <w:rPr>
          <w:rFonts w:ascii="Arial" w:cs="Arial" w:eastAsia="Arial" w:hAnsi="Arial"/>
          <w:sz w:val="18"/>
          <w:szCs w:val="18"/>
          <w:color w:val="auto"/>
        </w:rPr>
        <w:t>Includes acquisition-related costs, acquisition integration costs and contingent consideration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inventory step-ups and gains from acquisitions. Acquisition-related costs include third-party advisor, investment banking and legal fees, one-time compensation expense related to the buyout of non-vested employee stock ownership plan shares and realized gains or losses from hedging activities associated with acquisition funds. Acquisition integration costs and contingent consideration adjustments include one-time costs related to the integration of acquisitions as well as any adjustments made to contingent compensation liabilities for earn-outs related to acquisitions that do not relate to recurring employee compensation expense. See Note 8, </w:t>
      </w:r>
      <w:r>
        <w:rPr>
          <w:rFonts w:ascii="Arial" w:cs="Arial" w:eastAsia="Arial" w:hAnsi="Arial"/>
          <w:sz w:val="18"/>
          <w:szCs w:val="18"/>
          <w:i w:val="1"/>
          <w:iCs w:val="1"/>
          <w:color w:val="auto"/>
        </w:rPr>
        <w:t>Financial Instruments - Fair Value of Contingent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Consideration </w:t>
      </w:r>
      <w:r>
        <w:rPr>
          <w:rFonts w:ascii="Arial" w:cs="Arial" w:eastAsia="Arial" w:hAnsi="Arial"/>
          <w:sz w:val="18"/>
          <w:szCs w:val="18"/>
          <w:color w:val="auto"/>
        </w:rPr>
        <w:t>for additional information. Other acquisition-related items include incremental costs from inventory step-ups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companies related to the fair market valuation of the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20320</wp:posOffset>
            </wp:positionV>
            <wp:extent cx="28257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32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inventory and acquisition gains, when they occur, from the remeasurement of an existing noncontrolling investment to fair value when the company acquires a controlling interest in the investee.</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Divestiture-related items </w:t>
      </w:r>
      <w:r>
        <w:rPr>
          <w:rFonts w:ascii="Arial" w:cs="Arial" w:eastAsia="Arial" w:hAnsi="Arial"/>
          <w:sz w:val="18"/>
          <w:szCs w:val="18"/>
          <w:color w:val="auto"/>
        </w:rPr>
        <w:t>– Includes operating results from divestitures, divestiture-related costs and gains/(losses) on divestitures.</w:t>
      </w:r>
      <w:r>
        <w:rPr>
          <w:rFonts w:ascii="Arial" w:cs="Arial" w:eastAsia="Arial" w:hAnsi="Arial"/>
          <w:sz w:val="18"/>
          <w:szCs w:val="18"/>
          <w:b w:val="1"/>
          <w:bCs w:val="1"/>
          <w:color w:val="auto"/>
        </w:rPr>
        <w:t xml:space="preserve"> </w:t>
      </w:r>
      <w:r>
        <w:rPr>
          <w:rFonts w:ascii="Arial" w:cs="Arial" w:eastAsia="Arial" w:hAnsi="Arial"/>
          <w:sz w:val="18"/>
          <w:szCs w:val="18"/>
          <w:color w:val="auto"/>
        </w:rPr>
        <w:t>Divestitures may include sales of businesses, exits of major product lines upon completion of a sale or licensing agreement, or sales of equity method investments. Divestiture-related costs include costs incurred in relation to the preparation and completion of divestiture transactions (including one-time costs such as severance related to the elimination of stranded costs) as well as costs incurred associated with publicly announced processes to sell businesses.</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Operating Results from short-term distributor agreements </w:t>
      </w:r>
      <w:r>
        <w:rPr>
          <w:rFonts w:ascii="Arial" w:cs="Arial" w:eastAsia="Arial" w:hAnsi="Arial"/>
          <w:sz w:val="18"/>
          <w:szCs w:val="18"/>
          <w:color w:val="auto"/>
        </w:rPr>
        <w:t>– Reflects the operating results from short-term distributor agreements that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executed in conjunction with the sale of a business.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Incremental costs due to war in Ukraine </w:t>
      </w:r>
      <w:r>
        <w:rPr>
          <w:rFonts w:ascii="Arial" w:cs="Arial" w:eastAsia="Arial" w:hAnsi="Arial"/>
          <w:sz w:val="18"/>
          <w:szCs w:val="18"/>
          <w:color w:val="auto"/>
        </w:rPr>
        <w:t>– In February 2022, Russia began a military invasion of Ukraine and we temporarily stopped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and closed our manufacturing facilities in Trostyanets and Vyshhorod due to damage incurred during the conflict. In the second quarter of 2024, we fully resumed production at both facilities after completing targeted repairs. Incremental costs incurred by the company related to the ongoing war in Ukraine primarily relate to asset write-downs, net of recoveries.</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European commission legal matter – </w:t>
      </w:r>
      <w:r>
        <w:rPr>
          <w:rFonts w:ascii="Arial" w:cs="Arial" w:eastAsia="Arial" w:hAnsi="Arial"/>
          <w:sz w:val="17"/>
          <w:szCs w:val="17"/>
          <w:color w:val="auto"/>
        </w:rPr>
        <w:t>In November 2019, the European Commission informed us that it initiated an investigation into our</w:t>
      </w:r>
      <w:r>
        <w:rPr>
          <w:rFonts w:ascii="Arial" w:cs="Arial" w:eastAsia="Arial" w:hAnsi="Arial"/>
          <w:sz w:val="17"/>
          <w:szCs w:val="17"/>
          <w:b w:val="1"/>
          <w:bCs w:val="1"/>
          <w:color w:val="auto"/>
        </w:rPr>
        <w:t xml:space="preserve"> </w:t>
      </w:r>
      <w:r>
        <w:rPr>
          <w:rFonts w:ascii="Arial" w:cs="Arial" w:eastAsia="Arial" w:hAnsi="Arial"/>
          <w:sz w:val="17"/>
          <w:szCs w:val="17"/>
          <w:color w:val="auto"/>
        </w:rPr>
        <w:t>alleged infringement of European Union competition law through certain practices allegedly restricting cross-border trade within the European Economic Area. We reached a negotiated resolution to this matter in the second quarter of 2024. We adjusted our accrual accordingly and fulfilled our payment obligation in August 2024. Due to the unique nature of this matter, we believe it to be infrequent and unusual and therefore exclude it from our non-GAAP earnings measures to better facilitate comparisons of our underlying operating performance across periods.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ERP system implementation costs </w:t>
      </w:r>
      <w:r>
        <w:rPr>
          <w:rFonts w:ascii="Arial" w:cs="Arial" w:eastAsia="Arial" w:hAnsi="Arial"/>
          <w:sz w:val="18"/>
          <w:szCs w:val="18"/>
          <w:color w:val="auto"/>
        </w:rPr>
        <w:t>– In July 2024, our Board of Directors approved funding of $1.2 billion for a multi-year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transformation program to upgrade our global ERP and supply chain systems, which is comprised of both capital expenditures and operating expenses, of which a majority is expected to be operating expenses. The ERP System Implementation program will be implemented in several phases with spending occurring over the next four years, with expected completion by year-end 2028.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 information technology upgrades.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Remeasurement of net monetary position of highly inflationary countries </w:t>
      </w:r>
      <w:r>
        <w:rPr>
          <w:rFonts w:ascii="Arial" w:cs="Arial" w:eastAsia="Arial" w:hAnsi="Arial"/>
          <w:sz w:val="18"/>
          <w:szCs w:val="18"/>
          <w:color w:val="auto"/>
        </w:rPr>
        <w:t>– The company’s operations in Argentina, Türkiye, Egypt and</w:t>
      </w:r>
      <w:r>
        <w:rPr>
          <w:rFonts w:ascii="Arial" w:cs="Arial" w:eastAsia="Arial" w:hAnsi="Arial"/>
          <w:sz w:val="18"/>
          <w:szCs w:val="18"/>
          <w:b w:val="1"/>
          <w:bCs w:val="1"/>
          <w:color w:val="auto"/>
        </w:rPr>
        <w:t xml:space="preserve"> </w:t>
      </w:r>
      <w:r>
        <w:rPr>
          <w:rFonts w:ascii="Arial" w:cs="Arial" w:eastAsia="Arial" w:hAnsi="Arial"/>
          <w:sz w:val="18"/>
          <w:szCs w:val="18"/>
          <w:color w:val="auto"/>
        </w:rPr>
        <w:t>Nigeria are currently accounted for as highly inflationary. We exclude remeasurement gains and losses of the monetary assets and liabilities of its subsidiaries in highly inflationary economies and the realized gains and losses from derivatives that mitigate the foreign currency volatility related to the remeasurement of the respective monetary assets or liabilities from its non-GAAP earnings measures to facilitate comparisons of our underlying operating performance across periods.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Impact from pension participation changes </w:t>
      </w:r>
      <w:r>
        <w:rPr>
          <w:rFonts w:ascii="Arial" w:cs="Arial" w:eastAsia="Arial" w:hAnsi="Arial"/>
          <w:sz w:val="18"/>
          <w:szCs w:val="18"/>
          <w:color w:val="auto"/>
        </w:rPr>
        <w:t>– Consists of the charges incurred, primarily gains or losses from pension curtailments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settlements, including the settlement of a pension plan for U.S. salaried employees during the second quarter of 2025, as well as costs incurred when employee groups are withdrawn from multiemployer pension plans. We exclude these charges from our non-GAAP results because those amounts do not reflect our ongoing pension obligations.</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Initial impacts from enacted tax law changes </w:t>
      </w:r>
      <w:r>
        <w:rPr>
          <w:rFonts w:ascii="Arial" w:cs="Arial" w:eastAsia="Arial" w:hAnsi="Arial"/>
          <w:sz w:val="18"/>
          <w:szCs w:val="18"/>
          <w:color w:val="auto"/>
        </w:rPr>
        <w:t>– Initial impacts from enacted tax law changes include items such as the remeasurement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tax balances and transition taxes from tax reforms. We exclude initial impacts from enacted tax law changes from our non-GAAP financial measures as they do not reflect our ongoing tax obligations under the enacted tax law.</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Gains and losses on equity method investment transactions </w:t>
      </w:r>
      <w:r>
        <w:rPr>
          <w:rFonts w:ascii="Arial" w:cs="Arial" w:eastAsia="Arial" w:hAnsi="Arial"/>
          <w:sz w:val="18"/>
          <w:szCs w:val="18"/>
          <w:color w:val="auto"/>
        </w:rPr>
        <w:t>– We exclude gains and losses from partial or full sales of equity method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as well as impairments of those investments. In addition, we also exclude from our non-GAAP financial measures any gains or losses realized on economic hedges of sales proceeds from our equity method investment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168910</wp:posOffset>
            </wp:positionV>
            <wp:extent cx="28257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66" w:lineRule="exact"/>
        <w:rPr>
          <w:sz w:val="20"/>
          <w:szCs w:val="20"/>
          <w:color w:val="auto"/>
        </w:rPr>
      </w:pPr>
    </w:p>
    <w:p>
      <w:pPr>
        <w:ind w:left="660" w:hanging="328"/>
        <w:spacing w:after="0" w:line="254"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Net revenues increased 7.7% to $9.0 billion in the second quarter of 2025 and increased 3.8% to $18.3 billion in the first six months of 2025 as compared to the same periods in the prior year.</w:t>
      </w:r>
    </w:p>
    <w:p>
      <w:pPr>
        <w:spacing w:after="0" w:line="1" w:lineRule="exact"/>
        <w:rPr>
          <w:rFonts w:ascii="Arial" w:cs="Arial" w:eastAsia="Arial" w:hAnsi="Arial"/>
          <w:sz w:val="20"/>
          <w:szCs w:val="20"/>
          <w:color w:val="auto"/>
        </w:rPr>
      </w:pPr>
    </w:p>
    <w:p>
      <w:pPr>
        <w:ind w:left="1300" w:hanging="324"/>
        <w:spacing w:after="0" w:line="250" w:lineRule="auto"/>
        <w:rPr>
          <w:rFonts w:ascii="Arial" w:cs="Arial" w:eastAsia="Arial" w:hAnsi="Arial"/>
          <w:sz w:val="20"/>
          <w:szCs w:val="20"/>
          <w:color w:val="auto"/>
        </w:rPr>
      </w:pPr>
      <w:r>
        <w:rPr>
          <w:rFonts w:ascii="Arial" w:cs="Arial" w:eastAsia="Arial" w:hAnsi="Arial"/>
          <w:sz w:val="18"/>
          <w:szCs w:val="18"/>
          <w:color w:val="auto"/>
        </w:rPr>
        <w:t>– Net revenue growth in the second quarter of 2025 was driven by higher net pricing, incremental net revenue from our acquisition of Evirth and favorable currency-related items, as several currencies we operate in strengthened relative to the U.S. dollar as compared to exchange rates in the prior year, partially offset by unfavorable volume/mix.</w:t>
      </w:r>
    </w:p>
    <w:p>
      <w:pPr>
        <w:spacing w:after="0" w:line="1" w:lineRule="exact"/>
        <w:rPr>
          <w:rFonts w:ascii="Arial" w:cs="Arial" w:eastAsia="Arial" w:hAnsi="Arial"/>
          <w:sz w:val="20"/>
          <w:szCs w:val="20"/>
          <w:color w:val="auto"/>
        </w:rPr>
      </w:pPr>
    </w:p>
    <w:p>
      <w:pPr>
        <w:ind w:left="1300" w:hanging="324"/>
        <w:spacing w:after="0" w:line="255" w:lineRule="auto"/>
        <w:rPr>
          <w:rFonts w:ascii="Arial" w:cs="Arial" w:eastAsia="Arial" w:hAnsi="Arial"/>
          <w:sz w:val="20"/>
          <w:szCs w:val="20"/>
          <w:color w:val="auto"/>
        </w:rPr>
      </w:pPr>
      <w:r>
        <w:rPr>
          <w:rFonts w:ascii="Arial" w:cs="Arial" w:eastAsia="Arial" w:hAnsi="Arial"/>
          <w:sz w:val="18"/>
          <w:szCs w:val="18"/>
          <w:color w:val="auto"/>
        </w:rPr>
        <w:t>– Net revenue growth in the first six months of 2025 was driven by higher net pricing and incremental net revenue from our acquisition of Evirth, partially offset by unfavorable volume/mix, unfavorable currency-related items, as the U.S. dollar strengthened relative to most currencies we operate in compared to exchange rates in the prior year, and lapping prior-year net revenue from a short-term distributor agreement related to the sale of our developed market gum business.</w:t>
      </w:r>
    </w:p>
    <w:p>
      <w:pPr>
        <w:spacing w:after="0" w:line="222" w:lineRule="exact"/>
        <w:rPr>
          <w:rFonts w:ascii="Arial" w:cs="Arial" w:eastAsia="Arial" w:hAnsi="Arial"/>
          <w:sz w:val="20"/>
          <w:szCs w:val="20"/>
          <w:color w:val="auto"/>
        </w:rPr>
      </w:pPr>
    </w:p>
    <w:p>
      <w:pPr>
        <w:jc w:val="both"/>
        <w:ind w:left="660" w:hanging="328"/>
        <w:spacing w:after="0" w:line="252"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 xml:space="preserve">Organic Net Revenue, a non-GAAP financial measure, increased 5.6% to $8.8 billion in the second quarter of 2025 and increased 4.3% to $18.4 billion in the first six months of 2025 as compared to the same periods in the prior year. During both the second quarter and the first six months of 2025, Organic Net Revenue grew due to higher net pricing, partially offset by unfavorable volume/mix. Organic Net Revenue is reported on a constant currency basis and excludes revenue from acquisitions and divestitures.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 of Organic Net Revenue and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for our reconciliation with net revenues.</w:t>
      </w:r>
    </w:p>
    <w:p>
      <w:pPr>
        <w:spacing w:after="0" w:line="224" w:lineRule="exact"/>
        <w:rPr>
          <w:rFonts w:ascii="Arial" w:cs="Arial" w:eastAsia="Arial" w:hAnsi="Arial"/>
          <w:sz w:val="20"/>
          <w:szCs w:val="20"/>
          <w:color w:val="auto"/>
        </w:rPr>
      </w:pPr>
    </w:p>
    <w:p>
      <w:pPr>
        <w:ind w:left="660" w:hanging="328"/>
        <w:spacing w:after="0" w:line="254"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Diluted EPS attributable to Mondelēz International increased 8.9% to $0.49 in the second quarter of 2025 and decreased 46.3% to $0.80 in the first six months of 2025 as compared to the same periods in the prior year.</w:t>
      </w:r>
    </w:p>
    <w:p>
      <w:pPr>
        <w:spacing w:after="0" w:line="1" w:lineRule="exact"/>
        <w:rPr>
          <w:rFonts w:ascii="Arial" w:cs="Arial" w:eastAsia="Arial" w:hAnsi="Arial"/>
          <w:sz w:val="20"/>
          <w:szCs w:val="20"/>
          <w:color w:val="auto"/>
        </w:rPr>
      </w:pPr>
    </w:p>
    <w:p>
      <w:pPr>
        <w:ind w:left="1300" w:hanging="324"/>
        <w:spacing w:after="0" w:line="250" w:lineRule="auto"/>
        <w:rPr>
          <w:rFonts w:ascii="Arial" w:cs="Arial" w:eastAsia="Arial" w:hAnsi="Arial"/>
          <w:sz w:val="20"/>
          <w:szCs w:val="20"/>
          <w:color w:val="auto"/>
        </w:rPr>
      </w:pPr>
      <w:r>
        <w:rPr>
          <w:rFonts w:ascii="Arial" w:cs="Arial" w:eastAsia="Arial" w:hAnsi="Arial"/>
          <w:sz w:val="18"/>
          <w:szCs w:val="18"/>
          <w:color w:val="auto"/>
        </w:rPr>
        <w:t>– Diluted EPS increased in the second quarter of 2025, driven by a favorable year-over-year change in mark-to-market impacts from commodity and foreign currency derivatives, a favorable year-over-year change in acquisition-related items, lapping prior-year unfavorable initial impacts from enacted tax law changes and lapping prior-year costs for the completed Simplify to Grow program. These favorable items were partially offset by a non-cash loss related to the settlement of a U.S. pension plan, a decrease in Adjusted EPS, costs incurred for the ERP System Implementation program and lapping prior-year operating results from divestitures.</w:t>
      </w:r>
    </w:p>
    <w:p>
      <w:pPr>
        <w:spacing w:after="0" w:line="2" w:lineRule="exact"/>
        <w:rPr>
          <w:rFonts w:ascii="Arial" w:cs="Arial" w:eastAsia="Arial" w:hAnsi="Arial"/>
          <w:sz w:val="20"/>
          <w:szCs w:val="20"/>
          <w:color w:val="auto"/>
        </w:rPr>
      </w:pPr>
    </w:p>
    <w:p>
      <w:pPr>
        <w:ind w:left="1300" w:hanging="324"/>
        <w:spacing w:after="0" w:line="253" w:lineRule="auto"/>
        <w:rPr>
          <w:rFonts w:ascii="Arial" w:cs="Arial" w:eastAsia="Arial" w:hAnsi="Arial"/>
          <w:sz w:val="20"/>
          <w:szCs w:val="20"/>
          <w:color w:val="auto"/>
        </w:rPr>
      </w:pPr>
      <w:r>
        <w:rPr>
          <w:rFonts w:ascii="Arial" w:cs="Arial" w:eastAsia="Arial" w:hAnsi="Arial"/>
          <w:sz w:val="18"/>
          <w:szCs w:val="18"/>
          <w:color w:val="auto"/>
        </w:rPr>
        <w:t>– Diluted EPS decreased in the first six months of 2025, driven by an unfavorable year-over-year change in mark-to-market impacts from commodity and foreign currency derivatives, a decrease in Adjusted EPS, an unfavorable impact from a loss related to the settlement of a U.S. pension plan, costs incurred for the ERP System Implementation program and lapping prior-year divestiture-related items. These unfavorable items were partially offset by lapping a prior-year equity method investment impairment, a favorable year-over-year change in acquisition-related items, lapping prior-year costs for the completed Simplify to Grow Program and lapping prior-year unfavorable initial impacts from enacted tax law changes.</w:t>
      </w:r>
    </w:p>
    <w:p>
      <w:pPr>
        <w:spacing w:after="0" w:line="225" w:lineRule="exact"/>
        <w:rPr>
          <w:rFonts w:ascii="Arial" w:cs="Arial" w:eastAsia="Arial" w:hAnsi="Arial"/>
          <w:sz w:val="20"/>
          <w:szCs w:val="20"/>
          <w:color w:val="auto"/>
        </w:rPr>
      </w:pPr>
    </w:p>
    <w:p>
      <w:pPr>
        <w:jc w:val="both"/>
        <w:ind w:left="660" w:hanging="328"/>
        <w:spacing w:after="0" w:line="249"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 xml:space="preserve">Adjusted EPS, a non-GAAP financial measure, decreased 12.0% to $0.73 in the second quarter of 2025 and decreased 16.5% to $1.47 in the first six months of 2025 as compared to the same periods in the prior year. On a constant currency basis, Adjusted EPS decreased 14.5% to $0.71 in the second quarter of 2025 and decreased 16.5% to $1.47 in the first six months of 2025 as compared to the same periods in the prior year.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 of Adjusted EPS and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for our reconciliation with diluted EPS.</w:t>
      </w:r>
    </w:p>
    <w:p>
      <w:pPr>
        <w:ind w:left="1300" w:hanging="324"/>
        <w:spacing w:after="0" w:line="252" w:lineRule="auto"/>
        <w:rPr>
          <w:rFonts w:ascii="Arial" w:cs="Arial" w:eastAsia="Arial" w:hAnsi="Arial"/>
          <w:sz w:val="20"/>
          <w:szCs w:val="20"/>
          <w:color w:val="auto"/>
        </w:rPr>
      </w:pPr>
      <w:r>
        <w:rPr>
          <w:rFonts w:ascii="Arial" w:cs="Arial" w:eastAsia="Arial" w:hAnsi="Arial"/>
          <w:sz w:val="18"/>
          <w:szCs w:val="18"/>
          <w:color w:val="auto"/>
        </w:rPr>
        <w:t>– Adjusted EPS decreased in the second quarter of 2025, driven by operating declines, higher interest and other expense and lower benefit plan non-service income, partially offset by fewer shares outstanding, favorable currency-related impacts and the impact from an acquisition.</w:t>
      </w:r>
    </w:p>
    <w:p>
      <w:pPr>
        <w:ind w:left="1300" w:hanging="324"/>
        <w:spacing w:after="0" w:line="270" w:lineRule="auto"/>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Adjusted EPS decreased in the first six months of 2025, driven by operating declines, higher interest and other expense,</w:t>
      </w:r>
      <w:r>
        <w:rPr>
          <w:rFonts w:ascii="Arial" w:cs="Arial" w:eastAsia="Arial" w:hAnsi="Arial"/>
          <w:sz w:val="20"/>
          <w:szCs w:val="20"/>
          <w:color w:val="auto"/>
        </w:rPr>
        <w:t xml:space="preserve"> </w:t>
      </w:r>
      <w:r>
        <w:rPr>
          <w:rFonts w:ascii="Arial" w:cs="Arial" w:eastAsia="Arial" w:hAnsi="Arial"/>
          <w:sz w:val="17"/>
          <w:szCs w:val="17"/>
          <w:color w:val="auto"/>
        </w:rPr>
        <w:t>lower benefit plan non-service income and lower equity method investment earnings, partially offset by fewer shares outstanding, lower taxes and the impact from an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8255</wp:posOffset>
            </wp:positionV>
            <wp:extent cx="28257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124"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8,984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1,172</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854</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37.2 %</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8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641</w:t>
            </w:r>
          </w:p>
        </w:tc>
        <w:tc>
          <w:tcPr>
            <w:tcW w:w="4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Pr>
          <w:p>
            <w:pPr>
              <w:spacing w:after="0"/>
              <w:rPr>
                <w:sz w:val="15"/>
                <w:szCs w:val="15"/>
                <w:color w:val="auto"/>
              </w:rPr>
            </w:pPr>
          </w:p>
        </w:tc>
        <w:tc>
          <w:tcPr>
            <w:tcW w:w="560" w:type="dxa"/>
            <w:vAlign w:val="bottom"/>
            <w:vMerge w:val="restart"/>
          </w:tcPr>
          <w:p>
            <w:pPr>
              <w:jc w:val="right"/>
              <w:ind w:right="14"/>
              <w:spacing w:after="0"/>
              <w:rPr>
                <w:sz w:val="20"/>
                <w:szCs w:val="20"/>
                <w:color w:val="auto"/>
              </w:rPr>
            </w:pPr>
            <w:r>
              <w:rPr>
                <w:rFonts w:ascii="Arial" w:cs="Arial" w:eastAsia="Arial" w:hAnsi="Arial"/>
                <w:sz w:val="18"/>
                <w:szCs w:val="18"/>
                <w:color w:val="auto"/>
              </w:rPr>
              <w:t>0.49</w:t>
            </w:r>
          </w:p>
        </w:tc>
        <w:tc>
          <w:tcPr>
            <w:tcW w:w="4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0.45</w:t>
            </w:r>
          </w:p>
        </w:tc>
        <w:tc>
          <w:tcPr>
            <w:tcW w:w="4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47"/>
        </w:trPr>
        <w:tc>
          <w:tcPr>
            <w:tcW w:w="5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$641 million (7.7%) to $8,984 million in the second quarter of 2025, and Organic Net Revenue</w:t>
      </w:r>
    </w:p>
    <w:p>
      <w:pPr>
        <w:spacing w:after="0" w:line="27" w:lineRule="exact"/>
        <w:rPr>
          <w:sz w:val="20"/>
          <w:szCs w:val="20"/>
          <w:color w:val="auto"/>
        </w:rPr>
      </w:pPr>
    </w:p>
    <w:p>
      <w:pPr>
        <w:jc w:val="both"/>
        <w:ind w:firstLine="8"/>
        <w:spacing w:after="0" w:line="250" w:lineRule="auto"/>
        <w:tabs>
          <w:tab w:leader="none" w:pos="203" w:val="left"/>
        </w:tabs>
        <w:numPr>
          <w:ilvl w:val="0"/>
          <w:numId w:val="20"/>
        </w:numPr>
        <w:rPr>
          <w:rFonts w:ascii="Arial" w:cs="Arial" w:eastAsia="Arial" w:hAnsi="Arial"/>
          <w:sz w:val="11"/>
          <w:szCs w:val="11"/>
          <w:color w:val="auto"/>
        </w:rPr>
      </w:pPr>
      <w:r>
        <w:rPr>
          <w:rFonts w:ascii="Arial" w:cs="Arial" w:eastAsia="Arial" w:hAnsi="Arial"/>
          <w:sz w:val="18"/>
          <w:szCs w:val="18"/>
          <w:color w:val="auto"/>
        </w:rPr>
        <w:t xml:space="preserve">increased $471 million (5.6%) to $8,814 million. Emerging markets net revenues increased 11.6% and emerging markets Organic Net Revenue increased 10.2% </w:t>
      </w:r>
      <w:r>
        <w:rPr>
          <w:rFonts w:ascii="Arial" w:cs="Arial" w:eastAsia="Arial" w:hAnsi="Arial"/>
          <w:sz w:val="10"/>
          <w:szCs w:val="10"/>
          <w:color w:val="auto"/>
        </w:rPr>
        <w:t>(1)</w:t>
      </w:r>
      <w:r>
        <w:rPr>
          <w:rFonts w:ascii="Arial" w:cs="Arial" w:eastAsia="Arial" w:hAnsi="Arial"/>
          <w:sz w:val="18"/>
          <w:szCs w:val="18"/>
          <w:color w:val="auto"/>
        </w:rPr>
        <w:t>. Developed markets net revenues increased 5.2% and developed markets Organic Net Revenue increased</w:t>
      </w:r>
    </w:p>
    <w:p>
      <w:pPr>
        <w:spacing w:after="0"/>
        <w:rPr>
          <w:rFonts w:ascii="Arial" w:cs="Arial" w:eastAsia="Arial" w:hAnsi="Arial"/>
          <w:sz w:val="11"/>
          <w:szCs w:val="11"/>
          <w:color w:val="auto"/>
        </w:rPr>
      </w:pPr>
      <w:r>
        <w:rPr>
          <w:rFonts w:ascii="Arial" w:cs="Arial" w:eastAsia="Arial" w:hAnsi="Arial"/>
          <w:sz w:val="18"/>
          <w:szCs w:val="18"/>
          <w:color w:val="auto"/>
        </w:rPr>
        <w:t xml:space="preserve">2.7% </w:t>
      </w:r>
      <w:r>
        <w:rPr>
          <w:rFonts w:ascii="Arial" w:cs="Arial" w:eastAsia="Arial" w:hAnsi="Arial"/>
          <w:sz w:val="10"/>
          <w:szCs w:val="10"/>
          <w:color w:val="auto"/>
        </w:rPr>
        <w:t>(1)</w:t>
      </w:r>
      <w:r>
        <w:rPr>
          <w:rFonts w:ascii="Arial" w:cs="Arial" w:eastAsia="Arial" w:hAnsi="Arial"/>
          <w:sz w:val="18"/>
          <w:szCs w:val="18"/>
          <w:color w:val="auto"/>
        </w:rPr>
        <w:t>. The underlying changes in net revenues and Organic Net Revenue are detailed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Emerging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Developed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Mondelēz</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120" w:type="dxa"/>
            <w:vAlign w:val="bottom"/>
            <w:tcBorders>
              <w:bottom w:val="single" w:sz="8" w:color="CCEEFF"/>
            </w:tcBorders>
          </w:tcPr>
          <w:p>
            <w:pPr>
              <w:spacing w:after="0"/>
              <w:rPr>
                <w:sz w:val="21"/>
                <w:szCs w:val="21"/>
                <w:color w:val="auto"/>
              </w:rPr>
            </w:pPr>
          </w:p>
        </w:tc>
        <w:tc>
          <w:tcPr>
            <w:tcW w:w="3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2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Three Months Ended June 30, 2025</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Reported (GAAP)</w:t>
            </w:r>
          </w:p>
        </w:tc>
        <w:tc>
          <w:tcPr>
            <w:tcW w:w="32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3,638</w:t>
            </w:r>
          </w:p>
        </w:tc>
        <w:tc>
          <w:tcPr>
            <w:tcW w:w="540" w:type="dxa"/>
            <w:vAlign w:val="bottom"/>
            <w:tcBorders>
              <w:top w:val="single" w:sz="8" w:color="CCEEFF"/>
            </w:tcBorders>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5,346</w:t>
            </w:r>
          </w:p>
        </w:tc>
        <w:tc>
          <w:tcPr>
            <w:tcW w:w="5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8,984</w:t>
            </w:r>
          </w:p>
        </w:tc>
        <w:tc>
          <w:tcPr>
            <w:tcW w:w="2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Currency-related items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3,594</w:t>
            </w: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5,220</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8,814</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2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Three Months Ended June 30, 2024</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3,260</w:t>
            </w:r>
          </w:p>
        </w:tc>
        <w:tc>
          <w:tcPr>
            <w:tcW w:w="5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5,083</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8,343</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No adjusting items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3,260</w:t>
            </w: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5,083</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8,343</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2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 Change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Currency-related items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Vol/Mix</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(0.8)pp</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(1.8)pp</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(1.5)pp</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Pricing</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Net revenue increase of 7.7% was driven by our underlying Organic Net Revenue growth of 5.6%, the impact of an acquisition and favorable currency-related items. Organic Net Revenue growth was driven by higher net pricing, partially offset by unfavorable volume/mix. Higher net pricing was due to the benefit of carryover pricing from 2024 as well as the effects of input cost-driven pricing actions taken during the first six months of 2025. Higher net pricing was reflected in all regions except North America. Unfavorable volume/mix was experienced across all regions except AMEA, driven by pricing elasticity impacts in Europe and Latin America, as well as U.S. retailer inventory destocking and soft consumption in North America. The November 1, 2024 acquisition of Evirth added incremental net revenues of $102 million (constant currency basis) in the first quarter of 2025.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 Currency-related items increased net revenues by $68 million, driven by favorable currency translation rate changes and the impact of extreme pricing in Argentina. Refer to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xml:space="preserve"> for additional information. Favorable currency translation rate changes were due to the strength of several currencies relative to the U.S. dollar, primarily the euro, British pound sterling, Russian ruble, Polish zloty and Swedish krona, partially offset by the strength of the U.S. dollar relative to several currencies, primarily the Mexican peso, Argentinean peso, Brazilian real, Turkish lira, Indian rupee and Australian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29845</wp:posOffset>
            </wp:positionV>
            <wp:extent cx="28257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$318 million (37.2%) to $1,172 million in the second quarter of 2025.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decreased $209 million (14.0%) to $1,283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decreased $239 million (16.0%) to $1,253 million due to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37.2 %</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Simplify to Grow Program</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Mark-to-market losses from derivatives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Acquisition-related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Incremental costs due to war in Ukraine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European Commission legal matter</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1,283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(14.0)%</w:t>
            </w: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(16.0)%</w:t>
            </w: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546"/>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net pricing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Higher input costs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(860)</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volume/mix</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Lower selling, general and administrative expenses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from acquisitions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Lower asset impairment charges</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r>
      <w:tr>
        <w:trPr>
          <w:trHeight w:val="248"/>
        </w:trPr>
        <w:tc>
          <w:tcPr>
            <w:tcW w:w="59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(239)</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194945</wp:posOffset>
            </wp:positionV>
            <wp:extent cx="28257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of 2025, we realized higher net pricing, which was more than offset by increased input costs and unfavorable volume/mix. Higher net pricing, which included the carryover impact of pricing actions taken in 2024 as well as the effects of input cost-driven pricing actions taken during the first six months of 2025, was reflected across all regions except North America. The increase in input costs was driven by higher raw material costs, partially offset by lower manufacturing costs driven by productivity. Higher raw material costs were primarily due to higher cocoa, packaging, dairy, edible oils, nuts and other ingredient costs, as well as unfavorable year-over-year currency exchange transaction costs on imported materials, partially offset by lower sugar, grains and energy costs. Overall, unfavorable volume/mix was experienced across all regions, primarily due to unfavorable product mix reflecting pricing elasticity impacts in Europe, Latin America and AMEA, as well as biscuit &amp; baked snacks category softness in North America.</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selling, general and administrative expenses decreased $166 million from the second quarter of 2024, which was net of benefits from a number of factors noted in the table above, including in part, favorable year-over-year change in acquisition-related items, partially offset by costs incurred for the ERP System Implementation program and the impact from acquisitions. Excluding these factors, selling, general and administrative expenses decreased $141 million from the second quarter of 2024. The decrease was driven primarily by lower advertising and consumer promotion costs and lower overhead costs.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Favorable currency-related items including the impact of extreme pricing in Argentina, increased operating income by $30 million primarily due to the strength of several currencies relative to the U.S. dollar, including the euro, Russian ruble and British pound sterling, partially offset by the strength of the U.S. dollar relative to several currencies, including the Mexican peso, Swiss franc and Brazilian real.</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income margin increased from 10.2% in the second quarter of 2024 to 13.0% in the second quarter of 2025. The increase in operating income margin was driven primarily by a favorable year-over-year change in mark-to-market impacts from commodity and foreign currency derivatives, a favorable year-over-year change in acquisition-related items and lapping prior-year costs for the completed Simplify to Grow Program, partially offset by lower Adjusted Operating Income margin and costs incurred for the ERP System Implementation program. Adjusted Operating Income margin decreased from 17.9% for the second quarter of 2024 to 14.3% for the second quarter of 2025. The decrease was driven primarily by higher raw material costs and unfavorable product mix, partially offset by higher net pricing, lower manufacturing costs driven by productivity, lower advertising and consumer promotion costs and lower overhead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170815</wp:posOffset>
            </wp:positionV>
            <wp:extent cx="28257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Our effective tax rate was 26.9% for the second quarter of 2025 as compared to 34.7% in the second quarter of 2024.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our effective tax rate was driven by our jurisdictional mix of earnings, particularly the impact of lower mark-to-market losses on commodity and foreign currency derivatives in the current quarter, and higher costs from tax law changes in the second quarter of 2024.</w:t>
      </w:r>
    </w:p>
    <w:p>
      <w:pPr>
        <w:spacing w:after="0" w:line="19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$ 641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$40 million (6.7%) in the second quarter of 2025. Diluted EPS attributable to Mondelēz International was $0.49 in the second quarter of 2025, up $0.04 (8.9%) from the second quarter of 2024.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$0.73 in the second quarter of 2025, down $0.10 (12.0%) from the second quarter of 2024.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$0.71 in the second quarter of 2025, down $0.12 (14.5%) from the second quarter of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8.9 %</w:t>
            </w: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Simplify to Grow Program</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Mark-to-market losses/(gains) from derivatives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Acquisition-related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Divestiture-related items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Impact from pension participation changes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impacts from enacted tax law changes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0.73</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0.83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(12.0)%</w:t>
            </w:r>
          </w:p>
        </w:tc>
      </w:tr>
      <w:tr>
        <w:trPr>
          <w:trHeight w:val="229"/>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Currency-related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0.71</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(14.5)%</w:t>
            </w: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41"/>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operations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center"/>
              <w:ind w:left="331"/>
              <w:spacing w:after="0"/>
              <w:rPr>
                <w:sz w:val="20"/>
                <w:szCs w:val="20"/>
                <w:color w:val="auto"/>
              </w:rPr>
            </w:pPr>
            <w:r>
              <w:rPr>
                <w:rFonts w:ascii="Arial" w:cs="Arial" w:eastAsia="Arial" w:hAnsi="Arial"/>
                <w:sz w:val="18"/>
                <w:szCs w:val="18"/>
                <w:color w:val="auto"/>
              </w:rPr>
              <w:t>(0.14)</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Impact from acquisitions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0.01</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benefit plan non-service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ind w:left="331"/>
              <w:spacing w:after="0"/>
              <w:rPr>
                <w:sz w:val="20"/>
                <w:szCs w:val="20"/>
                <w:color w:val="auto"/>
              </w:rPr>
            </w:pPr>
            <w:r>
              <w:rPr>
                <w:rFonts w:ascii="Arial" w:cs="Arial" w:eastAsia="Arial" w:hAnsi="Arial"/>
                <w:sz w:val="18"/>
                <w:szCs w:val="18"/>
                <w:color w:val="auto"/>
              </w:rPr>
              <w:t>(0.01)</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Change in interest and other expense, net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center"/>
              <w:ind w:left="331"/>
              <w:spacing w:after="0"/>
              <w:rPr>
                <w:sz w:val="20"/>
                <w:szCs w:val="20"/>
                <w:color w:val="auto"/>
              </w:rPr>
            </w:pPr>
            <w:r>
              <w:rPr>
                <w:rFonts w:ascii="Arial" w:cs="Arial" w:eastAsia="Arial" w:hAnsi="Arial"/>
                <w:sz w:val="18"/>
                <w:szCs w:val="18"/>
                <w:color w:val="auto"/>
              </w:rPr>
              <w:t>(0.01)</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shares outstanding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0.03</w:t>
            </w: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EPS (constant currency) </w:t>
            </w:r>
            <w:r>
              <w:rPr>
                <w:rFonts w:ascii="Arial" w:cs="Arial" w:eastAsia="Arial" w:hAnsi="Arial"/>
                <w:sz w:val="23"/>
                <w:szCs w:val="23"/>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3"/>
          </w:tcPr>
          <w:p>
            <w:pPr>
              <w:jc w:val="center"/>
              <w:ind w:left="331"/>
              <w:spacing w:after="0"/>
              <w:rPr>
                <w:sz w:val="20"/>
                <w:szCs w:val="20"/>
                <w:color w:val="auto"/>
              </w:rPr>
            </w:pPr>
            <w:r>
              <w:rPr>
                <w:rFonts w:ascii="Arial" w:cs="Arial" w:eastAsia="Arial" w:hAnsi="Arial"/>
                <w:sz w:val="18"/>
                <w:szCs w:val="18"/>
                <w:b w:val="1"/>
                <w:bCs w:val="1"/>
                <w:color w:val="auto"/>
              </w:rPr>
              <w:t>(0.12)</w:t>
            </w:r>
          </w:p>
        </w:tc>
        <w:tc>
          <w:tcPr>
            <w:tcW w:w="12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61"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 The tax expense/(benefit) of each of the pre-tax items excluded from our U.S. GAAP results was computed based on the facts and tax assumptions associated with each item, and such impacts have also been excluded from Adjusted EPS.</w:t>
      </w:r>
    </w:p>
    <w:p>
      <w:pPr>
        <w:spacing w:after="0" w:line="1" w:lineRule="exact"/>
        <w:rPr>
          <w:rFonts w:ascii="Arial" w:cs="Arial" w:eastAsia="Arial" w:hAnsi="Arial"/>
          <w:sz w:val="14"/>
          <w:szCs w:val="14"/>
          <w:color w:val="auto"/>
        </w:rPr>
      </w:pPr>
    </w:p>
    <w:p>
      <w:pPr>
        <w:jc w:val="both"/>
        <w:ind w:left="660" w:hanging="328"/>
        <w:spacing w:after="0" w:line="283" w:lineRule="auto"/>
        <w:tabs>
          <w:tab w:leader="none" w:pos="656" w:val="left"/>
        </w:tabs>
        <w:numPr>
          <w:ilvl w:val="1"/>
          <w:numId w:val="21"/>
        </w:numPr>
        <w:rPr>
          <w:rFonts w:ascii="Arial" w:cs="Arial" w:eastAsia="Arial" w:hAnsi="Arial"/>
          <w:sz w:val="14"/>
          <w:szCs w:val="14"/>
          <w:color w:val="auto"/>
        </w:rPr>
      </w:pPr>
      <w:r>
        <w:rPr>
          <w:rFonts w:ascii="Arial" w:cs="Arial" w:eastAsia="Arial" w:hAnsi="Arial"/>
          <w:sz w:val="14"/>
          <w:szCs w:val="14"/>
          <w:color w:val="auto"/>
        </w:rPr>
        <w:t>For the three months ended June 30, 2025, taxes for the: mark-to-market losses from derivatives were $(16) million, acquisition-related items were $9 million, ERP System Implementation program were $(10) million, remeasurement of net monetary positions was zero and impact from pension participation changes were $(73) million.</w:t>
      </w:r>
    </w:p>
    <w:p>
      <w:pPr>
        <w:spacing w:after="0" w:line="146" w:lineRule="exact"/>
        <w:rPr>
          <w:rFonts w:ascii="Arial" w:cs="Arial" w:eastAsia="Arial" w:hAnsi="Arial"/>
          <w:sz w:val="14"/>
          <w:szCs w:val="14"/>
          <w:color w:val="auto"/>
        </w:rPr>
      </w:pPr>
    </w:p>
    <w:p>
      <w:pPr>
        <w:ind w:left="660" w:hanging="328"/>
        <w:spacing w:after="0" w:line="264" w:lineRule="auto"/>
        <w:tabs>
          <w:tab w:leader="none" w:pos="656" w:val="left"/>
        </w:tabs>
        <w:numPr>
          <w:ilvl w:val="1"/>
          <w:numId w:val="21"/>
        </w:numPr>
        <w:rPr>
          <w:rFonts w:ascii="Arial" w:cs="Arial" w:eastAsia="Arial" w:hAnsi="Arial"/>
          <w:sz w:val="14"/>
          <w:szCs w:val="14"/>
          <w:color w:val="auto"/>
        </w:rPr>
      </w:pPr>
      <w:r>
        <w:rPr>
          <w:rFonts w:ascii="Arial" w:cs="Arial" w:eastAsia="Arial" w:hAnsi="Arial"/>
          <w:sz w:val="14"/>
          <w:szCs w:val="14"/>
          <w:color w:val="auto"/>
        </w:rPr>
        <w:t>For the three months ended June 30, 2024, taxes for the: Simplify to Grow Program were $(6) million, mark-to-market losses from derivatives were $(111) million, acquisition-related items were $(7) million, remeasurement of net monetary position was zero and initial impacts from enacted tax law changes were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483870</wp:posOffset>
            </wp:positionV>
            <wp:extent cx="28257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57"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For the Six Months Ended</w:t>
      </w:r>
    </w:p>
    <w:p>
      <w:pPr>
        <w:spacing w:after="0" w:line="2"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18,297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17,633</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510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1,852</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3,581</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1,043</w:t>
            </w:r>
          </w:p>
        </w:tc>
        <w:tc>
          <w:tcPr>
            <w:tcW w:w="4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40" w:type="dxa"/>
            <w:vAlign w:val="bottom"/>
          </w:tcPr>
          <w:p>
            <w:pPr>
              <w:spacing w:after="0"/>
              <w:rPr>
                <w:sz w:val="15"/>
                <w:szCs w:val="15"/>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8"/>
                <w:szCs w:val="18"/>
                <w:color w:val="auto"/>
              </w:rPr>
              <w:t>0.80</w:t>
            </w:r>
          </w:p>
        </w:tc>
        <w:tc>
          <w:tcPr>
            <w:tcW w:w="4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4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7"/>
        </w:trPr>
        <w:tc>
          <w:tcPr>
            <w:tcW w:w="510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$664 million (3.8%) to $18,297 million in the first six months of 2025, and Organic Net Revenue</w:t>
      </w:r>
      <w:r>
        <w:rPr>
          <w:rFonts w:ascii="Arial" w:cs="Arial" w:eastAsia="Arial" w:hAnsi="Arial"/>
          <w:sz w:val="18"/>
          <w:szCs w:val="18"/>
          <w:i w:val="1"/>
          <w:iCs w:val="1"/>
          <w:color w:val="auto"/>
        </w:rPr>
        <w:t xml:space="preserve"> </w:t>
      </w:r>
      <w:r>
        <w:rPr>
          <w:rFonts w:ascii="Arial" w:cs="Arial" w:eastAsia="Arial" w:hAnsi="Arial"/>
          <w:sz w:val="23"/>
          <w:szCs w:val="23"/>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increased $762 million (4.3%) to $18,370 million. Emerging markets net revenues increased 5.3% and emerging markets Organic Net Revenue increased 6.9%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Developed markets net revenues increased 2.8% and developed markets Organic Net Revenue increased 2.7% </w:t>
      </w:r>
      <w:r>
        <w:rPr>
          <w:rFonts w:ascii="Arial" w:cs="Arial" w:eastAsia="Arial" w:hAnsi="Arial"/>
          <w:sz w:val="23"/>
          <w:szCs w:val="23"/>
          <w:color w:val="auto"/>
          <w:vertAlign w:val="superscript"/>
        </w:rPr>
        <w:t>(1)</w:t>
      </w:r>
      <w:r>
        <w:rPr>
          <w:rFonts w:ascii="Arial" w:cs="Arial" w:eastAsia="Arial" w:hAnsi="Arial"/>
          <w:sz w:val="18"/>
          <w:szCs w:val="18"/>
          <w:color w:val="auto"/>
        </w:rPr>
        <w:t>. The underlying changes in net revenues and Organic Net Revenue are detailed below:</w:t>
      </w: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90"/>
              <w:spacing w:after="0" w:line="167" w:lineRule="exact"/>
              <w:rPr>
                <w:sz w:val="20"/>
                <w:szCs w:val="20"/>
                <w:color w:val="auto"/>
              </w:rPr>
            </w:pPr>
            <w:r>
              <w:rPr>
                <w:rFonts w:ascii="Arial" w:cs="Arial" w:eastAsia="Arial" w:hAnsi="Arial"/>
                <w:sz w:val="18"/>
                <w:szCs w:val="18"/>
                <w:b w:val="1"/>
                <w:bCs w:val="1"/>
                <w:color w:val="auto"/>
              </w:rPr>
              <w:t>Emerging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0"/>
              <w:spacing w:after="0" w:line="167" w:lineRule="exact"/>
              <w:rPr>
                <w:sz w:val="20"/>
                <w:szCs w:val="20"/>
                <w:color w:val="auto"/>
              </w:rPr>
            </w:pPr>
            <w:r>
              <w:rPr>
                <w:rFonts w:ascii="Arial" w:cs="Arial" w:eastAsia="Arial" w:hAnsi="Arial"/>
                <w:sz w:val="18"/>
                <w:szCs w:val="18"/>
                <w:b w:val="1"/>
                <w:bCs w:val="1"/>
                <w:color w:val="auto"/>
              </w:rPr>
              <w:t>Developed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10"/>
              <w:spacing w:after="0" w:line="167" w:lineRule="exact"/>
              <w:rPr>
                <w:sz w:val="20"/>
                <w:szCs w:val="20"/>
                <w:color w:val="auto"/>
              </w:rPr>
            </w:pPr>
            <w:r>
              <w:rPr>
                <w:rFonts w:ascii="Arial" w:cs="Arial" w:eastAsia="Arial" w:hAnsi="Arial"/>
                <w:sz w:val="18"/>
                <w:szCs w:val="18"/>
                <w:b w:val="1"/>
                <w:bCs w:val="1"/>
                <w:color w:val="auto"/>
              </w:rPr>
              <w:t>Mondelēz</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Markets</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Six Months Ended June 30, 2025</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7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Reported (GAAP)</w:t>
            </w:r>
          </w:p>
        </w:tc>
        <w:tc>
          <w:tcPr>
            <w:tcW w:w="3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7,361</w:t>
            </w:r>
          </w:p>
        </w:tc>
        <w:tc>
          <w:tcPr>
            <w:tcW w:w="520" w:type="dxa"/>
            <w:vAlign w:val="bottom"/>
            <w:tcBorders>
              <w:top w:val="single" w:sz="8" w:color="CCEEFF"/>
            </w:tcBorders>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10,936</w:t>
            </w:r>
          </w:p>
        </w:tc>
        <w:tc>
          <w:tcPr>
            <w:tcW w:w="5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18,297</w:t>
            </w:r>
          </w:p>
        </w:tc>
        <w:tc>
          <w:tcPr>
            <w:tcW w:w="2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Currency-related items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7,470</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10,900</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18,370</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4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Six Months Ended June 30, 2024</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6,993</w:t>
            </w:r>
          </w:p>
        </w:tc>
        <w:tc>
          <w:tcPr>
            <w:tcW w:w="5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10,640</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17,633</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Short-term distributor agreements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6,990</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10,618</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17,608</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4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 Change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Short-term distributor agreements</w:t>
            </w:r>
          </w:p>
        </w:tc>
        <w:tc>
          <w:tcPr>
            <w:tcW w:w="240" w:type="dxa"/>
            <w:vAlign w:val="bottom"/>
          </w:tcPr>
          <w:p>
            <w:pPr>
              <w:spacing w:after="0"/>
              <w:rPr>
                <w:sz w:val="19"/>
                <w:szCs w:val="19"/>
                <w:color w:val="auto"/>
              </w:rPr>
            </w:pPr>
          </w:p>
        </w:tc>
        <w:tc>
          <w:tcPr>
            <w:tcW w:w="1660" w:type="dxa"/>
            <w:vAlign w:val="bottom"/>
            <w:gridSpan w:val="4"/>
          </w:tcPr>
          <w:p>
            <w:pPr>
              <w:jc w:val="right"/>
              <w:ind w:right="250"/>
              <w:spacing w:after="0"/>
              <w:rPr>
                <w:sz w:val="20"/>
                <w:szCs w:val="20"/>
                <w:color w:val="auto"/>
              </w:rPr>
            </w:pPr>
            <w:r>
              <w:rPr>
                <w:rFonts w:ascii="Arial" w:cs="Arial" w:eastAsia="Arial" w:hAnsi="Arial"/>
                <w:sz w:val="18"/>
                <w:szCs w:val="18"/>
                <w:color w:val="auto"/>
              </w:rPr>
              <w:t>— pp</w:t>
            </w:r>
          </w:p>
        </w:tc>
        <w:tc>
          <w:tcPr>
            <w:tcW w:w="1660" w:type="dxa"/>
            <w:vAlign w:val="bottom"/>
            <w:gridSpan w:val="4"/>
          </w:tcPr>
          <w:p>
            <w:pPr>
              <w:jc w:val="right"/>
              <w:ind w:right="230"/>
              <w:spacing w:after="0"/>
              <w:rPr>
                <w:sz w:val="20"/>
                <w:szCs w:val="20"/>
                <w:color w:val="auto"/>
              </w:rPr>
            </w:pPr>
            <w:r>
              <w:rPr>
                <w:rFonts w:ascii="Arial" w:cs="Arial" w:eastAsia="Arial" w:hAnsi="Arial"/>
                <w:sz w:val="18"/>
                <w:szCs w:val="18"/>
                <w:color w:val="auto"/>
              </w:rPr>
              <w:t>0.2 pp</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 pp</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Currency-related items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Vol/Mix</w:t>
            </w: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top w:val="single" w:sz="8" w:color="CCEEFF"/>
            </w:tcBorders>
            <w:gridSpan w:val="3"/>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(2.3)pp</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(2.6)pp</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(2.5)pp</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Pricing</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Net revenue increase of 3.8% was driven by our underlying Organic Net Revenue growth of 4.3% and the impact of an acquisition, partially offset by unfavorable currency-related items and lapping prior-year net revenue from a short-term distributor agreement related to the sale of our developed market gum business. Organic Net Revenue growth was driven by higher net pricing, partially offset by unfavorable volume/mix. Higher net pricing was due to the benefit of carryover pricing from 2024 as well as the effects of input cost-driven pricing actions taken during the first six months of 2025. Higher net pricing was reflected in all regions except North America. Unfavorable volume/mix was experienced across all regions, driven by volume declines reflecting pricing elasticity impacts in Europe and Latin America as well as U.S. retailer inventory destocking and soft consumption in North America. The November 1, 2024 acquisition of Evirth added incremental net revenues of $201 million for the first six months of 2025.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 Currency-related items decreased net revenues by $274 million, driven by unfavorable currency translation rate changes, partially offset by the impact of extreme pricing in Argentina. Refer to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xml:space="preserve"> for additional information. Unfavorable currency translation rate changes were due to the strength of the U.S. dollar relative to most currencies, primarily the Mexican peso, Brazilian real, Argentinean peso, Indian rupee, Turkish lira, Australian dollar, Egyptian pound and Canadian dollar, partially offset by the strength of a few currencies relative to the U.S. dollar, including British pound sterling, Russian ruble and euro. The lapping of the prior-year 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18415</wp:posOffset>
            </wp:positionV>
            <wp:extent cx="28257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distributor agreement related to the sale of our developed market gum business, which ended in the first quarter of 2024, resulted in a year-over-year incremental reduction in net revenue of $25 million.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$1,729 million (48.3%) to $1,852 million in the first six months of 2025.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decreased $544 million (17.0%) to $2,658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decreased $547 million (17.1%) to $2,655 million due to the following:</w:t>
      </w:r>
    </w:p>
    <w:tbl>
      <w:tblPr>
        <w:tblLayout w:type="fixed"/>
        <w:tblInd w:w="0" w:type="dxa"/>
        <w:tblCellMar>
          <w:top w:w="0" w:type="dxa"/>
          <w:left w:w="0" w:type="dxa"/>
          <w:bottom w:w="0" w:type="dxa"/>
          <w:right w:w="0" w:type="dxa"/>
        </w:tblCellMar>
      </w:tblPr>
      <w:tr>
        <w:trPr>
          <w:trHeight w:val="153"/>
        </w:trPr>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rPr>
              <w:t>For the Six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(1,729)</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Simplify to Grow Program</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Mark-to-market losses/(gains) from derivatives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Acquisition-related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Operating income from short-term distributor agreements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Incremental costs due to war in Ukraine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European Commission legal matter</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r>
      <w:tr>
        <w:trPr>
          <w:trHeight w:val="223"/>
        </w:trPr>
        <w:tc>
          <w:tcPr>
            <w:tcW w:w="5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Currency-related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716"/>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net pricing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Higher input costs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(1,709)</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volume/mix</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Lower selling, general and administrative expenses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from acquisition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Lower amortization of intangible 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Lower asset impairment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6"/>
                <w:szCs w:val="16"/>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(547)</w:t>
            </w:r>
          </w:p>
        </w:tc>
        <w:tc>
          <w:tcPr>
            <w:tcW w:w="12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194945</wp:posOffset>
            </wp:positionV>
            <wp:extent cx="28257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six months of 2025, we realized higher net pricing, which was more than offset by increased input costs and unfavorable volume/mix. Higher net pricing, which included the carryover impact of pricing actions taken in 2024 as well as the effects of input cost-driven pricing actions taken during the first six months of 2025, was reflected across all regions except North America. The increase in input costs was driven by higher raw material costs, partially offset by lower manufacturing costs driven by productivity. Higher raw material costs were primarily due to higher cocoa, packaging, dairy, energy, edible oils, nuts and other ingredient costs, as well as unfavorable year-over-year currency exchange transaction costs on imported materials, partially offset by lower sugar and grains costs. Overall, unfavorable volume/mix was experienced across all regions, reflecting pricing elasticity impacts as well as biscuit &amp; baked snacks category softness in North America.</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selling, general and administrative expenses decreased $ 393 million from the first six months of 2024, which was net of benefits from a number of factors noted in the table above, including in part, a favorable year-over-year change in acquisition-related items, a favorable currency-related impact to expenses, lapping prior-year implementation costs for the completed Simplify to Grow Program and lapping prior-year divestiture-related items, partially offset by costs incurred for the ERP System Implementation program and the impact from acquisitions. Excluding these factors, selling, general and administrative expenses decreased $273 million from the first six months of 2024. The decrease was driven primarily by lower advertising and consumer promotion costs and lower overhead costs.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Currency-related items increased operating income by $3 million, as unfavorable currency translation changes were more than offset by the impact of extreme pricing in Argentina. Unfavorable currency translation changes were primarily due to the strength of the U.S. dollar relative to several currencies, including the Mexican peso, Brazilian real, Australian dollar, Egyptian pound, Indian rupee, Nigerian naira, Swiss franc, Canadian dollar and Chinese yuan, partially offset by the strength of several currencies relative to the U.S. dollar, including the Russian ruble, British pound sterling and euro.</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income margin decreased from 20.3% in the first six months of 2024 to 10.1% in the first six months of 2025. The decrease in operating income margin was driven primarily by an unfavorable year-over-year change in mark-to-market impacts from commodity and foreign currency derivatives, lower Adjusted Operating Income margin and costs incurred for the ERP System Implementation program, partially offset by favorable year-over-year change in acquisition-related items and lapping prior-year costs for the completed Simplify to Grow Program. Adjusted Operating Income margin decreased from 18.2% for the first six months of 2024 to 14.5% for the first six months of 2025. The decrease was driven primarily by higher raw material costs and unfavorable product mix, partially offset by higher net pricing, lower advertising and consumer promotion costs, lower manufacturing costs driven by productivity and lower overhead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16510</wp:posOffset>
            </wp:positionV>
            <wp:extent cx="28257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Our effective tax rate for the six months ended June 30, 2025, was 27.4% as compared to 26.2%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2024. The increase in our year-to-date effective tax rate was driven by our jurisdictional mix of earnings (including the impact of mark-to-market gains and losses on commodity and foreign currency derivatives) and the relative impact of permanent items on lower pre-tax earnings on a year-over-year basis. Those items were partially offset by additional releases of liabilities for uncertain tax positions due to audit developments in the six months ended June 30, 2025, as compared to the six months ended June 30, 2024.</w:t>
      </w:r>
    </w:p>
    <w:p>
      <w:pPr>
        <w:spacing w:after="0" w:line="287" w:lineRule="exact"/>
        <w:rPr>
          <w:sz w:val="20"/>
          <w:szCs w:val="20"/>
          <w:color w:val="auto"/>
        </w:rPr>
      </w:pPr>
    </w:p>
    <w:p>
      <w:pPr>
        <w:jc w:val="both"/>
        <w:spacing w:after="0" w:line="230"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$ 1,043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$970 million (48.2%) in the first six months of 2025. Diluted EPS attributable to Mondelēz International was $0.80 in the first six months of 2025, down $0.69 (46.3%) from the first six months of 2024.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$1.47 in the first six months of 2025, down $0.29 (16.5%) from the first six months of 2024.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$1.47 in the first six months of 2025, down $0.29 (16.5%) from the first six months of 2024.</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360"/>
              <w:spacing w:after="0"/>
              <w:rPr>
                <w:sz w:val="20"/>
                <w:szCs w:val="20"/>
                <w:color w:val="auto"/>
              </w:rPr>
            </w:pPr>
            <w:r>
              <w:rPr>
                <w:rFonts w:ascii="Arial" w:cs="Arial" w:eastAsia="Arial" w:hAnsi="Arial"/>
                <w:sz w:val="14"/>
                <w:szCs w:val="14"/>
                <w:b w:val="1"/>
                <w:bCs w:val="1"/>
                <w:color w:val="auto"/>
              </w:rPr>
              <w:t>For the Six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5"/>
        </w:trPr>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(0.69)</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Simplify to Grow Program</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Mark-to-market losses/(gains) from derivatives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Acquisition-related items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Divestiture-related items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Impact from pension participation changes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impacts from enacted tax law changes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Loss on equity method investment transactions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59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Currency-related items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9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Decrease in operations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center"/>
              <w:ind w:left="331"/>
              <w:spacing w:after="0"/>
              <w:rPr>
                <w:sz w:val="20"/>
                <w:szCs w:val="20"/>
                <w:color w:val="auto"/>
              </w:rPr>
            </w:pPr>
            <w:r>
              <w:rPr>
                <w:rFonts w:ascii="Arial" w:cs="Arial" w:eastAsia="Arial" w:hAnsi="Arial"/>
                <w:sz w:val="18"/>
                <w:szCs w:val="18"/>
                <w:color w:val="auto"/>
              </w:rPr>
              <w:t>(0.30)</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Impact from acquisitions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0.01</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benefit plan non-service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ind w:left="331"/>
              <w:spacing w:after="0"/>
              <w:rPr>
                <w:sz w:val="20"/>
                <w:szCs w:val="20"/>
                <w:color w:val="auto"/>
              </w:rPr>
            </w:pPr>
            <w:r>
              <w:rPr>
                <w:rFonts w:ascii="Arial" w:cs="Arial" w:eastAsia="Arial" w:hAnsi="Arial"/>
                <w:sz w:val="18"/>
                <w:szCs w:val="18"/>
                <w:color w:val="auto"/>
              </w:rPr>
              <w:t>(0.01)</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Change in interest and other expense, net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center"/>
              <w:ind w:left="331"/>
              <w:spacing w:after="0"/>
              <w:rPr>
                <w:sz w:val="20"/>
                <w:szCs w:val="20"/>
                <w:color w:val="auto"/>
              </w:rPr>
            </w:pPr>
            <w:r>
              <w:rPr>
                <w:rFonts w:ascii="Arial" w:cs="Arial" w:eastAsia="Arial" w:hAnsi="Arial"/>
                <w:sz w:val="18"/>
                <w:szCs w:val="18"/>
                <w:color w:val="auto"/>
              </w:rPr>
              <w:t>(0.05)</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equity method investment net earnings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ind w:left="331"/>
              <w:spacing w:after="0"/>
              <w:rPr>
                <w:sz w:val="20"/>
                <w:szCs w:val="20"/>
                <w:color w:val="auto"/>
              </w:rPr>
            </w:pPr>
            <w:r>
              <w:rPr>
                <w:rFonts w:ascii="Arial" w:cs="Arial" w:eastAsia="Arial" w:hAnsi="Arial"/>
                <w:sz w:val="18"/>
                <w:szCs w:val="18"/>
                <w:color w:val="auto"/>
              </w:rPr>
              <w:t>(0.01)</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Change in income taxes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0.02</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shares outstanding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0.05</w:t>
            </w: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EPS (constant currency) </w:t>
            </w:r>
            <w:r>
              <w:rPr>
                <w:rFonts w:ascii="Arial" w:cs="Arial" w:eastAsia="Arial" w:hAnsi="Arial"/>
                <w:sz w:val="23"/>
                <w:szCs w:val="23"/>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3"/>
          </w:tcPr>
          <w:p>
            <w:pPr>
              <w:jc w:val="center"/>
              <w:ind w:left="331"/>
              <w:spacing w:after="0"/>
              <w:rPr>
                <w:sz w:val="20"/>
                <w:szCs w:val="20"/>
                <w:color w:val="auto"/>
              </w:rPr>
            </w:pPr>
            <w:r>
              <w:rPr>
                <w:rFonts w:ascii="Arial" w:cs="Arial" w:eastAsia="Arial" w:hAnsi="Arial"/>
                <w:sz w:val="18"/>
                <w:szCs w:val="18"/>
                <w:b w:val="1"/>
                <w:bCs w:val="1"/>
                <w:color w:val="auto"/>
              </w:rPr>
              <w:t>(0.29)</w:t>
            </w:r>
          </w:p>
        </w:tc>
        <w:tc>
          <w:tcPr>
            <w:tcW w:w="12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61"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above for additional information. The tax expense/(benefit) of each of the pre-tax items excluded from our U.S. GAAP results was computed based on the facts and tax assumptions associated with each item, and such impacts have also been excluded from Adjusted EPS.</w:t>
      </w:r>
    </w:p>
    <w:p>
      <w:pPr>
        <w:spacing w:after="0" w:line="1" w:lineRule="exact"/>
        <w:rPr>
          <w:rFonts w:ascii="Arial" w:cs="Arial" w:eastAsia="Arial" w:hAnsi="Arial"/>
          <w:sz w:val="14"/>
          <w:szCs w:val="14"/>
          <w:color w:val="auto"/>
        </w:rPr>
      </w:pPr>
    </w:p>
    <w:p>
      <w:pPr>
        <w:jc w:val="both"/>
        <w:ind w:left="660" w:hanging="328"/>
        <w:spacing w:after="0" w:line="261" w:lineRule="auto"/>
        <w:tabs>
          <w:tab w:leader="none" w:pos="656" w:val="left"/>
        </w:tabs>
        <w:numPr>
          <w:ilvl w:val="1"/>
          <w:numId w:val="22"/>
        </w:numPr>
        <w:rPr>
          <w:rFonts w:ascii="Arial" w:cs="Arial" w:eastAsia="Arial" w:hAnsi="Arial"/>
          <w:sz w:val="14"/>
          <w:szCs w:val="14"/>
          <w:color w:val="auto"/>
        </w:rPr>
      </w:pPr>
      <w:r>
        <w:rPr>
          <w:rFonts w:ascii="Arial" w:cs="Arial" w:eastAsia="Arial" w:hAnsi="Arial"/>
          <w:sz w:val="14"/>
          <w:szCs w:val="14"/>
          <w:color w:val="auto"/>
        </w:rPr>
        <w:t>For the six months ended June 30, 2025, taxes for the: mark-to-market losses from derivatives were $(152) million, acquisition-related items were $14 million, ERP System Implementation program were $(18) million, remeasurement of net monetary position were zero, impact from pension participation changes were $(73) million.</w:t>
      </w:r>
    </w:p>
    <w:p>
      <w:pPr>
        <w:jc w:val="both"/>
        <w:ind w:left="660" w:hanging="328"/>
        <w:spacing w:after="0" w:line="262" w:lineRule="auto"/>
        <w:tabs>
          <w:tab w:leader="none" w:pos="656" w:val="left"/>
        </w:tabs>
        <w:numPr>
          <w:ilvl w:val="1"/>
          <w:numId w:val="22"/>
        </w:numPr>
        <w:rPr>
          <w:rFonts w:ascii="Arial" w:cs="Arial" w:eastAsia="Arial" w:hAnsi="Arial"/>
          <w:sz w:val="14"/>
          <w:szCs w:val="14"/>
          <w:color w:val="auto"/>
        </w:rPr>
      </w:pPr>
      <w:r>
        <w:rPr>
          <w:rFonts w:ascii="Arial" w:cs="Arial" w:eastAsia="Arial" w:hAnsi="Arial"/>
          <w:sz w:val="14"/>
          <w:szCs w:val="14"/>
          <w:color w:val="auto"/>
        </w:rPr>
        <w:t>For the six months ended June 30, 2024, taxes for the: Simplify to Grow Program were $(17) million, mark-to-market gains from derivatives were $116 million, acquisition-related items were $(17) million, operating results from divestitures were zero, remeasurement of net monetary position were zero, initial impacts from enacted tax law changes were $23 million, loss on equity method investment transactions were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485140</wp:posOffset>
            </wp:positionV>
            <wp:extent cx="28257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reconciliation of segment net revenues and earnings to consolidated financial statement totals were:</w:t>
      </w:r>
    </w:p>
    <w:p>
      <w:pPr>
        <w:sectPr>
          <w:pgSz w:w="11900" w:h="16838" w:orient="portrait"/>
          <w:cols w:equalWidth="0" w:num="1">
            <w:col w:w="11240"/>
          </w:cols>
          <w:pgMar w:left="320" w:top="364" w:right="339" w:bottom="1440" w:gutter="0" w:footer="0" w:header="0"/>
        </w:sectPr>
      </w:pPr>
    </w:p>
    <w:p>
      <w:pPr>
        <w:spacing w:after="0" w:line="142"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For the Three Months Ended</w:t>
      </w:r>
    </w:p>
    <w:p>
      <w:pPr>
        <w:jc w:val="center"/>
        <w:ind w:left="52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8859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1" w:lineRule="exact"/>
        <w:rPr>
          <w:sz w:val="20"/>
          <w:szCs w:val="20"/>
          <w:color w:val="auto"/>
        </w:rPr>
      </w:pPr>
    </w:p>
    <w:p>
      <w:pPr>
        <w:ind w:left="5740"/>
        <w:spacing w:after="0"/>
        <w:tabs>
          <w:tab w:leader="none" w:pos="726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23495</wp:posOffset>
            </wp:positionV>
            <wp:extent cx="18859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For the Six Months Ended</w:t>
      </w:r>
    </w:p>
    <w:p>
      <w:pPr>
        <w:jc w:val="center"/>
        <w:ind w:right="5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14605</wp:posOffset>
            </wp:positionV>
            <wp:extent cx="18859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1"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23495</wp:posOffset>
            </wp:positionV>
            <wp:extent cx="18859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8100" w:space="720"/>
            <w:col w:w="242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Europe</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6,242</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r>
      <w:tr>
        <w:trPr>
          <w:trHeight w:val="196"/>
        </w:trPr>
        <w:tc>
          <w:tcPr>
            <w:tcW w:w="5200" w:type="dxa"/>
            <w:vAlign w:val="bottom"/>
          </w:tcPr>
          <w:p>
            <w:pPr>
              <w:ind w:left="20"/>
              <w:spacing w:after="0" w:line="196" w:lineRule="exact"/>
              <w:rPr>
                <w:sz w:val="20"/>
                <w:szCs w:val="20"/>
                <w:color w:val="auto"/>
              </w:rPr>
            </w:pPr>
            <w:r>
              <w:rPr>
                <w:rFonts w:ascii="Arial" w:cs="Arial" w:eastAsia="Arial" w:hAnsi="Arial"/>
                <w:sz w:val="18"/>
                <w:szCs w:val="18"/>
                <w:color w:val="auto"/>
              </w:rPr>
              <w:t>Net revenues</w:t>
            </w:r>
          </w:p>
        </w:tc>
        <w:tc>
          <w:tcPr>
            <w:tcW w:w="5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8,984</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8,343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18,297</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17,633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Segment operating income:</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Latin America</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AMEA</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Europe</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Mark-to-market (losses)/gains from derivatives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corporate expenses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8"/>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548640</wp:posOffset>
            </wp:positionV>
            <wp:extent cx="28257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1,194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09"/>
        </w:trPr>
        <w:tc>
          <w:tcPr>
            <w:tcW w:w="5060" w:type="dxa"/>
            <w:vAlign w:val="bottom"/>
          </w:tcPr>
          <w:p>
            <w:pPr>
              <w:spacing w:after="0"/>
              <w:rPr>
                <w:sz w:val="24"/>
                <w:szCs w:val="24"/>
                <w:color w:val="auto"/>
              </w:rPr>
            </w:pPr>
          </w:p>
        </w:tc>
        <w:tc>
          <w:tcPr>
            <w:tcW w:w="294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2,397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272</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decreased $38 million (3.1%), due to an unfavorable impact of currency-related items (8.5 pp) and unfavorable volume/mix (2.2 pp), partially offset by higher net pricing (7.6 pp). Currency-related items were unfavorable due to currency translation rate changes, partially offset by the impact of extreme pricing in Argentina. Unfavorable currency translation impacts were primarily due to the strength of the U.S. dollar relative to most currencies in the region, including the Mexican peso, Argentinean peso and Brazilian real. Unfavorable volume/mix reflected volume declines due to pricing elasticity impacts, primarily in Mexico and Argentina. Overall, unfavorable volume/mix was driven by declines in refreshment beverages, candy and biscuits &amp; baked snacks, partially offset by gains in chocolate, gum, and cheese &amp; grocery. Higher net pricing, net of extreme pricing in Argentina, was driven by input cost-driven pricing actions and reflected across all categories, primarily in Brazil, Argentina and Mexico.</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decreased $11 million (7.6%), primarily due to higher raw material costs, costs incurred for the ERP System Implementation program, higher other selling, general and administrative expenses, unfavorable currency-related items and unfavorable volume/mix. These unfavorable items were partially offset by higher pricing, lower manufacturing costs driven by productivity, lower advertising and consumer promotion costs and lower acquisition integration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decreased $154 million (6.0%), due to an unfavorable impact of currency-related items (10.6 pp) and unfavorable volume/mix (2.4 pp), partially offset by higher net pricing (7.0 pp). Currency-related items were unfavorable due to currency translation rate changes, partially offset by the impact of extreme pricing in Argentina. Unfavorable currency translation impacts were primarily due to the strength of the U.S. dollar relative to most currencies in the region, including the Mexican peso, Brazilian real and Argentinean peso. Unfavorable volume/mix reflected volume declines due to pricing elasticity impacts, primarily in Mexico, Brazil and Argentina. Overall, unfavorable volume/mix was driven by declines in refreshment beverages, candy, biscuits &amp; baked snacks and cheese &amp; grocery, partially offset by gains in chocolate and gum. Higher net pricing, net of extreme pricing in Argentina, was driven by input cost-driven pricing actions and reflected across all categories, primarily in Brazil, Argentina and Mexico.</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$29 million (9.6%), primarily due to higher raw material costs, unfavorable volume/mix, costs incurred for the ERP System Implementation program, higher other selling, general and administrative expenses and unfavorable currency-related items. These unfavorable items were partially offset by higher pricing, lower manufacturing costs driven by productivity, lower advertising and consumer promotion costs, lower acquisition integration costs, lower losses on remeasurement of net monetary position in highly inflationary countries and lapping prior-year costs for the completed Simplify to Grow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640080</wp:posOffset>
            </wp:positionV>
            <wp:extent cx="28257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1,821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42"/>
        </w:trPr>
        <w:tc>
          <w:tcPr>
            <w:tcW w:w="5060" w:type="dxa"/>
            <w:vAlign w:val="bottom"/>
          </w:tcPr>
          <w:p>
            <w:pPr>
              <w:spacing w:after="0"/>
              <w:rPr>
                <w:sz w:val="24"/>
                <w:szCs w:val="24"/>
                <w:color w:val="auto"/>
              </w:rPr>
            </w:pPr>
          </w:p>
        </w:tc>
        <w:tc>
          <w:tcPr>
            <w:tcW w:w="294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3,837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614</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701</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(12.4)%</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revenues increased $234 million (14.7%), due to the higher net pricing (7.9 pp), impact of an acquisition (6.4 pp) and favorable volume/mix (0.7 pp), partially offset by unfavorable currency translation rate changes (0.3 pp). Higher net pricing, driven by input cost-driven pricing actions, was reflected across all categories. The November 1, 2024 acquisition of Evirth added incremental net revenues of $102 million (constant currency basis) in the second quarter of 2025. Favorable volume/mix reflected volume gains partially offset by unfavorable product mix. Overall, favorable volume/mix was driven by gains in biscuits &amp; baked snacks, gum, cheese &amp; grocery and candy, partially offset by declines in refreshment beverages and chocolate. Unfavorable currency translation impacts were due to the strength of the U.S. dollar relative to several currencies in the region, including the Indian rupee, Australian dollar, Nigerian naira and Egyptian pound.</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decreased $19 million (6.6%), primarily due to higher raw material costs, unfavorable volume/mix and higher acquisition integration costs and contingent consideration adjustments. These unfavorable items were partially offset by higher net pricing, lower manufacturing costs driven by productivity, lower other selling, general and administrative expenses, lower advertising and consumer promotion costs and the impact from our Evirth acquisition.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revenues increased $300 million (8.5%), due to higher net pricing (6.2 pp) and the impact of an acquisition (5.7 pp), partially offset by unfavorable currency translation rate changes (2.0 pp) and unfavorable volume/mix (1.4 pp). Higher net pricing, driven by input cost-driven pricing actions, was reflected across all categories except cheese &amp; grocery. The November 1, 2024 acquisition of Evirth added incremental net revenues of $201 million (constant currency basis) in the first six months of 2025. Unfavorable currency translation impacts were due to the strength of the U.S. dollar relative to several currencies in the region, including the Indian rupee, Australian dollar, Egyptian pound, Nigerian naira and Chinese yuan. Unfavorable volume/mix reflected pricing elasticity impacts, driven by declines in chocolate, refreshment beverages and cheese &amp; grocery, partially offset by gains in gum, biscuits &amp; baked snacks and candy.</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decreased $87 million (12.4%), primarily due to higher raw material costs, unfavorable volume/mix, higher acquisition integration costs and contingent consideration adjustments and unfavorable currency translation rate changes. These unfavorable items were partially offset by higher net pricing, lower manufacturing costs driven by productivity, lower advertising and consumer promotion costs and the impact from our Evirth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329565</wp:posOffset>
            </wp:positionV>
            <wp:extent cx="28257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3,412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514</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598"/>
        </w:trPr>
        <w:tc>
          <w:tcPr>
            <w:tcW w:w="5060" w:type="dxa"/>
            <w:vAlign w:val="bottom"/>
          </w:tcPr>
          <w:p>
            <w:pPr>
              <w:spacing w:after="0"/>
              <w:rPr>
                <w:sz w:val="24"/>
                <w:szCs w:val="24"/>
                <w:color w:val="auto"/>
              </w:rPr>
            </w:pPr>
          </w:p>
        </w:tc>
        <w:tc>
          <w:tcPr>
            <w:tcW w:w="294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6,962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976</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1,141</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(14.5)%</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revenues increased $538 million (18.7%), due to higher net pricing (13.8 pp) and favorable currency translation rate changes (6.2 pp), partially offset by unfavorable volume/mix (1.3 pp). Higher net pricing, driven by input cost-driven pricing actions, was reflected across all categories except candy. Favorable currency translation rate changes reflected the strength of most currencies across the region relative to the U.S. dollar, primarily the euro, British pound sterling, Russian ruble, Polish zloty and Swedish krona. Unfavorable volume/mix reflected pricing elasticity impacts. Overall, unfavorable volume/mix was driven by declines in chocolate, candy and refreshment beverages, partially offset by gains in biscuits &amp; baked snacks, cheese &amp; grocery and gum.</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decreased $36 million (6.5%), primarily due to higher raw material costs and unfavorable volume/mix. These unfavorable items were partially offset by higher net pricing, lower manufacturing costs driven by productivity, favorable currency translation rate changes, lower advertising and consumer promotion costs, lower other selling, general and administrative expenses and lapping prior-year costs for the completed Simplify to Grow Program.</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$720 million (11.5%), due to higher net pricing (13.6 pp) and favorable currency translation rate changes (1.4 pp), partially offset by unfavorable volume/mix (3.0 pp</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lapping the prior-year net revenue from a short-term distributor agreement (0.5 pp</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Higher net pricing, driven by input cost-driven pricing actions, was reflected across all categories. Favorable currency translation rate changes reflected the strength of most currencies across the region relative to the U.S. dollar, primarily the British pound sterling, Russian ruble, euro and Polish zloty. Unfavorable volume/mix reflected volume declines due to pricing elasticity impacts. Overall, unfavorable volume/mix was driven by declines in chocolate, candy, refreshment beverages and gum, partially offset by gains in biscuits &amp; baked snacks and cheese &amp; grocery. The lapping of the prior-year short-term distributor agreement related to the sale of our developed market gum business, which ended in the first quarter of 2024, resulted in a year-over-year incremental reduction in net revenue of $25 million.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$165 million (14.5%), primarily due to higher raw material costs, unfavorable volume/mix and costs incurred for the ERP System Implementation program. These unfavorable items were partially offset by higher net pricing, lower advertising and consumer promotion costs, lower manufacturing costs driven by productivity, lapping prior-year costs for the completed Simplify to Grow program, favorable currency translation rate changes, lower other selling, general and administrative expenses, lower divestiture-related costs and lower asset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177165</wp:posOffset>
            </wp:positionV>
            <wp:extent cx="28257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2,557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454</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598"/>
        </w:trPr>
        <w:tc>
          <w:tcPr>
            <w:tcW w:w="5060" w:type="dxa"/>
            <w:vAlign w:val="bottom"/>
          </w:tcPr>
          <w:p>
            <w:pPr>
              <w:spacing w:after="0"/>
              <w:rPr>
                <w:sz w:val="24"/>
                <w:szCs w:val="24"/>
                <w:color w:val="auto"/>
              </w:rPr>
            </w:pPr>
          </w:p>
        </w:tc>
        <w:tc>
          <w:tcPr>
            <w:tcW w:w="294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0"/>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5,101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939</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1,094</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(14.2)%</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decreased $93 million (3.5%), due to unfavorable volume/mix (2.4 pp), lower net pricing (1.0 pp) and unfavorable currency translation rate changes (0.1 pp). Unfavorable volume/mix was driven by declines in biscuits &amp; baked snacks, primarily due to U.S. retailer inventory destocking and soft consumption, and candy, slightly offset by a gain in chocolate. Lower net pricing in biscuits &amp; baked snacks and candy was partially offset by higher net pricing in chocolate. Unfavorable currency translation rate changes were due to the strength of the U.S. dollar relative to the Canadian dollar.</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decreased $ 91 million (16.7%), primarily due to higher raw material costs, unfavorable volume/mix, lower net pricing and costs incurred for the ERP System Implementation program. These unfavorable items were partially offset by a favorable contingent consideration adjustment related to Clif Bar as well as lower acquisition integration costs, lower advertising and consumer promotion costs, lower manufacturing costs due to productivity and lapping prior-year costs for the completed Simplify to Grow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decreased $202 million (3.8%), due to unfavorable volume/mix (2.8 pp), lower net pricing (0.7 pp) and unfavorable currency translation rate changes (0.3 pp). Unfavorable volume/mix was driven by declines in biscuits &amp; baked snacks, primarily due to U.S. retailer inventory destocking and soft consumption, and candy, slightly offset by a gain in chocolate. Lower net pricing in biscuits &amp; baked snacks was partially offset by higher net pricing in chocolate and candy. Unfavorable currency translation rate changes were due to the strength of the U.S. dollar relative to the Canadian dollar.</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decreased $155 million (14.2%), primarily due to higher raw material costs, unfavorable volume/mix, lower net pricing and costs incurred for the ERP System Implementation program. These unfavorable items were partially offset by a favorable contingent consideration adjustment related to Clif Bar as well as lower acquisition integration costs, lower advertising and consumer promotion costs, lower manufacturing costs due to productivity and lapping prior-year costs for the completed Simplify to Grow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175260</wp:posOffset>
            </wp:positionV>
            <wp:extent cx="282575"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cash from operations, our revolving credit facilities, short-term borrowings and long-term debt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Overall, we do not expect negative effects to our funding sources that would have a material effect on our liquidity, and we continue to monitor our global operations including the impact of developments in Ukraine and the Middle East.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non-operating items.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Long-term cash requirements primarily relate to funding long-term debt repayments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our U.S. tax reform transition tax liability and deferred taxes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the year ended December 31, 2024), our long-term benefit plan obligations (refer to Note 9,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in Item 1 herein and Note 11</w:t>
      </w:r>
      <w:r>
        <w:rPr>
          <w:rFonts w:ascii="Arial" w:cs="Arial" w:eastAsia="Arial" w:hAnsi="Arial"/>
          <w:sz w:val="18"/>
          <w:szCs w:val="18"/>
          <w:i w:val="1"/>
          <w:iCs w:val="1"/>
          <w:color w:val="auto"/>
        </w:rPr>
        <w: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in our Annual report on Form 10-K for the year ended December 31, 2024) and commodity-related purchase commitments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derivative contracts (refer to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We generally do not use equity to fund our ongoing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by/(used in):</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Operating activities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Investing activities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Six Months Ended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wp:posOffset>
            </wp:positionV>
            <wp:extent cx="18942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1" w:lineRule="exact"/>
        <w:rPr>
          <w:sz w:val="20"/>
          <w:szCs w:val="20"/>
          <w:color w:val="auto"/>
        </w:rPr>
      </w:pPr>
    </w:p>
    <w:p>
      <w:pPr>
        <w:ind w:left="540"/>
        <w:spacing w:after="0"/>
        <w:tabs>
          <w:tab w:leader="none" w:pos="234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19050</wp:posOffset>
            </wp:positionV>
            <wp:extent cx="18942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8"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23495</wp:posOffset>
            </wp:positionV>
            <wp:extent cx="713232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5" w:lineRule="exact"/>
        <w:rPr>
          <w:sz w:val="20"/>
          <w:szCs w:val="20"/>
          <w:color w:val="auto"/>
        </w:rPr>
      </w:pPr>
    </w:p>
    <w:p>
      <w:pPr>
        <w:spacing w:after="0"/>
        <w:tabs>
          <w:tab w:leader="none" w:pos="880" w:val="left"/>
          <w:tab w:leader="none" w:pos="152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1,400</w:t>
        <w:tab/>
        <w:t>$</w:t>
      </w:r>
      <w:r>
        <w:rPr>
          <w:sz w:val="20"/>
          <w:szCs w:val="20"/>
          <w:color w:val="auto"/>
        </w:rPr>
        <w:tab/>
      </w:r>
      <w:r>
        <w:rPr>
          <w:rFonts w:ascii="Arial" w:cs="Arial" w:eastAsia="Arial" w:hAnsi="Arial"/>
          <w:sz w:val="17"/>
          <w:szCs w:val="17"/>
          <w:color w:val="auto"/>
        </w:rPr>
        <w:t>2,146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17780</wp:posOffset>
            </wp:positionV>
            <wp:extent cx="713232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520" w:hanging="1546"/>
        <w:spacing w:after="0"/>
        <w:tabs>
          <w:tab w:leader="none" w:pos="2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(847)</w:t>
      </w:r>
    </w:p>
    <w:p>
      <w:pPr>
        <w:spacing w:after="0" w:line="61" w:lineRule="exact"/>
        <w:rPr>
          <w:sz w:val="20"/>
          <w:szCs w:val="20"/>
          <w:color w:val="auto"/>
        </w:rPr>
      </w:pPr>
    </w:p>
    <w:p>
      <w:pPr>
        <w:ind w:left="2360" w:hanging="1386"/>
        <w:spacing w:after="0"/>
        <w:tabs>
          <w:tab w:leader="none" w:pos="2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(1,604)</w:t>
      </w:r>
    </w:p>
    <w:p>
      <w:pPr>
        <w:spacing w:after="0" w:line="200" w:lineRule="exact"/>
        <w:rPr>
          <w:sz w:val="20"/>
          <w:szCs w:val="20"/>
          <w:color w:val="auto"/>
        </w:rPr>
      </w:pPr>
    </w:p>
    <w:p>
      <w:pPr>
        <w:sectPr>
          <w:pgSz w:w="11900" w:h="16838" w:orient="portrait"/>
          <w:cols w:equalWidth="0" w:num="2">
            <w:col w:w="7560" w:space="720"/>
            <w:col w:w="2960"/>
          </w:cols>
          <w:pgMar w:left="320" w:top="364" w:right="33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The reduction in net cash provided by operating activities was primarily due to lower cash-basis net earnings, combined with higher year-over-year working capital movements.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reduction in net cash used in investing activities was largely driven by lapping prior year investment contributions and lower capital expenditures. We continue to make capital expenditures primarily to modernize manufacturing facilities, implement new product manufacturing and support productivity initiatives. We expect 2025 capital expenditures to be up to $1.3 billion, including capital expenditures in connection with funding our strategic priorities. We expect to continue to fund these expenditures with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170815</wp:posOffset>
            </wp:positionV>
            <wp:extent cx="282575"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reduction in cash used in financing activities was primarily due to higher debt proceeds, partially offset by higher debt repayments, higher share repurchases and higher dividends paid in the first six months of 2025 compared to the same prior year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paid dividends of $ 1,233 million in the first six months of 2025 and $1,151 million in the first six months of 2024. The second quarter 2025 dividend of $0.470 per share, declared on May 21, 2025 for shareholders of record as of June 30, 2025, was paid on July 14, 2025. On July 29, 2025, the Audit Committee, with authorization delegated from our Board of Directors, declared a quarterly cash dividend of $0.50 per share of Class A Common Stock, an increase of 6 percent. This dividend is payable on October 14, 2025, to shareholders of record as of September 30, 2025.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discussed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As of June 30, 2025 and December 31, 2024, we had no material third-party guarantees recorded on our condensed consolidated balance sheets. Guarantees do not have, and we do not expect them to have, a material effect on our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our short-term working capital or other financing needs.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our December 2024 meeting, the Board of Directors approved a new $4 billion long-term financing authorization that replaced the prior long-term financing authorization of $2 billion. As of June 30, 2025, $2.4 billion of the long-term financing authorization remained available.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total debt was $20.9 billion as of June 30, 2025 and $17.7 billion as of December 31, 2024. Our debt-to-capitalization ratio was 0.44 at June 30, 2025 and 0.40 at December 31, 2024. At June 30, 2025, the weighted-average term of our outstanding long-term debt was 7.5 years. Our average daily commercial paper borrowings outstanding were $2.0 billion in the first six months of 2025 and $0.9 billion in the first six months of 2024.</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74.3% (or $13.6 billion) of the $18.3 billion of consolidated net revenue for the six months ended June 30, 2025. The operations held by MIHN represented approximately 93.9% (or $24.6 billion) of the $26.2 billion of consolidated net assets as of June 30,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additional information on our debt and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six months of 2025, the primary drivers of the increase in our aggregate commodity costs were higher cocoa, packaging, dairy, energy, edible oils, nuts and other ingredient costs, as well as unfavorable year-over-year currency exchange transaction costs on imported materials, partially offset by lower sugar and grains costs. While the costs of our principal raw materials fluctuate, generally we believe there will continue to be an adequate supply of the raw materials we use and that they will broadly remain available.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number of external factors such as the current macroeconomic environment, including global inflation, effects of geopolitical uncertainty, climate and weather conditions, commodity, transportation and labor market conditions, exchange rate volatility and the effects of local and global regulations, including trade policies, governmental agricultural or other programs affect the availability and cost of raw materials and agricultural materials used in our products. In particular, the supply of cocoa is exposed to many of these factors, including climate change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13970</wp:posOffset>
            </wp:positionV>
            <wp:extent cx="28257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weather events, local regulations in cocoa-producing countries, and global regulations such as the EU Deforestation Regulation (which requires companies to ensure that the products they place on the EU market or export from it are not associated with deforestation). These factors could impact the supply of cocoa, which could potentially limit our ability to produce our products and significantly impact profitability.</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the first six months of 2025, price volatility and the higher aggregate cost environment increased due to international supply chain and labor market disruptions and generally higher commodity, transportation and labor costs. We expect these conditions to continue to impact our aggregate commodity costs. In particular, we expect to face elevated cocoa costs in the near- and medium-term due to these factors. It is possible that we may not be able to increase prices sufficiently to fully cover the incremental costs of cocoa prices in this environment and/or our hedging strategies may not protect us from increases in cocoa costs, which could result in a significant adverse impact on our profitability.</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Our commodity procurement practices are intended to mitigate price volatility and provide visibility to future costs, but also may potentially limit our ability to benefit from possible future price decreases. Additionally, our costs for major raw materials will not necessarily reflect market price fluctuations because of our forward purchasing and hedging practices. Due to competitive or market conditions, planned trade or promotional incentives, fluctuations in currency exchange rates or other factors, our pricing actions may also lag commodity cost changes temporarily.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and estimates are described in Note 1 to our consolidated financial statements and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respectively, in our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year ended December 31, 2024. Also refer to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this 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“potential,” “commitment,” “outlook,” “continue” or any other similar words.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and are amplified by current and potential trade and tariff actions affecting the countries where we operate. Important factors that could cause our actual results or performance to differ materially from those contained in or implied by our forward-looking statements include, but are not limited to, the following:</w:t>
      </w:r>
    </w:p>
    <w:p>
      <w:pPr>
        <w:spacing w:after="0" w:line="5" w:lineRule="exact"/>
        <w:rPr>
          <w:sz w:val="20"/>
          <w:szCs w:val="20"/>
          <w:color w:val="auto"/>
        </w:rPr>
      </w:pPr>
    </w:p>
    <w:p>
      <w:pPr>
        <w:ind w:left="660" w:hanging="328"/>
        <w:spacing w:after="0" w:line="26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weakness in macroeconomic conditions in our markets, including as a result of inflation (and related monetary policy actions by governments in response to inflation) and the instability of certain 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9525</wp:posOffset>
            </wp:positionV>
            <wp:extent cx="28257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left="660" w:hanging="328"/>
        <w:spacing w:after="0" w:line="26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from operating globally including geopolitical, trade, tariff and regulatory uncertainties affecting developed and emerging markets;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volatility of cocoa and other commodity input costs, our ability to effectively hedge such costs and the availability of commodities;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and our response to channel shifts and pricing and other competitive pressures;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actions and customer and consumer responses to such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promotion and protection of our reputation and brand image;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weakness in consumer spending and/or changes in consumer preferences and demand and our ability to predict, identify, interpret and meet these changes;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and effects on us of legal and tax proceedings and government investigations;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 of information technology and third party service providers;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disruptions to our business, such as malware incidents, cyberattacks or other security breaches, and supply, commodity, labor and transportation constraints;</w:t>
      </w:r>
    </w:p>
    <w:p>
      <w:pPr>
        <w:jc w:val="both"/>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identify, complete, manage and realize the full extent of the benefits, cost savings, efficiencies and/or synergies presented by strategic acquisitions and other transactions as well as other strategic initiatives, such as our ERP System Implementation program;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investments and our ownership interests in those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climate change on our supply chain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global or regional health pandemics or epidemics;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consolidation of retail customers and competition with retailer and other economy brands;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relationships with customers, suppliers or distributors;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of our workforce and shifts in labor availability or 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legal, regulatory, tax and benefit laws and related changes, claims or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or actual product quality issues or product recalls;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maintain effective internal control over financial reporting or disclosure controls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matters including changes in tax laws and rates, disagreements with taxing authorities and imposition of new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currency exchange rates, controls and restrictions;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volatility of and access to capital or other markets, interest rates, the effectiveness of our cash management programs and our liquidity;</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changes in valuation factors that may adversely affect our impairment testing of goodwill and intangible assets; and</w:t>
      </w:r>
    </w:p>
    <w:p>
      <w:pPr>
        <w:spacing w:after="0" w:line="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risks and uncertainties, as they may be amended from time to time, set forth in our filings with the U.S. Securities and Exchange Commission, including our Annual Report on Form 10-K for the year ended December 31, 2024 and subsequent Quarterly Reports on Form 10-Q.</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168275</wp:posOffset>
            </wp:positionV>
            <wp:extent cx="28257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principally utilize derivative instruments to reduce significant, unanticipated earnings fluctuations that may arise from volatility in currency exchange rates, commodity prices and interest rates. Additionally, we periodically use interest rate swaps and forward interest rate contracts to achieve a desired proportion of variable versus fixed rate debt based on current and projected market conditions. For additional information on our derivative activity and the types of derivative instruments we use to hedge our currency exchange, commodity price and interest rate exposures,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and for additional information on our debt activity, see Note 7,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additional information on our strategies, policies and practices on an ongoing basis, refer to our Annual Report on Form 10-K for the year ended December 31,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June 30, 2025. Based on this evaluation, the CEO and CFO concluded that our disclosure controls and procedures were effective as of June 30, 2025.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2025. There were no material changes in our internal control over financial reporting during the quarter ended June 30, 2025,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163195</wp:posOffset>
            </wp:positionV>
            <wp:extent cx="28257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Information regarding legal proceedings is available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June 30, 2025 was: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gridSpan w:val="2"/>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7"/>
              </w:rPr>
              <w:t xml:space="preserve">Purchased </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9"/>
                <w:szCs w:val="9"/>
                <w:b w:val="1"/>
                <w:bCs w:val="1"/>
                <w:color w:val="auto"/>
              </w:rPr>
              <w:t>(2) (3)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77"/>
              <w:spacing w:after="0" w:line="162" w:lineRule="exact"/>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1-30, 2025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May 1-31, 2025</w:t>
            </w:r>
          </w:p>
        </w:tc>
        <w:tc>
          <w:tcPr>
            <w:tcW w:w="1520" w:type="dxa"/>
            <w:vAlign w:val="bottom"/>
          </w:tcPr>
          <w:p>
            <w:pPr>
              <w:jc w:val="right"/>
              <w:spacing w:after="0"/>
              <w:rPr>
                <w:sz w:val="20"/>
                <w:szCs w:val="20"/>
                <w:color w:val="auto"/>
              </w:rPr>
            </w:pPr>
            <w:r>
              <w:rPr>
                <w:rFonts w:ascii="Arial" w:cs="Arial" w:eastAsia="Arial" w:hAnsi="Arial"/>
                <w:sz w:val="18"/>
                <w:szCs w:val="18"/>
                <w:color w:val="auto"/>
              </w:rPr>
              <w:t>1,134,281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64.33</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1,132,954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For the Quarter Ended June 30, 2025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1,724,218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64.46</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left="340" w:hanging="332"/>
        <w:spacing w:after="0" w:line="261"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8,902 shares, 1,327 shares and 945 shares for the fiscal months of April, May and June 2025, respectively.</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Dollar values stated in millions. Effective January 1, 2025, our Board of Directors authorized a program for the repurchase of up to $9.0 billion of our Common Stock through December 31, 2027, excluding excise tax. During the six months ended June 30, 2025, we repurchased $1.6 billion, and as of June 30, 2025, we had approximately $7.4 billion share repurchase authorization remaining.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share repurchases in excess of issuances are subject to a 1% excise tax enacted by the Inflation Reduction Act. Any excise tax incurred on share repurchases is recognized as part of the cost basis of the shares acquired.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Insider Trading Arrangements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June 30, 2025, no such plans or other arrangements were adopted or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13970</wp:posOffset>
            </wp:positionV>
            <wp:extent cx="28257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6140" w:type="dxa"/>
            <w:vAlign w:val="bottom"/>
            <w:gridSpan w:val="6"/>
            <w:vMerge w:val="restart"/>
          </w:tcPr>
          <w:p>
            <w:pPr>
              <w:ind w:left="6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43"/>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6140" w:type="dxa"/>
            <w:vAlign w:val="bottom"/>
            <w:gridSpan w:val="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940" w:type="dxa"/>
            <w:vAlign w:val="bottom"/>
            <w:tcBorders>
              <w:top w:val="single" w:sz="8" w:color="auto"/>
            </w:tcBorders>
            <w:gridSpan w:val="8"/>
          </w:tcPr>
          <w:p>
            <w:pPr>
              <w:spacing w:after="0" w:line="169" w:lineRule="exact"/>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 long-</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8"/>
          </w:tcPr>
          <w:p>
            <w:pPr>
              <w:spacing w:after="0" w:line="183" w:lineRule="exact"/>
              <w:rPr>
                <w:sz w:val="20"/>
                <w:szCs w:val="20"/>
                <w:color w:val="auto"/>
              </w:rPr>
            </w:pPr>
            <w:r>
              <w:rPr>
                <w:rFonts w:ascii="Arial" w:cs="Arial" w:eastAsia="Arial" w:hAnsi="Arial"/>
                <w:sz w:val="18"/>
                <w:szCs w:val="18"/>
                <w:color w:val="auto"/>
              </w:rPr>
              <w:t>term debt of the Registrant and its consolidated subsidiaries that does not exceed 10 percent of the total assets of the</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Registrant and its consolidated subsidiaries.</w:t>
            </w:r>
          </w:p>
        </w:tc>
        <w:tc>
          <w:tcPr>
            <w:tcW w:w="0" w:type="dxa"/>
            <w:vAlign w:val="bottom"/>
          </w:tcPr>
          <w:p>
            <w:pPr>
              <w:spacing w:after="0"/>
              <w:rPr>
                <w:sz w:val="1"/>
                <w:szCs w:val="1"/>
                <w:color w:val="auto"/>
              </w:rPr>
            </w:pPr>
          </w:p>
        </w:tc>
      </w:tr>
      <w:tr>
        <w:trPr>
          <w:trHeight w:val="194"/>
        </w:trPr>
        <w:tc>
          <w:tcPr>
            <w:tcW w:w="1200" w:type="dxa"/>
            <w:vAlign w:val="bottom"/>
          </w:tcPr>
          <w:p>
            <w:pPr>
              <w:ind w:left="20"/>
              <w:spacing w:after="0" w:line="19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40" w:type="dxa"/>
            <w:vAlign w:val="bottom"/>
            <w:gridSpan w:val="8"/>
          </w:tcPr>
          <w:p>
            <w:pPr>
              <w:spacing w:after="0" w:line="195" w:lineRule="exact"/>
              <w:rPr>
                <w:sz w:val="20"/>
                <w:szCs w:val="20"/>
                <w:color w:val="auto"/>
              </w:rPr>
            </w:pPr>
            <w:r>
              <w:rPr>
                <w:rFonts w:ascii="Arial" w:cs="Arial" w:eastAsia="Arial" w:hAnsi="Arial"/>
                <w:sz w:val="18"/>
                <w:szCs w:val="18"/>
                <w:color w:val="0000FF"/>
              </w:rPr>
              <w:t>Mondelēz International, Inc. Global Employee Stock Purchase Matching Plan</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Mondelēz International, Inc. Severance Plan for Key Employees.</w:t>
            </w:r>
            <w:r>
              <w:rPr>
                <w:rFonts w:ascii="Arial" w:cs="Arial" w:eastAsia="Arial" w:hAnsi="Arial"/>
                <w:sz w:val="18"/>
                <w:szCs w:val="18"/>
                <w:color w:val="000000"/>
              </w:rPr>
              <w:t>+</w:t>
            </w:r>
          </w:p>
        </w:tc>
        <w:tc>
          <w:tcPr>
            <w:tcW w:w="38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0000FF"/>
              </w:rPr>
              <w:t>Certification of Chief Executive Officer pursuant to Rule 13a-14(a)/15d-14(a) of the Securities Exchange Act of 1934, as</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amended.</w:t>
            </w:r>
          </w:p>
        </w:tc>
        <w:tc>
          <w:tcPr>
            <w:tcW w:w="90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0000FF"/>
              </w:rPr>
              <w:t>Certification of Chief Financial Officer pursuant to Rule 13a-14(a)/15d-14(a) of the Securities Exchange Act of 1934, as</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amended.</w:t>
            </w:r>
          </w:p>
        </w:tc>
        <w:tc>
          <w:tcPr>
            <w:tcW w:w="91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0000FF"/>
              </w:rPr>
              <w:t>Certifications of Chief Executive Officer and Chief Financial Officer pursuant to 18 U.S.C. 1350, as adopted pursuant to</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9"/>
              </w:rPr>
              <w:t>Section 906 of the Sarbanes-Oxley Act of 2002.</w:t>
            </w:r>
          </w:p>
        </w:tc>
        <w:tc>
          <w:tcPr>
            <w:tcW w:w="61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1340" w:right="20" w:hanging="1314"/>
        <w:spacing w:after="0" w:line="221"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June 30, 2025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(vi) Notes to Condensed Consolidated Financial Statements and (vii) Part II, Item 5.</w:t>
      </w:r>
    </w:p>
    <w:p>
      <w:pPr>
        <w:spacing w:after="0" w:line="6" w:lineRule="exact"/>
        <w:rPr>
          <w:sz w:val="20"/>
          <w:szCs w:val="20"/>
          <w:color w:val="auto"/>
        </w:rPr>
      </w:pPr>
    </w:p>
    <w:p>
      <w:pPr>
        <w:ind w:left="1340" w:right="20" w:hanging="1314"/>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June 30, 2025, formatted in Inline XBRL (included as Exhibit 101).</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540" w:hanging="155"/>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471805</wp:posOffset>
            </wp:positionV>
            <wp:extent cx="28257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571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257810</wp:posOffset>
            </wp:positionV>
            <wp:extent cx="28257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364"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MONDELĒZ INTERNATIONAL,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GLOBAL EMPLOYEE STOCK PURCHASE MATCHING PLAN</w:t>
      </w:r>
    </w:p>
    <w:p>
      <w:pPr>
        <w:spacing w:after="0" w:line="200" w:lineRule="exact"/>
        <w:rPr>
          <w:sz w:val="20"/>
          <w:szCs w:val="20"/>
          <w:color w:val="auto"/>
        </w:rPr>
      </w:pPr>
    </w:p>
    <w:p>
      <w:pPr>
        <w:spacing w:after="0" w:line="266" w:lineRule="exact"/>
        <w:rPr>
          <w:sz w:val="20"/>
          <w:szCs w:val="20"/>
          <w:color w:val="auto"/>
        </w:rPr>
      </w:pPr>
    </w:p>
    <w:p>
      <w:pPr>
        <w:ind w:right="60"/>
        <w:spacing w:after="0" w:line="314" w:lineRule="auto"/>
        <w:rPr>
          <w:sz w:val="20"/>
          <w:szCs w:val="20"/>
          <w:color w:val="auto"/>
        </w:rPr>
      </w:pPr>
      <w:r>
        <w:rPr>
          <w:rFonts w:ascii="Times New Roman" w:cs="Times New Roman" w:eastAsia="Times New Roman" w:hAnsi="Times New Roman"/>
          <w:sz w:val="22"/>
          <w:szCs w:val="22"/>
          <w:color w:val="auto"/>
        </w:rPr>
        <w:t>Effective May 20, 2025, the Company established the Mondelēz International, Inc. Global Employee Stock Purchase Matching Plan. The Company has determined that it is in its best interests to provide a program through which employees may acquire a proprietary interest in the Company through the purchase of Shares to enable employees to become long-term shareholders of the Company, provide an incentive in recruitment and retention, and align the interests of our employees with those of our shareholders. The Plan shall permit Participants to purchase Shares through payroll deductions or other methods of contributions and through a Company matching program. Participation in the Plan is entirely voluntary and neither the Company nor any of its Members of the Group makes any recommendations to Participants as to whether they should participate in the Plan. The Plan is not intended to be an employee benefit plan under the Employee Retirement Income Security Act of 1974, as amended, nor qualify as an “employee stock purchase plan” under Section 423 of the Code.</w:t>
      </w:r>
    </w:p>
    <w:p>
      <w:pPr>
        <w:spacing w:after="0" w:line="95"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38"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1.1  General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terms used herein without definition shall have the respective meanings set forth below:</w:t>
      </w:r>
    </w:p>
    <w:p>
      <w:pPr>
        <w:spacing w:after="0" w:line="175" w:lineRule="exact"/>
        <w:rPr>
          <w:sz w:val="20"/>
          <w:szCs w:val="20"/>
          <w:color w:val="auto"/>
        </w:rPr>
      </w:pPr>
    </w:p>
    <w:p>
      <w:pPr>
        <w:ind w:right="40"/>
        <w:spacing w:after="0" w:line="329" w:lineRule="auto"/>
        <w:rPr>
          <w:sz w:val="20"/>
          <w:szCs w:val="20"/>
          <w:color w:val="auto"/>
        </w:rPr>
      </w:pPr>
      <w:r>
        <w:rPr>
          <w:rFonts w:ascii="Times New Roman" w:cs="Times New Roman" w:eastAsia="Times New Roman" w:hAnsi="Times New Roman"/>
          <w:sz w:val="22"/>
          <w:szCs w:val="22"/>
          <w:b w:val="1"/>
          <w:bCs w:val="1"/>
          <w:color w:val="auto"/>
        </w:rPr>
        <w:t xml:space="preserve">“Account” </w:t>
      </w:r>
      <w:r>
        <w:rPr>
          <w:rFonts w:ascii="Times New Roman" w:cs="Times New Roman" w:eastAsia="Times New Roman" w:hAnsi="Times New Roman"/>
          <w:sz w:val="22"/>
          <w:szCs w:val="22"/>
          <w:color w:val="auto"/>
        </w:rPr>
        <w:t>means bookkeeping entry maintained by the Company or the Participating Company on behalf of each Participant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purpose of accounting for all Contributions and, if applicable, Matching Credits, credited to the Participant pursuant to the Plan;</w:t>
      </w:r>
    </w:p>
    <w:p>
      <w:pPr>
        <w:spacing w:after="0" w:line="53" w:lineRule="exact"/>
        <w:rPr>
          <w:sz w:val="20"/>
          <w:szCs w:val="20"/>
          <w:color w:val="auto"/>
        </w:rPr>
      </w:pPr>
    </w:p>
    <w:p>
      <w:pPr>
        <w:ind w:right="460"/>
        <w:spacing w:after="0" w:line="339" w:lineRule="auto"/>
        <w:rPr>
          <w:sz w:val="20"/>
          <w:szCs w:val="20"/>
          <w:color w:val="auto"/>
        </w:rPr>
      </w:pPr>
      <w:r>
        <w:rPr>
          <w:rFonts w:ascii="Times New Roman" w:cs="Times New Roman" w:eastAsia="Times New Roman" w:hAnsi="Times New Roman"/>
          <w:sz w:val="22"/>
          <w:szCs w:val="22"/>
          <w:b w:val="1"/>
          <w:bCs w:val="1"/>
          <w:color w:val="auto"/>
        </w:rPr>
        <w:t xml:space="preserve">“Award” </w:t>
      </w:r>
      <w:r>
        <w:rPr>
          <w:rFonts w:ascii="Times New Roman" w:cs="Times New Roman" w:eastAsia="Times New Roman" w:hAnsi="Times New Roman"/>
          <w:sz w:val="22"/>
          <w:szCs w:val="22"/>
          <w:color w:val="auto"/>
        </w:rPr>
        <w:t>means a Purchase Right and a Matching Award, and</w:t>
      </w:r>
      <w:r>
        <w:rPr>
          <w:rFonts w:ascii="Times New Roman" w:cs="Times New Roman" w:eastAsia="Times New Roman" w:hAnsi="Times New Roman"/>
          <w:sz w:val="22"/>
          <w:szCs w:val="22"/>
          <w:b w:val="1"/>
          <w:bCs w:val="1"/>
          <w:color w:val="auto"/>
        </w:rPr>
        <w:t xml:space="preserve"> “awarded” </w:t>
      </w:r>
      <w:r>
        <w:rPr>
          <w:rFonts w:ascii="Times New Roman" w:cs="Times New Roman" w:eastAsia="Times New Roman" w:hAnsi="Times New Roman"/>
          <w:sz w:val="22"/>
          <w:szCs w:val="22"/>
          <w:color w:val="auto"/>
        </w:rPr>
        <w:t>and similar terms will be understood accordingly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where appropriate;</w:t>
      </w:r>
    </w:p>
    <w:p>
      <w:pPr>
        <w:spacing w:after="0" w:line="41" w:lineRule="exact"/>
        <w:rPr>
          <w:sz w:val="20"/>
          <w:szCs w:val="20"/>
          <w:color w:val="auto"/>
        </w:rPr>
      </w:pPr>
    </w:p>
    <w:p>
      <w:pPr>
        <w:ind w:right="5100"/>
        <w:spacing w:after="0" w:line="409" w:lineRule="auto"/>
        <w:rPr>
          <w:sz w:val="20"/>
          <w:szCs w:val="20"/>
          <w:color w:val="auto"/>
        </w:rPr>
      </w:pPr>
      <w:r>
        <w:rPr>
          <w:rFonts w:ascii="Times New Roman" w:cs="Times New Roman" w:eastAsia="Times New Roman" w:hAnsi="Times New Roman"/>
          <w:sz w:val="22"/>
          <w:szCs w:val="22"/>
          <w:b w:val="1"/>
          <w:bCs w:val="1"/>
          <w:color w:val="auto"/>
        </w:rPr>
        <w:t xml:space="preserve">“Award Date” </w:t>
      </w:r>
      <w:r>
        <w:rPr>
          <w:rFonts w:ascii="Times New Roman" w:cs="Times New Roman" w:eastAsia="Times New Roman" w:hAnsi="Times New Roman"/>
          <w:sz w:val="22"/>
          <w:szCs w:val="22"/>
          <w:color w:val="auto"/>
        </w:rPr>
        <w:t>means the date on which a Matching Award is granted;</w:t>
      </w:r>
      <w:r>
        <w:rPr>
          <w:rFonts w:ascii="Times New Roman" w:cs="Times New Roman" w:eastAsia="Times New Roman" w:hAnsi="Times New Roman"/>
          <w:sz w:val="22"/>
          <w:szCs w:val="22"/>
          <w:b w:val="1"/>
          <w:bCs w:val="1"/>
          <w:color w:val="auto"/>
        </w:rPr>
        <w:t xml:space="preserve"> “Board” </w:t>
      </w:r>
      <w:r>
        <w:rPr>
          <w:rFonts w:ascii="Times New Roman" w:cs="Times New Roman" w:eastAsia="Times New Roman" w:hAnsi="Times New Roman"/>
          <w:sz w:val="22"/>
          <w:szCs w:val="22"/>
          <w:color w:val="auto"/>
        </w:rPr>
        <w:t>means the Board of Directors of the Company;</w:t>
      </w:r>
    </w:p>
    <w:p>
      <w:pPr>
        <w:spacing w:after="0" w:line="2" w:lineRule="exact"/>
        <w:rPr>
          <w:sz w:val="20"/>
          <w:szCs w:val="20"/>
          <w:color w:val="auto"/>
        </w:rPr>
      </w:pPr>
    </w:p>
    <w:p>
      <w:pPr>
        <w:ind w:right="40"/>
        <w:spacing w:after="0" w:line="351" w:lineRule="auto"/>
        <w:rPr>
          <w:sz w:val="20"/>
          <w:szCs w:val="20"/>
          <w:color w:val="auto"/>
        </w:rPr>
      </w:pPr>
      <w:r>
        <w:rPr>
          <w:rFonts w:ascii="Times New Roman" w:cs="Times New Roman" w:eastAsia="Times New Roman" w:hAnsi="Times New Roman"/>
          <w:sz w:val="22"/>
          <w:szCs w:val="22"/>
          <w:b w:val="1"/>
          <w:bCs w:val="1"/>
          <w:color w:val="auto"/>
        </w:rPr>
        <w:t xml:space="preserve">“Business Day” </w:t>
      </w:r>
      <w:r>
        <w:rPr>
          <w:rFonts w:ascii="Times New Roman" w:cs="Times New Roman" w:eastAsia="Times New Roman" w:hAnsi="Times New Roman"/>
          <w:sz w:val="22"/>
          <w:szCs w:val="22"/>
          <w:color w:val="auto"/>
        </w:rPr>
        <w:t>means a day on which the Nasdaq Global Select Market (or, if the Committee decides, any other stock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which the Shares are listed) is open for the transaction of business;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means the occurrence of any of the following events:</w:t>
      </w:r>
    </w:p>
    <w:p>
      <w:pPr>
        <w:spacing w:after="0" w:line="183" w:lineRule="exact"/>
        <w:rPr>
          <w:sz w:val="20"/>
          <w:szCs w:val="20"/>
          <w:color w:val="auto"/>
        </w:rPr>
      </w:pPr>
    </w:p>
    <w:p>
      <w:pPr>
        <w:ind w:left="460" w:right="500" w:hanging="452"/>
        <w:spacing w:after="0" w:line="335" w:lineRule="auto"/>
        <w:tabs>
          <w:tab w:leader="none" w:pos="45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of 20% or more of the outstanding voting securities of the Company by another entity or group; excluding, however, the following: (a) any acquisition by the Company or</w:t>
      </w:r>
    </w:p>
    <w:p>
      <w:pPr>
        <w:sectPr>
          <w:pgSz w:w="11900" w:h="16838" w:orient="portrait"/>
          <w:cols w:equalWidth="0" w:num="1">
            <w:col w:w="11240"/>
          </w:cols>
          <w:pgMar w:left="320" w:top="126" w:right="339" w:bottom="1440" w:gutter="0" w:footer="0" w:header="0"/>
        </w:sectPr>
      </w:pPr>
    </w:p>
    <w:bookmarkStart w:id="58" w:name="page59"/>
    <w:bookmarkEnd w:id="58"/>
    <w:p>
      <w:pPr>
        <w:spacing w:after="0" w:line="50" w:lineRule="exact"/>
        <w:rPr>
          <w:sz w:val="20"/>
          <w:szCs w:val="20"/>
          <w:color w:val="auto"/>
        </w:rPr>
      </w:pPr>
    </w:p>
    <w:p>
      <w:pPr>
        <w:jc w:val="both"/>
        <w:ind w:left="460" w:right="80"/>
        <w:spacing w:after="0" w:line="320" w:lineRule="auto"/>
        <w:rPr>
          <w:sz w:val="20"/>
          <w:szCs w:val="20"/>
          <w:color w:val="auto"/>
        </w:rPr>
      </w:pPr>
      <w:r>
        <w:rPr>
          <w:rFonts w:ascii="Times New Roman" w:cs="Times New Roman" w:eastAsia="Times New Roman" w:hAnsi="Times New Roman"/>
          <w:sz w:val="22"/>
          <w:szCs w:val="22"/>
          <w:color w:val="auto"/>
        </w:rPr>
        <w:t>any Member of the Group; (b) any acquisition by an employee benefit plan or related trust sponsored or maintained by any entity within the Group; (c) any acquisition pursuant to a merger or consolidation described in subsection (iii) hereof; (d) or any acquisition directly from the Company;</w:t>
      </w:r>
    </w:p>
    <w:p>
      <w:pPr>
        <w:spacing w:after="0" w:line="1" w:lineRule="exact"/>
        <w:rPr>
          <w:sz w:val="20"/>
          <w:szCs w:val="20"/>
          <w:color w:val="auto"/>
        </w:rPr>
      </w:pPr>
    </w:p>
    <w:p>
      <w:pPr>
        <w:ind w:left="460" w:right="160" w:hanging="452"/>
        <w:spacing w:after="0" w:line="316" w:lineRule="auto"/>
        <w:tabs>
          <w:tab w:leader="none" w:pos="45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consecutive 24-month period, persons who constitute the Board at the beginning of such period cease to constitute at least 50% of the Board; provided that each new Board member who is approved by a majority of the directors who began such 24-month period will be deemed to have been a member of the Board at the beginning of such 24-month period;</w:t>
      </w:r>
    </w:p>
    <w:p>
      <w:pPr>
        <w:spacing w:after="0" w:line="4" w:lineRule="exact"/>
        <w:rPr>
          <w:rFonts w:ascii="Times New Roman" w:cs="Times New Roman" w:eastAsia="Times New Roman" w:hAnsi="Times New Roman"/>
          <w:sz w:val="22"/>
          <w:szCs w:val="22"/>
          <w:color w:val="auto"/>
        </w:rPr>
      </w:pPr>
    </w:p>
    <w:p>
      <w:pPr>
        <w:ind w:left="460" w:hanging="452"/>
        <w:spacing w:after="0" w:line="313" w:lineRule="auto"/>
        <w:tabs>
          <w:tab w:leader="none" w:pos="4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merger, statutory share exchange or consolidation or other material transaction involving the Company or any Member of the Group; excluding, however, a transaction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resulting from such transaction (including, without limitation, an entity which as a result of such transaction owns the Company either directly or indirectly) in substantially the same proportions relative to each other as their ownership, immediately prior to such transaction, of the outstanding voting securities of the Company; or</w:t>
      </w:r>
    </w:p>
    <w:p>
      <w:pPr>
        <w:spacing w:after="0" w:line="6" w:lineRule="exact"/>
        <w:rPr>
          <w:rFonts w:ascii="Times New Roman" w:cs="Times New Roman" w:eastAsia="Times New Roman" w:hAnsi="Times New Roman"/>
          <w:sz w:val="22"/>
          <w:szCs w:val="22"/>
          <w:color w:val="auto"/>
        </w:rPr>
      </w:pPr>
    </w:p>
    <w:p>
      <w:pPr>
        <w:ind w:left="460" w:right="140" w:hanging="452"/>
        <w:spacing w:after="0" w:line="314" w:lineRule="auto"/>
        <w:tabs>
          <w:tab w:leader="none" w:pos="45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plan of complete liquidation of the Company or the sale or disposition of all or substantially all of the Company’s assets, other than a sale or disposition pursuant to which all or substantially all of the individuals or entities who are the beneficial owners of the outstanding voting securities of the Company immediately prior to such transaction will beneficially own, directly or indirectly, more than 50% of the combined voting power of the outstanding securities entitled to vote generally in the election of directors (or similar persons) of the entity purchasing or acquiring the Company’s assets in substantially the same proportions relative to each other as their ownership, immediately prior to such transaction, of the outstanding voting securities of the Company;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“Code” </w:t>
      </w:r>
      <w:r>
        <w:rPr>
          <w:rFonts w:ascii="Times New Roman" w:cs="Times New Roman" w:eastAsia="Times New Roman" w:hAnsi="Times New Roman"/>
          <w:sz w:val="22"/>
          <w:szCs w:val="22"/>
          <w:color w:val="auto"/>
        </w:rPr>
        <w:t>means the United States Internal Revenue Code of 1986, as amended;</w:t>
      </w:r>
    </w:p>
    <w:p>
      <w:pPr>
        <w:spacing w:after="0" w:line="179" w:lineRule="exact"/>
        <w:rPr>
          <w:sz w:val="20"/>
          <w:szCs w:val="20"/>
          <w:color w:val="auto"/>
        </w:rPr>
      </w:pPr>
    </w:p>
    <w:p>
      <w:pPr>
        <w:ind w:right="920"/>
        <w:spacing w:after="0" w:line="339" w:lineRule="auto"/>
        <w:rPr>
          <w:sz w:val="20"/>
          <w:szCs w:val="20"/>
          <w:color w:val="auto"/>
        </w:rPr>
      </w:pP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the People and Compensation Committee of the Board, any successor or such other committee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subcommittee as may be designated by the Board to administer the Plan;</w:t>
      </w:r>
    </w:p>
    <w:p>
      <w:pPr>
        <w:spacing w:after="0" w:line="1"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“Company” </w:t>
      </w:r>
      <w:r>
        <w:rPr>
          <w:rFonts w:ascii="Times New Roman" w:cs="Times New Roman" w:eastAsia="Times New Roman" w:hAnsi="Times New Roman"/>
          <w:sz w:val="22"/>
          <w:szCs w:val="22"/>
          <w:color w:val="auto"/>
        </w:rPr>
        <w:t>means Mondelēz International, Inc., a corporation organized under the laws of the Commonwealth of Virginia,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successor;</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13" w:lineRule="exact"/>
        <w:rPr>
          <w:sz w:val="20"/>
          <w:szCs w:val="20"/>
          <w:color w:val="auto"/>
        </w:rPr>
      </w:pPr>
    </w:p>
    <w:p>
      <w:pPr>
        <w:ind w:right="520"/>
        <w:spacing w:after="0" w:line="339" w:lineRule="auto"/>
        <w:rPr>
          <w:sz w:val="20"/>
          <w:szCs w:val="20"/>
          <w:color w:val="auto"/>
        </w:rPr>
      </w:pPr>
      <w:r>
        <w:rPr>
          <w:rFonts w:ascii="Times New Roman" w:cs="Times New Roman" w:eastAsia="Times New Roman" w:hAnsi="Times New Roman"/>
          <w:sz w:val="22"/>
          <w:szCs w:val="22"/>
          <w:b w:val="1"/>
          <w:bCs w:val="1"/>
          <w:color w:val="auto"/>
        </w:rPr>
        <w:t xml:space="preserve">“Contribution” </w:t>
      </w:r>
      <w:r>
        <w:rPr>
          <w:rFonts w:ascii="Times New Roman" w:cs="Times New Roman" w:eastAsia="Times New Roman" w:hAnsi="Times New Roman"/>
          <w:sz w:val="22"/>
          <w:szCs w:val="22"/>
          <w:color w:val="auto"/>
        </w:rPr>
        <w:t>means a deduction taken through payroll (or other method of payment approved by the Committee) from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Eligible Compensation for the purposes of purchasing Shares;</w:t>
      </w:r>
    </w:p>
    <w:p>
      <w:pPr>
        <w:spacing w:after="0" w:line="41" w:lineRule="exact"/>
        <w:rPr>
          <w:sz w:val="20"/>
          <w:szCs w:val="20"/>
          <w:color w:val="auto"/>
        </w:rPr>
      </w:pPr>
    </w:p>
    <w:p>
      <w:pPr>
        <w:ind w:right="100"/>
        <w:spacing w:after="0" w:line="329" w:lineRule="auto"/>
        <w:rPr>
          <w:sz w:val="20"/>
          <w:szCs w:val="20"/>
          <w:color w:val="auto"/>
        </w:rPr>
      </w:pPr>
      <w:r>
        <w:rPr>
          <w:rFonts w:ascii="Times New Roman" w:cs="Times New Roman" w:eastAsia="Times New Roman" w:hAnsi="Times New Roman"/>
          <w:sz w:val="22"/>
          <w:szCs w:val="22"/>
          <w:b w:val="1"/>
          <w:bCs w:val="1"/>
          <w:color w:val="auto"/>
        </w:rPr>
        <w:t xml:space="preserve">“Dealing Restrictions” </w:t>
      </w:r>
      <w:r>
        <w:rPr>
          <w:rFonts w:ascii="Times New Roman" w:cs="Times New Roman" w:eastAsia="Times New Roman" w:hAnsi="Times New Roman"/>
          <w:sz w:val="22"/>
          <w:szCs w:val="22"/>
          <w:color w:val="auto"/>
        </w:rPr>
        <w:t>means any internal or external restrictions on dealings or transactions in securities including restrictions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imposed by the Company’s “Insider Trading Policy,” applicable laws or the Nasdaq Global Select Market (or such other exchange on which the Shares may be listed from time to time);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“Dividend Equivalent” </w:t>
      </w:r>
      <w:r>
        <w:rPr>
          <w:rFonts w:ascii="Times New Roman" w:cs="Times New Roman" w:eastAsia="Times New Roman" w:hAnsi="Times New Roman"/>
          <w:sz w:val="22"/>
          <w:szCs w:val="22"/>
          <w:color w:val="auto"/>
        </w:rPr>
        <w:t>means a right to receive an additional amount, as set out in Section 9.3 hereof (Dividend Equivalents);</w:t>
      </w:r>
    </w:p>
    <w:p>
      <w:pPr>
        <w:spacing w:after="0" w:line="17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22"/>
          <w:szCs w:val="22"/>
          <w:b w:val="1"/>
          <w:bCs w:val="1"/>
          <w:color w:val="auto"/>
        </w:rPr>
        <w:t xml:space="preserve">“Eligible Compensation” </w:t>
      </w:r>
      <w:r>
        <w:rPr>
          <w:rFonts w:ascii="Times New Roman" w:cs="Times New Roman" w:eastAsia="Times New Roman" w:hAnsi="Times New Roman"/>
          <w:sz w:val="22"/>
          <w:szCs w:val="22"/>
          <w:color w:val="auto"/>
        </w:rPr>
        <w:t>means, unless the Committee provides otherwise in advance of an Offering, the amount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regular salary or base pay, before deductions required by law and deductions authorized by the Participant, including any elective deferrals under a plan qualified under Sections 125 or 401(a) of the Code or any non-qualified deferred compensation plan. In the case of Participants primarily compensated on a commission basis, “Eligible Compensation” may include commission earnings not to exceed the monthly amount specified by the Committee in advance of an Offering. “Eligible Compensation” shall not include: wages paid for overtime, extended workweek schedules or any other form of extra compensation, payments made by a Member of the Group or any other entity for Social Security, workers’ compensation, unemployment compensation, disability payments or any other payment mandated by state or federal statute, or salary-related contributions made by a Member of the Group or any other entity for insurance, annuity or any other employee benefit. The Committee shall have the discretion to determine the manner of application of this definition outside the United States;</w:t>
      </w:r>
    </w:p>
    <w:p>
      <w:pPr>
        <w:spacing w:after="0" w:line="86" w:lineRule="exact"/>
        <w:rPr>
          <w:sz w:val="20"/>
          <w:szCs w:val="20"/>
          <w:color w:val="auto"/>
        </w:rPr>
      </w:pPr>
    </w:p>
    <w:p>
      <w:pPr>
        <w:ind w:right="1400"/>
        <w:spacing w:after="0" w:line="429" w:lineRule="auto"/>
        <w:rPr>
          <w:sz w:val="20"/>
          <w:szCs w:val="20"/>
          <w:color w:val="auto"/>
        </w:rPr>
      </w:pPr>
      <w:r>
        <w:rPr>
          <w:rFonts w:ascii="Times New Roman" w:cs="Times New Roman" w:eastAsia="Times New Roman" w:hAnsi="Times New Roman"/>
          <w:sz w:val="21"/>
          <w:szCs w:val="21"/>
          <w:b w:val="1"/>
          <w:bCs w:val="1"/>
          <w:color w:val="auto"/>
        </w:rPr>
        <w:t xml:space="preserve">“Eligible Employee” </w:t>
      </w:r>
      <w:r>
        <w:rPr>
          <w:rFonts w:ascii="Times New Roman" w:cs="Times New Roman" w:eastAsia="Times New Roman" w:hAnsi="Times New Roman"/>
          <w:sz w:val="21"/>
          <w:szCs w:val="21"/>
          <w:color w:val="auto"/>
        </w:rPr>
        <w:t>means any person who meets the requirements of Section 2.1 hereof (Eligible Employee);</w:t>
      </w:r>
      <w:r>
        <w:rPr>
          <w:rFonts w:ascii="Times New Roman" w:cs="Times New Roman" w:eastAsia="Times New Roman" w:hAnsi="Times New Roman"/>
          <w:sz w:val="21"/>
          <w:szCs w:val="21"/>
          <w:b w:val="1"/>
          <w:bCs w:val="1"/>
          <w:color w:val="auto"/>
        </w:rPr>
        <w:t xml:space="preserve"> “Enrollment Window” </w:t>
      </w:r>
      <w:r>
        <w:rPr>
          <w:rFonts w:ascii="Times New Roman" w:cs="Times New Roman" w:eastAsia="Times New Roman" w:hAnsi="Times New Roman"/>
          <w:sz w:val="21"/>
          <w:szCs w:val="21"/>
          <w:color w:val="auto"/>
        </w:rPr>
        <w:t>means the period(s) in which Eligible Employees may elect to participate in an Offering;</w:t>
      </w:r>
    </w:p>
    <w:p>
      <w:pPr>
        <w:spacing w:after="0" w:line="1" w:lineRule="exact"/>
        <w:rPr>
          <w:sz w:val="20"/>
          <w:szCs w:val="20"/>
          <w:color w:val="auto"/>
        </w:rPr>
      </w:pPr>
    </w:p>
    <w:p>
      <w:pPr>
        <w:ind w:right="460"/>
        <w:spacing w:after="0" w:line="339" w:lineRule="auto"/>
        <w:rPr>
          <w:sz w:val="20"/>
          <w:szCs w:val="20"/>
          <w:color w:val="auto"/>
        </w:rPr>
      </w:pPr>
      <w:r>
        <w:rPr>
          <w:rFonts w:ascii="Times New Roman" w:cs="Times New Roman" w:eastAsia="Times New Roman" w:hAnsi="Times New Roman"/>
          <w:sz w:val="22"/>
          <w:szCs w:val="22"/>
          <w:b w:val="1"/>
          <w:bCs w:val="1"/>
          <w:color w:val="auto"/>
        </w:rPr>
        <w:t xml:space="preserve">“Evergreen Basis” </w:t>
      </w:r>
      <w:r>
        <w:rPr>
          <w:rFonts w:ascii="Times New Roman" w:cs="Times New Roman" w:eastAsia="Times New Roman" w:hAnsi="Times New Roman"/>
          <w:sz w:val="22"/>
          <w:szCs w:val="22"/>
          <w:color w:val="auto"/>
        </w:rPr>
        <w:t>means that Contributions will continue to be made and Purchase Rights will continue to be granted until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further notice (although they may cease earlier pursuant to a provision of the Plan or the Subscription Agreement);</w:t>
      </w:r>
    </w:p>
    <w:p>
      <w:pPr>
        <w:spacing w:after="0" w:line="41"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22"/>
          <w:szCs w:val="22"/>
          <w:b w:val="1"/>
          <w:bCs w:val="1"/>
          <w:color w:val="auto"/>
        </w:rPr>
        <w:t xml:space="preserve">“Exercise Date” </w:t>
      </w:r>
      <w:r>
        <w:rPr>
          <w:rFonts w:ascii="Times New Roman" w:cs="Times New Roman" w:eastAsia="Times New Roman" w:hAnsi="Times New Roman"/>
          <w:sz w:val="22"/>
          <w:szCs w:val="22"/>
          <w:color w:val="auto"/>
        </w:rPr>
        <w:t>means the date on which the Shares will be purchased, which will generally be the last Business Day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Offering Period, unless determined otherwise by the Committee;</w:t>
      </w:r>
    </w:p>
    <w:p>
      <w:pPr>
        <w:sectPr>
          <w:pgSz w:w="11900" w:h="16838" w:orient="portrait"/>
          <w:cols w:equalWidth="0" w:num="1">
            <w:col w:w="11220"/>
          </w:cols>
          <w:pgMar w:left="320" w:top="1440" w:right="359" w:bottom="1440" w:gutter="0" w:footer="0" w:header="0"/>
        </w:sectPr>
      </w:pPr>
    </w:p>
    <w:bookmarkStart w:id="60" w:name="page61"/>
    <w:bookmarkEnd w:id="60"/>
    <w:p>
      <w:pPr>
        <w:spacing w:after="0" w:line="113"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22"/>
          <w:szCs w:val="22"/>
          <w:b w:val="1"/>
          <w:bCs w:val="1"/>
          <w:color w:val="auto"/>
        </w:rPr>
        <w:t xml:space="preserve">“Forfeit” </w:t>
      </w:r>
      <w:r>
        <w:rPr>
          <w:rFonts w:ascii="Times New Roman" w:cs="Times New Roman" w:eastAsia="Times New Roman" w:hAnsi="Times New Roman"/>
          <w:sz w:val="22"/>
          <w:szCs w:val="22"/>
          <w:color w:val="auto"/>
        </w:rPr>
        <w:t>means, in relation to a Matching Award, the Participant losing the right to receive some or all of the Shares or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comprised in the Award, and </w:t>
      </w:r>
      <w:r>
        <w:rPr>
          <w:rFonts w:ascii="Times New Roman" w:cs="Times New Roman" w:eastAsia="Times New Roman" w:hAnsi="Times New Roman"/>
          <w:sz w:val="22"/>
          <w:szCs w:val="22"/>
          <w:b w:val="1"/>
          <w:bCs w:val="1"/>
          <w:color w:val="auto"/>
        </w:rPr>
        <w:t>“Forfeited”</w:t>
      </w:r>
      <w:r>
        <w:rPr>
          <w:rFonts w:ascii="Times New Roman" w:cs="Times New Roman" w:eastAsia="Times New Roman" w:hAnsi="Times New Roman"/>
          <w:sz w:val="22"/>
          <w:szCs w:val="22"/>
          <w:color w:val="auto"/>
        </w:rPr>
        <w:t xml:space="preserve"> will be understood accordingly;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“Fractional Entitlement” </w:t>
      </w:r>
      <w:r>
        <w:rPr>
          <w:rFonts w:ascii="Times New Roman" w:cs="Times New Roman" w:eastAsia="Times New Roman" w:hAnsi="Times New Roman"/>
          <w:sz w:val="22"/>
          <w:szCs w:val="22"/>
          <w:color w:val="auto"/>
        </w:rPr>
        <w:t>means a right under the Plan to receive an additional cash sum calculated in accordance with:</w:t>
      </w:r>
    </w:p>
    <w:p>
      <w:pPr>
        <w:spacing w:after="0" w:line="183" w:lineRule="exact"/>
        <w:rPr>
          <w:sz w:val="20"/>
          <w:szCs w:val="20"/>
          <w:color w:val="auto"/>
        </w:rPr>
      </w:pPr>
    </w:p>
    <w:p>
      <w:pPr>
        <w:ind w:left="460" w:right="340" w:hanging="452"/>
        <w:spacing w:after="0" w:line="326" w:lineRule="auto"/>
        <w:tabs>
          <w:tab w:leader="none" w:pos="45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5.8 hereof (Fractional Entitlements (Purchased Shares and Matching Shares)) in respect of Purchased Shares and Matching Shares; or</w:t>
      </w:r>
    </w:p>
    <w:p>
      <w:pPr>
        <w:spacing w:after="0" w:line="1"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6.6 hereof (Fractional Entitlements (Matching Share Rights)) in respect of Matching Share Rights;</w:t>
      </w:r>
    </w:p>
    <w:p>
      <w:pPr>
        <w:spacing w:after="0" w:line="189" w:lineRule="exact"/>
        <w:rPr>
          <w:sz w:val="20"/>
          <w:szCs w:val="20"/>
          <w:color w:val="auto"/>
        </w:rPr>
      </w:pPr>
    </w:p>
    <w:p>
      <w:pPr>
        <w:jc w:val="both"/>
        <w:ind w:right="160"/>
        <w:spacing w:after="0" w:line="323" w:lineRule="auto"/>
        <w:rPr>
          <w:sz w:val="20"/>
          <w:szCs w:val="20"/>
          <w:color w:val="auto"/>
        </w:rPr>
      </w:pPr>
      <w:r>
        <w:rPr>
          <w:rFonts w:ascii="Times New Roman" w:cs="Times New Roman" w:eastAsia="Times New Roman" w:hAnsi="Times New Roman"/>
          <w:sz w:val="22"/>
          <w:szCs w:val="22"/>
          <w:b w:val="1"/>
          <w:bCs w:val="1"/>
          <w:color w:val="auto"/>
        </w:rPr>
        <w:t xml:space="preserve">“Group” </w:t>
      </w:r>
      <w:r>
        <w:rPr>
          <w:rFonts w:ascii="Times New Roman" w:cs="Times New Roman" w:eastAsia="Times New Roman" w:hAnsi="Times New Roman"/>
          <w:sz w:val="22"/>
          <w:szCs w:val="22"/>
          <w:color w:val="auto"/>
        </w:rPr>
        <w:t>means the Company and any company or corporation (including a subsidiary) or other affiliate in which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beneficially owns (directly or indirectly) more than 50% of the outstanding voting stock or voting power, and </w:t>
      </w:r>
      <w:r>
        <w:rPr>
          <w:rFonts w:ascii="Times New Roman" w:cs="Times New Roman" w:eastAsia="Times New Roman" w:hAnsi="Times New Roman"/>
          <w:sz w:val="22"/>
          <w:szCs w:val="22"/>
          <w:b w:val="1"/>
          <w:bCs w:val="1"/>
          <w:color w:val="auto"/>
        </w:rPr>
        <w:t>“Member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Group” </w:t>
      </w:r>
      <w:r>
        <w:rPr>
          <w:rFonts w:ascii="Times New Roman" w:cs="Times New Roman" w:eastAsia="Times New Roman" w:hAnsi="Times New Roman"/>
          <w:sz w:val="22"/>
          <w:szCs w:val="22"/>
          <w:color w:val="auto"/>
        </w:rPr>
        <w:t>will be understood accordingly;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“Market Value” </w:t>
      </w:r>
      <w:r>
        <w:rPr>
          <w:rFonts w:ascii="Times New Roman" w:cs="Times New Roman" w:eastAsia="Times New Roman" w:hAnsi="Times New Roman"/>
          <w:sz w:val="22"/>
          <w:szCs w:val="22"/>
          <w:color w:val="auto"/>
        </w:rPr>
        <w:t>on any day means:</w:t>
      </w:r>
    </w:p>
    <w:p>
      <w:pPr>
        <w:spacing w:after="0" w:line="183" w:lineRule="exact"/>
        <w:rPr>
          <w:sz w:val="20"/>
          <w:szCs w:val="20"/>
          <w:color w:val="auto"/>
        </w:rPr>
      </w:pPr>
    </w:p>
    <w:p>
      <w:pPr>
        <w:ind w:left="460" w:hanging="452"/>
        <w:spacing w:after="0" w:line="320" w:lineRule="auto"/>
        <w:tabs>
          <w:tab w:leader="none" w:pos="45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Shares are acquired on the open market, the average price paid per Share to acquire those Shares (excluding any share transfer taxes and all fees and expenses incurred in connection with the purchase, unless the Committee decides otherwise), unless the Committee decides that an alternative definition of the market value of a Share should apply based on selling prices of a Share;</w:t>
      </w:r>
    </w:p>
    <w:p>
      <w:pPr>
        <w:ind w:left="460" w:right="160" w:hanging="452"/>
        <w:spacing w:after="0" w:line="312" w:lineRule="auto"/>
        <w:tabs>
          <w:tab w:leader="none" w:pos="45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Shares are not acquired on the open market, the closing price of a Share (unless determined otherwise by the Committee to be based on the opening, actual, high, low or average selling prices of a Share) reported on any established stock exchange or national market system including without limitation the Nasdaq Global Select Market and the National Market System of the National Association of Securities Dealers, Inc. Automated Quotation System on the applicable date (or, if there were no sales on such date, on the most recent date on which Shares were publicly traded before the applicable date); or</w:t>
      </w:r>
    </w:p>
    <w:p>
      <w:pPr>
        <w:spacing w:after="0" w:line="11"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Shares, the fair market value of a Share as decided by the Committee;</w:t>
      </w:r>
    </w:p>
    <w:p>
      <w:pPr>
        <w:spacing w:after="0" w:line="175" w:lineRule="exact"/>
        <w:rPr>
          <w:sz w:val="20"/>
          <w:szCs w:val="20"/>
          <w:color w:val="auto"/>
        </w:rPr>
      </w:pPr>
    </w:p>
    <w:p>
      <w:pPr>
        <w:ind w:right="540"/>
        <w:spacing w:after="0" w:line="366" w:lineRule="auto"/>
        <w:rPr>
          <w:sz w:val="20"/>
          <w:szCs w:val="20"/>
          <w:color w:val="auto"/>
        </w:rPr>
      </w:pPr>
      <w:r>
        <w:rPr>
          <w:rFonts w:ascii="Times New Roman" w:cs="Times New Roman" w:eastAsia="Times New Roman" w:hAnsi="Times New Roman"/>
          <w:sz w:val="21"/>
          <w:szCs w:val="21"/>
          <w:b w:val="1"/>
          <w:bCs w:val="1"/>
          <w:color w:val="auto"/>
        </w:rPr>
        <w:t xml:space="preserve">“Matching Award” </w:t>
      </w:r>
      <w:r>
        <w:rPr>
          <w:rFonts w:ascii="Times New Roman" w:cs="Times New Roman" w:eastAsia="Times New Roman" w:hAnsi="Times New Roman"/>
          <w:sz w:val="21"/>
          <w:szCs w:val="21"/>
          <w:color w:val="auto"/>
        </w:rPr>
        <w:t>means (i) a Matching Share Right granted under the Plan in connection with Purchased Shares or (ii)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Matching Credit granted under the Plan in connection with Contributions and the resulting purchase of Matching Shares;</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13" w:lineRule="exact"/>
        <w:rPr>
          <w:sz w:val="20"/>
          <w:szCs w:val="20"/>
          <w:color w:val="auto"/>
        </w:rPr>
      </w:pPr>
    </w:p>
    <w:p>
      <w:pPr>
        <w:ind w:right="700"/>
        <w:spacing w:after="0" w:line="339" w:lineRule="auto"/>
        <w:rPr>
          <w:sz w:val="20"/>
          <w:szCs w:val="20"/>
          <w:color w:val="auto"/>
        </w:rPr>
      </w:pPr>
      <w:r>
        <w:rPr>
          <w:rFonts w:ascii="Times New Roman" w:cs="Times New Roman" w:eastAsia="Times New Roman" w:hAnsi="Times New Roman"/>
          <w:sz w:val="22"/>
          <w:szCs w:val="22"/>
          <w:b w:val="1"/>
          <w:bCs w:val="1"/>
          <w:color w:val="auto"/>
        </w:rPr>
        <w:t xml:space="preserve">“Matching Credit” </w:t>
      </w:r>
      <w:r>
        <w:rPr>
          <w:rFonts w:ascii="Times New Roman" w:cs="Times New Roman" w:eastAsia="Times New Roman" w:hAnsi="Times New Roman"/>
          <w:sz w:val="22"/>
          <w:szCs w:val="22"/>
          <w:color w:val="auto"/>
        </w:rPr>
        <w:t>means the amount the Committee decides under Section 6.7 hereof (Matching Credits) and that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credited to the Participant’s Account for the purchase of Shares under the Plan;</w:t>
      </w:r>
    </w:p>
    <w:p>
      <w:pPr>
        <w:spacing w:after="0" w:line="41" w:lineRule="exact"/>
        <w:rPr>
          <w:sz w:val="20"/>
          <w:szCs w:val="20"/>
          <w:color w:val="auto"/>
        </w:rPr>
      </w:pPr>
    </w:p>
    <w:p>
      <w:pPr>
        <w:ind w:right="2340"/>
        <w:spacing w:after="0" w:line="416" w:lineRule="auto"/>
        <w:rPr>
          <w:sz w:val="20"/>
          <w:szCs w:val="20"/>
          <w:color w:val="auto"/>
        </w:rPr>
      </w:pPr>
      <w:r>
        <w:rPr>
          <w:rFonts w:ascii="Times New Roman" w:cs="Times New Roman" w:eastAsia="Times New Roman" w:hAnsi="Times New Roman"/>
          <w:sz w:val="22"/>
          <w:szCs w:val="22"/>
          <w:b w:val="1"/>
          <w:bCs w:val="1"/>
          <w:color w:val="auto"/>
        </w:rPr>
        <w:t xml:space="preserve">“Matching Ratio” </w:t>
      </w:r>
      <w:r>
        <w:rPr>
          <w:rFonts w:ascii="Times New Roman" w:cs="Times New Roman" w:eastAsia="Times New Roman" w:hAnsi="Times New Roman"/>
          <w:sz w:val="22"/>
          <w:szCs w:val="22"/>
          <w:color w:val="auto"/>
        </w:rPr>
        <w:t>means the ratio the Committee decides under Section 6.8 hereof (Matching Ratio);</w:t>
      </w:r>
      <w:r>
        <w:rPr>
          <w:rFonts w:ascii="Times New Roman" w:cs="Times New Roman" w:eastAsia="Times New Roman" w:hAnsi="Times New Roman"/>
          <w:sz w:val="22"/>
          <w:szCs w:val="22"/>
          <w:b w:val="1"/>
          <w:bCs w:val="1"/>
          <w:color w:val="auto"/>
        </w:rPr>
        <w:t xml:space="preserve"> “Matching Share” </w:t>
      </w:r>
      <w:r>
        <w:rPr>
          <w:rFonts w:ascii="Times New Roman" w:cs="Times New Roman" w:eastAsia="Times New Roman" w:hAnsi="Times New Roman"/>
          <w:sz w:val="22"/>
          <w:szCs w:val="22"/>
          <w:color w:val="auto"/>
        </w:rPr>
        <w:t>means a Share purchased with Matching Credits;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“Matching Share Right” </w:t>
      </w:r>
      <w:r>
        <w:rPr>
          <w:rFonts w:ascii="Times New Roman" w:cs="Times New Roman" w:eastAsia="Times New Roman" w:hAnsi="Times New Roman"/>
          <w:sz w:val="22"/>
          <w:szCs w:val="22"/>
          <w:color w:val="auto"/>
        </w:rPr>
        <w:t>means a condition right to acquire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“Offering” </w:t>
      </w:r>
      <w:r>
        <w:rPr>
          <w:rFonts w:ascii="Times New Roman" w:cs="Times New Roman" w:eastAsia="Times New Roman" w:hAnsi="Times New Roman"/>
          <w:sz w:val="22"/>
          <w:szCs w:val="22"/>
          <w:color w:val="auto"/>
        </w:rPr>
        <w:t>mean an offer to participate in the Plan and acquire Shares by way of a grant of an Award;</w:t>
      </w:r>
    </w:p>
    <w:p>
      <w:pPr>
        <w:spacing w:after="0" w:line="179"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22"/>
          <w:szCs w:val="22"/>
          <w:b w:val="1"/>
          <w:bCs w:val="1"/>
          <w:color w:val="auto"/>
        </w:rPr>
        <w:t xml:space="preserve">“Offering Period” </w:t>
      </w:r>
      <w:r>
        <w:rPr>
          <w:rFonts w:ascii="Times New Roman" w:cs="Times New Roman" w:eastAsia="Times New Roman" w:hAnsi="Times New Roman"/>
          <w:sz w:val="22"/>
          <w:szCs w:val="22"/>
          <w:color w:val="auto"/>
        </w:rPr>
        <w:t>means the period specified by the Committee, in accordance with Section 5.2.3, during which a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make Contributions and the Contributions will be applied towards the purchase of Shares;</w:t>
      </w:r>
    </w:p>
    <w:p>
      <w:pPr>
        <w:spacing w:after="0" w:line="41"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22"/>
          <w:szCs w:val="22"/>
          <w:b w:val="1"/>
          <w:bCs w:val="1"/>
          <w:color w:val="auto"/>
        </w:rPr>
        <w:t xml:space="preserve">“Participant” </w:t>
      </w:r>
      <w:r>
        <w:rPr>
          <w:rFonts w:ascii="Times New Roman" w:cs="Times New Roman" w:eastAsia="Times New Roman" w:hAnsi="Times New Roman"/>
          <w:sz w:val="22"/>
          <w:szCs w:val="22"/>
          <w:color w:val="auto"/>
        </w:rPr>
        <w:t>means an Eligible Employee who has elected to participate in the Plan and has been granted a Purchase Right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is holding or has held an Award or, after death, that person’s personal representatives;</w:t>
      </w:r>
    </w:p>
    <w:p>
      <w:pPr>
        <w:spacing w:after="0" w:line="55" w:lineRule="exact"/>
        <w:rPr>
          <w:sz w:val="20"/>
          <w:szCs w:val="20"/>
          <w:color w:val="auto"/>
        </w:rPr>
      </w:pPr>
    </w:p>
    <w:p>
      <w:pPr>
        <w:ind w:right="620"/>
        <w:spacing w:after="0" w:line="332" w:lineRule="auto"/>
        <w:rPr>
          <w:sz w:val="20"/>
          <w:szCs w:val="20"/>
          <w:color w:val="auto"/>
        </w:rPr>
      </w:pPr>
      <w:r>
        <w:rPr>
          <w:rFonts w:ascii="Times New Roman" w:cs="Times New Roman" w:eastAsia="Times New Roman" w:hAnsi="Times New Roman"/>
          <w:sz w:val="22"/>
          <w:szCs w:val="22"/>
          <w:b w:val="1"/>
          <w:bCs w:val="1"/>
          <w:color w:val="auto"/>
        </w:rPr>
        <w:t xml:space="preserve">“Participating Company” </w:t>
      </w:r>
      <w:r>
        <w:rPr>
          <w:rFonts w:ascii="Times New Roman" w:cs="Times New Roman" w:eastAsia="Times New Roman" w:hAnsi="Times New Roman"/>
          <w:sz w:val="22"/>
          <w:szCs w:val="22"/>
          <w:color w:val="auto"/>
        </w:rPr>
        <w:t>means any Member of the Group designated by the Committee to participate in the Plan 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relevant time;</w:t>
      </w:r>
    </w:p>
    <w:p>
      <w:pPr>
        <w:spacing w:after="0" w:line="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“Plan” </w:t>
      </w:r>
      <w:r>
        <w:rPr>
          <w:rFonts w:ascii="Times New Roman" w:cs="Times New Roman" w:eastAsia="Times New Roman" w:hAnsi="Times New Roman"/>
          <w:sz w:val="22"/>
          <w:szCs w:val="22"/>
          <w:color w:val="auto"/>
        </w:rPr>
        <w:t>means the plan constituted by the provisions set forth in this document, known as the Mondelēz International, Inc. Global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Stock Purchase Matching Plan, as amended from time to time;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“Plan Shares” </w:t>
      </w:r>
      <w:r>
        <w:rPr>
          <w:rFonts w:ascii="Times New Roman" w:cs="Times New Roman" w:eastAsia="Times New Roman" w:hAnsi="Times New Roman"/>
          <w:sz w:val="22"/>
          <w:szCs w:val="22"/>
          <w:color w:val="auto"/>
        </w:rPr>
        <w:t>means Shares acquired by a Participant pursuant to the Plan:</w:t>
      </w:r>
    </w:p>
    <w:p>
      <w:pPr>
        <w:spacing w:after="0" w:line="183"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exercise of a Purchase Right; and</w:t>
      </w:r>
    </w:p>
    <w:p>
      <w:pPr>
        <w:spacing w:after="0" w:line="111"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consequence of the Vesting of a Matching Share Right or of Matching Shares;</w:t>
      </w:r>
    </w:p>
    <w:p>
      <w:pPr>
        <w:spacing w:after="0" w:line="175" w:lineRule="exact"/>
        <w:rPr>
          <w:sz w:val="20"/>
          <w:szCs w:val="20"/>
          <w:color w:val="auto"/>
        </w:rPr>
      </w:pPr>
    </w:p>
    <w:p>
      <w:pPr>
        <w:ind w:right="1700"/>
        <w:spacing w:after="0" w:line="409" w:lineRule="auto"/>
        <w:rPr>
          <w:sz w:val="20"/>
          <w:szCs w:val="20"/>
          <w:color w:val="auto"/>
        </w:rPr>
      </w:pPr>
      <w:r>
        <w:rPr>
          <w:rFonts w:ascii="Times New Roman" w:cs="Times New Roman" w:eastAsia="Times New Roman" w:hAnsi="Times New Roman"/>
          <w:sz w:val="22"/>
          <w:szCs w:val="22"/>
          <w:b w:val="1"/>
          <w:bCs w:val="1"/>
          <w:color w:val="auto"/>
        </w:rPr>
        <w:t xml:space="preserve">“Purchase Right” </w:t>
      </w:r>
      <w:r>
        <w:rPr>
          <w:rFonts w:ascii="Times New Roman" w:cs="Times New Roman" w:eastAsia="Times New Roman" w:hAnsi="Times New Roman"/>
          <w:sz w:val="22"/>
          <w:szCs w:val="22"/>
          <w:color w:val="auto"/>
        </w:rPr>
        <w:t>means right to purchase Shares pursuant to the Plan during each Offering Period;</w:t>
      </w:r>
      <w:r>
        <w:rPr>
          <w:rFonts w:ascii="Times New Roman" w:cs="Times New Roman" w:eastAsia="Times New Roman" w:hAnsi="Times New Roman"/>
          <w:sz w:val="22"/>
          <w:szCs w:val="22"/>
          <w:b w:val="1"/>
          <w:bCs w:val="1"/>
          <w:color w:val="auto"/>
        </w:rPr>
        <w:t xml:space="preserve"> “Purchased Shares” </w:t>
      </w:r>
      <w:r>
        <w:rPr>
          <w:rFonts w:ascii="Times New Roman" w:cs="Times New Roman" w:eastAsia="Times New Roman" w:hAnsi="Times New Roman"/>
          <w:sz w:val="22"/>
          <w:szCs w:val="22"/>
          <w:color w:val="auto"/>
        </w:rPr>
        <w:t>means Shares purchased by the Participant under the Plan pursuant to a Purchase Right;</w:t>
      </w:r>
      <w:r>
        <w:rPr>
          <w:rFonts w:ascii="Times New Roman" w:cs="Times New Roman" w:eastAsia="Times New Roman" w:hAnsi="Times New Roman"/>
          <w:sz w:val="22"/>
          <w:szCs w:val="22"/>
          <w:b w:val="1"/>
          <w:bCs w:val="1"/>
          <w:color w:val="auto"/>
        </w:rPr>
        <w:t xml:space="preserve"> “Share” </w:t>
      </w:r>
      <w:r>
        <w:rPr>
          <w:rFonts w:ascii="Times New Roman" w:cs="Times New Roman" w:eastAsia="Times New Roman" w:hAnsi="Times New Roman"/>
          <w:sz w:val="22"/>
          <w:szCs w:val="22"/>
          <w:color w:val="auto"/>
        </w:rPr>
        <w:t>means a share of Class A Common Stock, no par value per share, of the Company;</w:t>
      </w:r>
    </w:p>
    <w:p>
      <w:pPr>
        <w:spacing w:after="0" w:line="3" w:lineRule="exact"/>
        <w:rPr>
          <w:sz w:val="20"/>
          <w:szCs w:val="20"/>
          <w:color w:val="auto"/>
        </w:rPr>
      </w:pPr>
    </w:p>
    <w:p>
      <w:pPr>
        <w:ind w:right="420"/>
        <w:spacing w:after="0" w:line="351" w:lineRule="auto"/>
        <w:rPr>
          <w:sz w:val="20"/>
          <w:szCs w:val="20"/>
          <w:color w:val="auto"/>
        </w:rPr>
      </w:pPr>
      <w:r>
        <w:rPr>
          <w:rFonts w:ascii="Times New Roman" w:cs="Times New Roman" w:eastAsia="Times New Roman" w:hAnsi="Times New Roman"/>
          <w:sz w:val="22"/>
          <w:szCs w:val="22"/>
          <w:b w:val="1"/>
          <w:bCs w:val="1"/>
          <w:color w:val="auto"/>
        </w:rPr>
        <w:t xml:space="preserve">“Subscription Agreement” </w:t>
      </w:r>
      <w:r>
        <w:rPr>
          <w:rFonts w:ascii="Times New Roman" w:cs="Times New Roman" w:eastAsia="Times New Roman" w:hAnsi="Times New Roman"/>
          <w:sz w:val="22"/>
          <w:szCs w:val="22"/>
          <w:color w:val="auto"/>
        </w:rPr>
        <w:t>means an agreement evidencing a Purchase Right and, if applicable, a Matching Award, 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 as the Committee determines from time to time;</w:t>
      </w:r>
    </w:p>
    <w:p>
      <w:pPr>
        <w:spacing w:after="0" w:line="30"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22"/>
          <w:szCs w:val="22"/>
          <w:b w:val="1"/>
          <w:bCs w:val="1"/>
          <w:color w:val="auto"/>
        </w:rPr>
        <w:t xml:space="preserve">“Tax-Related Items” </w:t>
      </w:r>
      <w:r>
        <w:rPr>
          <w:rFonts w:ascii="Times New Roman" w:cs="Times New Roman" w:eastAsia="Times New Roman" w:hAnsi="Times New Roman"/>
          <w:sz w:val="22"/>
          <w:szCs w:val="22"/>
          <w:color w:val="auto"/>
        </w:rPr>
        <w:t>means all national, federal, state or local taxes, including, without limitation, income tax, social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contributions (or similar contributions), payroll tax,</w:t>
      </w:r>
    </w:p>
    <w:p>
      <w:pPr>
        <w:sectPr>
          <w:pgSz w:w="11900" w:h="16838" w:orient="portrait"/>
          <w:cols w:equalWidth="0" w:num="1">
            <w:col w:w="11200"/>
          </w:cols>
          <w:pgMar w:left="320" w:top="1440" w:right="379" w:bottom="1440" w:gutter="0" w:footer="0" w:header="0"/>
        </w:sectPr>
      </w:pPr>
    </w:p>
    <w:bookmarkStart w:id="62" w:name="page63"/>
    <w:bookmarkEnd w:id="62"/>
    <w:p>
      <w:pPr>
        <w:spacing w:after="0" w:line="9" w:lineRule="exact"/>
        <w:rPr>
          <w:sz w:val="20"/>
          <w:szCs w:val="20"/>
          <w:color w:val="auto"/>
        </w:rPr>
      </w:pPr>
    </w:p>
    <w:p>
      <w:pPr>
        <w:ind w:right="460"/>
        <w:spacing w:after="0" w:line="342" w:lineRule="auto"/>
        <w:rPr>
          <w:sz w:val="20"/>
          <w:szCs w:val="20"/>
          <w:color w:val="auto"/>
        </w:rPr>
      </w:pPr>
      <w:r>
        <w:rPr>
          <w:rFonts w:ascii="Times New Roman" w:cs="Times New Roman" w:eastAsia="Times New Roman" w:hAnsi="Times New Roman"/>
          <w:sz w:val="21"/>
          <w:szCs w:val="21"/>
          <w:color w:val="auto"/>
        </w:rPr>
        <w:t>fringe benefits tax, payment on account, employment tax, stamp tax and any other tax or tax-related items related to the Participant’s participation in the Plan and legally applicable or deemed applicable to the Participant, including any employer liability for which the Participant is liable pursuant to applicable laws or an agreement entered into under the Plan;</w:t>
      </w:r>
    </w:p>
    <w:p>
      <w:pPr>
        <w:spacing w:after="0" w:line="44" w:lineRule="exact"/>
        <w:rPr>
          <w:sz w:val="20"/>
          <w:szCs w:val="20"/>
          <w:color w:val="auto"/>
        </w:rPr>
      </w:pPr>
    </w:p>
    <w:p>
      <w:pPr>
        <w:ind w:right="180"/>
        <w:spacing w:after="0" w:line="329" w:lineRule="auto"/>
        <w:rPr>
          <w:sz w:val="20"/>
          <w:szCs w:val="20"/>
          <w:color w:val="auto"/>
        </w:rPr>
      </w:pPr>
      <w:r>
        <w:rPr>
          <w:rFonts w:ascii="Times New Roman" w:cs="Times New Roman" w:eastAsia="Times New Roman" w:hAnsi="Times New Roman"/>
          <w:sz w:val="22"/>
          <w:szCs w:val="22"/>
          <w:b w:val="1"/>
          <w:bCs w:val="1"/>
          <w:color w:val="auto"/>
        </w:rPr>
        <w:t xml:space="preserve">“Termination of Service” </w:t>
      </w:r>
      <w:r>
        <w:rPr>
          <w:rFonts w:ascii="Times New Roman" w:cs="Times New Roman" w:eastAsia="Times New Roman" w:hAnsi="Times New Roman"/>
          <w:sz w:val="22"/>
          <w:szCs w:val="22"/>
          <w:color w:val="auto"/>
        </w:rPr>
        <w:t>means ceasing to be employed within the Group or, if the Committee decides, the earlier point when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to terminate any and all employment within the Group is given or received or active employment terminates (as determined in the sole discretion of the Committee);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“U.S.,” “U.S.A.” </w:t>
      </w:r>
      <w:r>
        <w:rPr>
          <w:rFonts w:ascii="Times New Roman" w:cs="Times New Roman" w:eastAsia="Times New Roman" w:hAnsi="Times New Roman"/>
          <w:sz w:val="22"/>
          <w:szCs w:val="22"/>
          <w:color w:val="auto"/>
        </w:rPr>
        <w:t>and/or</w:t>
      </w:r>
      <w:r>
        <w:rPr>
          <w:rFonts w:ascii="Times New Roman" w:cs="Times New Roman" w:eastAsia="Times New Roman" w:hAnsi="Times New Roman"/>
          <w:sz w:val="22"/>
          <w:szCs w:val="22"/>
          <w:b w:val="1"/>
          <w:bCs w:val="1"/>
          <w:color w:val="auto"/>
        </w:rPr>
        <w:t xml:space="preserve"> “United States” </w:t>
      </w:r>
      <w:r>
        <w:rPr>
          <w:rFonts w:ascii="Times New Roman" w:cs="Times New Roman" w:eastAsia="Times New Roman" w:hAnsi="Times New Roman"/>
          <w:sz w:val="22"/>
          <w:szCs w:val="22"/>
          <w:color w:val="auto"/>
        </w:rPr>
        <w:t>means the United States of America;</w:t>
      </w:r>
    </w:p>
    <w:p>
      <w:pPr>
        <w:spacing w:after="0" w:line="179" w:lineRule="exact"/>
        <w:rPr>
          <w:sz w:val="20"/>
          <w:szCs w:val="20"/>
          <w:color w:val="auto"/>
        </w:rPr>
      </w:pPr>
    </w:p>
    <w:p>
      <w:pPr>
        <w:jc w:val="both"/>
        <w:ind w:right="460"/>
        <w:spacing w:after="0" w:line="323" w:lineRule="auto"/>
        <w:rPr>
          <w:sz w:val="20"/>
          <w:szCs w:val="20"/>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means, in relation to a Matching Award, the Participant becoming entitled to the Shares subject to the Award, and</w:t>
      </w:r>
      <w:r>
        <w:rPr>
          <w:rFonts w:ascii="Times New Roman" w:cs="Times New Roman" w:eastAsia="Times New Roman" w:hAnsi="Times New Roman"/>
          <w:sz w:val="22"/>
          <w:szCs w:val="22"/>
          <w:b w:val="1"/>
          <w:bCs w:val="1"/>
          <w:color w:val="auto"/>
        </w:rPr>
        <w:t xml:space="preserve"> “Vested”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“Unvested” </w:t>
      </w:r>
      <w:r>
        <w:rPr>
          <w:rFonts w:ascii="Times New Roman" w:cs="Times New Roman" w:eastAsia="Times New Roman" w:hAnsi="Times New Roman"/>
          <w:sz w:val="22"/>
          <w:szCs w:val="22"/>
          <w:color w:val="auto"/>
        </w:rPr>
        <w:t>will be understood accordingly, and</w:t>
      </w:r>
      <w:r>
        <w:rPr>
          <w:rFonts w:ascii="Times New Roman" w:cs="Times New Roman" w:eastAsia="Times New Roman" w:hAnsi="Times New Roman"/>
          <w:sz w:val="22"/>
          <w:szCs w:val="22"/>
          <w:b w:val="1"/>
          <w:bCs w:val="1"/>
          <w:color w:val="auto"/>
        </w:rPr>
        <w:t xml:space="preserve"> “Vesting Date” </w:t>
      </w:r>
      <w:r>
        <w:rPr>
          <w:rFonts w:ascii="Times New Roman" w:cs="Times New Roman" w:eastAsia="Times New Roman" w:hAnsi="Times New Roman"/>
          <w:sz w:val="22"/>
          <w:szCs w:val="22"/>
          <w:color w:val="auto"/>
        </w:rPr>
        <w:t>shall mean the date on which the Matching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vests; 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“1934 Act” </w:t>
      </w:r>
      <w:r>
        <w:rPr>
          <w:rFonts w:ascii="Times New Roman" w:cs="Times New Roman" w:eastAsia="Times New Roman" w:hAnsi="Times New Roman"/>
          <w:sz w:val="22"/>
          <w:szCs w:val="22"/>
          <w:color w:val="auto"/>
        </w:rPr>
        <w:t>means the United States Securities Exchange Act of 1934, as amended from time to time.</w:t>
      </w:r>
    </w:p>
    <w:p>
      <w:pPr>
        <w:spacing w:after="0" w:line="1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Interpretation</w:t>
      </w:r>
    </w:p>
    <w:p>
      <w:pPr>
        <w:spacing w:after="0" w:line="183" w:lineRule="exact"/>
        <w:rPr>
          <w:sz w:val="20"/>
          <w:szCs w:val="20"/>
          <w:color w:val="auto"/>
        </w:rPr>
      </w:pPr>
    </w:p>
    <w:p>
      <w:pPr>
        <w:ind w:right="20"/>
        <w:spacing w:after="0" w:line="321" w:lineRule="auto"/>
        <w:rPr>
          <w:sz w:val="20"/>
          <w:szCs w:val="20"/>
          <w:color w:val="auto"/>
        </w:rPr>
      </w:pPr>
      <w:r>
        <w:rPr>
          <w:rFonts w:ascii="Times New Roman" w:cs="Times New Roman" w:eastAsia="Times New Roman" w:hAnsi="Times New Roman"/>
          <w:sz w:val="22"/>
          <w:szCs w:val="22"/>
          <w:color w:val="auto"/>
        </w:rPr>
        <w:t>In the Plan, the singular includes the plural and the plural includes the singular. References to any statute or statutory requirement will be understood as references to that statute or requirement as amended and they include any subordinate legislation made under it.</w:t>
      </w:r>
    </w:p>
    <w:p>
      <w:pPr>
        <w:spacing w:after="0" w:line="61"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19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Eligible Employee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order to be an Eligible Employee, a person must:</w:t>
      </w:r>
    </w:p>
    <w:p>
      <w:pPr>
        <w:spacing w:after="0" w:line="179"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be an employee of a Participating Company;</w:t>
      </w:r>
    </w:p>
    <w:p>
      <w:pPr>
        <w:spacing w:after="0" w:line="112"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meet any qualifying period imposed by virtue of Section 2.2 hereof (Qualifying Period);</w:t>
      </w:r>
    </w:p>
    <w:p>
      <w:pPr>
        <w:spacing w:after="0" w:line="98" w:lineRule="exact"/>
        <w:rPr>
          <w:sz w:val="20"/>
          <w:szCs w:val="20"/>
          <w:color w:val="auto"/>
        </w:rPr>
      </w:pPr>
    </w:p>
    <w:p>
      <w:pPr>
        <w:ind w:left="1100" w:right="120" w:hanging="647"/>
        <w:spacing w:after="0" w:line="326" w:lineRule="auto"/>
        <w:tabs>
          <w:tab w:leader="none" w:pos="1080" w:val="left"/>
        </w:tabs>
        <w:rPr>
          <w:sz w:val="20"/>
          <w:szCs w:val="20"/>
          <w:color w:val="auto"/>
        </w:rPr>
      </w:pPr>
      <w:r>
        <w:rPr>
          <w:rFonts w:ascii="Times New Roman" w:cs="Times New Roman" w:eastAsia="Times New Roman" w:hAnsi="Times New Roman"/>
          <w:sz w:val="22"/>
          <w:szCs w:val="22"/>
          <w:color w:val="auto"/>
        </w:rPr>
        <w:t>2.1.3</w:t>
        <w:tab/>
        <w:t>to the extent determined by the Committee, not be on a Company-sponsored long-term international assignment (as determined by the Committee);</w:t>
      </w:r>
    </w:p>
    <w:p>
      <w:pPr>
        <w:spacing w:after="0" w:line="1"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not be subject to the reporting requirements of Section 16(a) of the 1934 Act; and</w:t>
      </w:r>
    </w:p>
    <w:p>
      <w:pPr>
        <w:spacing w:after="0" w:line="112"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not be excluded by the Committee under Section 2.3 hereof (Committee Discretion).</w:t>
      </w:r>
    </w:p>
    <w:p>
      <w:pPr>
        <w:spacing w:after="0" w:line="179" w:lineRule="exact"/>
        <w:rPr>
          <w:sz w:val="20"/>
          <w:szCs w:val="20"/>
          <w:color w:val="auto"/>
        </w:rPr>
      </w:pPr>
    </w:p>
    <w:p>
      <w:pPr>
        <w:spacing w:after="0" w:line="348" w:lineRule="auto"/>
        <w:rPr>
          <w:sz w:val="20"/>
          <w:szCs w:val="20"/>
          <w:color w:val="auto"/>
        </w:rPr>
      </w:pPr>
      <w:r>
        <w:rPr>
          <w:rFonts w:ascii="Times New Roman" w:cs="Times New Roman" w:eastAsia="Times New Roman" w:hAnsi="Times New Roman"/>
          <w:sz w:val="22"/>
          <w:szCs w:val="22"/>
          <w:color w:val="auto"/>
        </w:rPr>
        <w:t>For Awards of Purchase Rights and Matching Awards, these criteria must be met at the time of an Offering (and any later time the Committee decides, which may include the time a Contribution is made by the Participant and/or the Exercise Date).</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17" w:lineRule="exact"/>
        <w:rPr>
          <w:sz w:val="20"/>
          <w:szCs w:val="20"/>
          <w:color w:val="auto"/>
        </w:rPr>
      </w:pPr>
    </w:p>
    <w:p>
      <w:pPr>
        <w:jc w:val="both"/>
        <w:ind w:right="120"/>
        <w:spacing w:after="0" w:line="362" w:lineRule="auto"/>
        <w:rPr>
          <w:sz w:val="20"/>
          <w:szCs w:val="20"/>
          <w:color w:val="auto"/>
        </w:rPr>
      </w:pPr>
      <w:r>
        <w:rPr>
          <w:rFonts w:ascii="Times New Roman" w:cs="Times New Roman" w:eastAsia="Times New Roman" w:hAnsi="Times New Roman"/>
          <w:sz w:val="21"/>
          <w:szCs w:val="21"/>
          <w:color w:val="auto"/>
        </w:rPr>
        <w:t>If these criteria are not met at the relevant date, then participation in the Plan will not be permitted, any Contributions taken will be returned to the Participant and Section 3.4 hereof (Administrative Errors) will apply to any Award that may be made in error.</w:t>
      </w:r>
    </w:p>
    <w:p>
      <w:pPr>
        <w:spacing w:after="0" w:line="2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Qualifying Period</w:t>
      </w:r>
    </w:p>
    <w:p>
      <w:pPr>
        <w:spacing w:after="0" w:line="183" w:lineRule="exact"/>
        <w:rPr>
          <w:sz w:val="20"/>
          <w:szCs w:val="20"/>
          <w:color w:val="auto"/>
        </w:rPr>
      </w:pPr>
    </w:p>
    <w:p>
      <w:pPr>
        <w:ind w:right="640"/>
        <w:spacing w:after="0" w:line="348" w:lineRule="auto"/>
        <w:rPr>
          <w:sz w:val="20"/>
          <w:szCs w:val="20"/>
          <w:color w:val="auto"/>
        </w:rPr>
      </w:pPr>
      <w:r>
        <w:rPr>
          <w:rFonts w:ascii="Times New Roman" w:cs="Times New Roman" w:eastAsia="Times New Roman" w:hAnsi="Times New Roman"/>
          <w:sz w:val="22"/>
          <w:szCs w:val="22"/>
          <w:color w:val="auto"/>
        </w:rPr>
        <w:t>The Committee may require a person to have continuous employment with any Member of the Group or with one or more Participating Companies over a specified period in order to be an Eligible Employee.</w:t>
      </w:r>
    </w:p>
    <w:p>
      <w:pPr>
        <w:spacing w:after="0" w:line="3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Committee Discretion</w:t>
      </w:r>
    </w:p>
    <w:p>
      <w:pPr>
        <w:spacing w:after="0" w:line="183" w:lineRule="exact"/>
        <w:rPr>
          <w:sz w:val="20"/>
          <w:szCs w:val="20"/>
          <w:color w:val="auto"/>
        </w:rPr>
      </w:pPr>
    </w:p>
    <w:p>
      <w:pPr>
        <w:ind w:right="200"/>
        <w:spacing w:after="0" w:line="321" w:lineRule="auto"/>
        <w:rPr>
          <w:sz w:val="20"/>
          <w:szCs w:val="20"/>
          <w:color w:val="auto"/>
        </w:rPr>
      </w:pPr>
      <w:r>
        <w:rPr>
          <w:rFonts w:ascii="Times New Roman" w:cs="Times New Roman" w:eastAsia="Times New Roman" w:hAnsi="Times New Roman"/>
          <w:sz w:val="22"/>
          <w:szCs w:val="22"/>
          <w:color w:val="auto"/>
        </w:rPr>
        <w:t>The Committee shall have the discretion to determine an individual’s status as an “Eligible Employee” in the case of any of the following, regardless of any subsequent reclassification as an employee by the Company or a Participating Company, any governmental agency, or any court:</w:t>
      </w:r>
    </w:p>
    <w:p>
      <w:pPr>
        <w:spacing w:after="0" w:line="65"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color w:val="auto"/>
        </w:rPr>
        <w:t>any independent contractor;</w:t>
      </w:r>
    </w:p>
    <w:p>
      <w:pPr>
        <w:spacing w:after="0" w:line="112"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1"/>
          <w:szCs w:val="21"/>
          <w:color w:val="auto"/>
        </w:rPr>
        <w:t>any consultant;</w:t>
      </w:r>
    </w:p>
    <w:p>
      <w:pPr>
        <w:spacing w:after="0" w:line="112" w:lineRule="exact"/>
        <w:rPr>
          <w:sz w:val="20"/>
          <w:szCs w:val="20"/>
          <w:color w:val="auto"/>
        </w:rPr>
      </w:pPr>
    </w:p>
    <w:p>
      <w:pPr>
        <w:ind w:left="1100" w:right="1020" w:hanging="647"/>
        <w:spacing w:after="0" w:line="326" w:lineRule="auto"/>
        <w:tabs>
          <w:tab w:leader="none" w:pos="1080" w:val="left"/>
        </w:tabs>
        <w:rPr>
          <w:sz w:val="20"/>
          <w:szCs w:val="20"/>
          <w:color w:val="auto"/>
        </w:rPr>
      </w:pPr>
      <w:r>
        <w:rPr>
          <w:rFonts w:ascii="Times New Roman" w:cs="Times New Roman" w:eastAsia="Times New Roman" w:hAnsi="Times New Roman"/>
          <w:sz w:val="22"/>
          <w:szCs w:val="22"/>
          <w:color w:val="auto"/>
        </w:rPr>
        <w:t>2.3.3</w:t>
        <w:tab/>
        <w:t>any individual performing services for the Company or a Participating Company who has entered into an independent contractor or consultant agreement with the Company or a Participating Company;</w:t>
      </w:r>
    </w:p>
    <w:p>
      <w:pPr>
        <w:spacing w:after="0" w:line="1" w:lineRule="exact"/>
        <w:rPr>
          <w:sz w:val="20"/>
          <w:szCs w:val="20"/>
          <w:color w:val="auto"/>
        </w:rPr>
      </w:pPr>
    </w:p>
    <w:p>
      <w:pPr>
        <w:ind w:left="1100" w:right="40" w:hanging="647"/>
        <w:spacing w:after="0" w:line="320" w:lineRule="auto"/>
        <w:tabs>
          <w:tab w:leader="none" w:pos="1080" w:val="left"/>
        </w:tabs>
        <w:rPr>
          <w:sz w:val="20"/>
          <w:szCs w:val="20"/>
          <w:color w:val="auto"/>
        </w:rPr>
      </w:pPr>
      <w:r>
        <w:rPr>
          <w:rFonts w:ascii="Times New Roman" w:cs="Times New Roman" w:eastAsia="Times New Roman" w:hAnsi="Times New Roman"/>
          <w:sz w:val="22"/>
          <w:szCs w:val="22"/>
          <w:color w:val="auto"/>
        </w:rPr>
        <w:t>2.3.4</w:t>
        <w:tab/>
        <w:t>any individual performing services for the Company or a Participating Company under an independent contractor or consultant agreement, a purchase order, a supplier agreement or any other agreement that the Company or a Participating Company enters into for services;</w:t>
      </w:r>
    </w:p>
    <w:p>
      <w:pPr>
        <w:spacing w:after="0" w:line="1" w:lineRule="exact"/>
        <w:rPr>
          <w:sz w:val="20"/>
          <w:szCs w:val="20"/>
          <w:color w:val="auto"/>
        </w:rPr>
      </w:pPr>
    </w:p>
    <w:p>
      <w:pPr>
        <w:ind w:left="1100" w:hanging="647"/>
        <w:spacing w:after="0" w:line="326" w:lineRule="auto"/>
        <w:tabs>
          <w:tab w:leader="none" w:pos="1080" w:val="left"/>
        </w:tabs>
        <w:rPr>
          <w:sz w:val="20"/>
          <w:szCs w:val="20"/>
          <w:color w:val="auto"/>
        </w:rPr>
      </w:pPr>
      <w:r>
        <w:rPr>
          <w:rFonts w:ascii="Times New Roman" w:cs="Times New Roman" w:eastAsia="Times New Roman" w:hAnsi="Times New Roman"/>
          <w:sz w:val="22"/>
          <w:szCs w:val="22"/>
          <w:color w:val="auto"/>
        </w:rPr>
        <w:t>2.3.5</w:t>
        <w:tab/>
        <w:t>any individual classified by the Company or a Participating Company as contract labor (such as contractors, contract employees, job shoppers), regardless of length of service;</w:t>
      </w:r>
    </w:p>
    <w:p>
      <w:pPr>
        <w:spacing w:after="0" w:line="1" w:lineRule="exact"/>
        <w:rPr>
          <w:sz w:val="20"/>
          <w:szCs w:val="20"/>
          <w:color w:val="auto"/>
        </w:rPr>
      </w:pPr>
    </w:p>
    <w:p>
      <w:pPr>
        <w:ind w:left="1100" w:right="540" w:hanging="647"/>
        <w:spacing w:after="0" w:line="326" w:lineRule="auto"/>
        <w:tabs>
          <w:tab w:leader="none" w:pos="1080" w:val="left"/>
        </w:tabs>
        <w:rPr>
          <w:sz w:val="20"/>
          <w:szCs w:val="20"/>
          <w:color w:val="auto"/>
        </w:rPr>
      </w:pPr>
      <w:r>
        <w:rPr>
          <w:rFonts w:ascii="Times New Roman" w:cs="Times New Roman" w:eastAsia="Times New Roman" w:hAnsi="Times New Roman"/>
          <w:sz w:val="22"/>
          <w:szCs w:val="22"/>
          <w:color w:val="auto"/>
        </w:rPr>
        <w:t>2.3.6</w:t>
        <w:tab/>
        <w:t>any individual whose base wage or salary is not processed for payment by the payroll department(s) or payroll provider(s) of the Company or a Participating Company; and</w:t>
      </w:r>
    </w:p>
    <w:p>
      <w:pPr>
        <w:spacing w:after="0" w:line="1" w:lineRule="exact"/>
        <w:rPr>
          <w:sz w:val="20"/>
          <w:szCs w:val="20"/>
          <w:color w:val="auto"/>
        </w:rPr>
      </w:pPr>
    </w:p>
    <w:p>
      <w:pPr>
        <w:ind w:left="1100" w:right="600" w:hanging="647"/>
        <w:spacing w:after="0" w:line="335" w:lineRule="auto"/>
        <w:tabs>
          <w:tab w:leader="none" w:pos="1080" w:val="left"/>
        </w:tabs>
        <w:rPr>
          <w:sz w:val="20"/>
          <w:szCs w:val="20"/>
          <w:color w:val="auto"/>
        </w:rPr>
      </w:pPr>
      <w:r>
        <w:rPr>
          <w:rFonts w:ascii="Times New Roman" w:cs="Times New Roman" w:eastAsia="Times New Roman" w:hAnsi="Times New Roman"/>
          <w:sz w:val="22"/>
          <w:szCs w:val="22"/>
          <w:color w:val="auto"/>
        </w:rPr>
        <w:t>2.3.7</w:t>
        <w:tab/>
        <w:t>any employee who is leased from or otherwise employed by a third party, including, for clarity, a professional employer organization.</w:t>
      </w:r>
    </w:p>
    <w:p>
      <w:pPr>
        <w:spacing w:after="0" w:line="50" w:lineRule="exact"/>
        <w:rPr>
          <w:sz w:val="20"/>
          <w:szCs w:val="20"/>
          <w:color w:val="auto"/>
        </w:rPr>
      </w:pPr>
    </w:p>
    <w:p>
      <w:pPr>
        <w:ind w:right="260"/>
        <w:spacing w:after="0" w:line="348" w:lineRule="auto"/>
        <w:rPr>
          <w:sz w:val="20"/>
          <w:szCs w:val="20"/>
          <w:color w:val="auto"/>
        </w:rPr>
      </w:pPr>
      <w:r>
        <w:rPr>
          <w:rFonts w:ascii="Times New Roman" w:cs="Times New Roman" w:eastAsia="Times New Roman" w:hAnsi="Times New Roman"/>
          <w:sz w:val="22"/>
          <w:szCs w:val="22"/>
          <w:color w:val="auto"/>
        </w:rPr>
        <w:t>The Committee shall have exclusive discretion to determine whether an individual is an Eligible Employee for purposes of the Plan.</w:t>
      </w:r>
    </w:p>
    <w:p>
      <w:pPr>
        <w:sectPr>
          <w:pgSz w:w="11900" w:h="16838" w:orient="portrait"/>
          <w:cols w:equalWidth="0" w:num="1">
            <w:col w:w="11200"/>
          </w:cols>
          <w:pgMar w:left="320" w:top="1440" w:right="379" w:bottom="1440" w:gutter="0" w:footer="0" w:header="0"/>
        </w:sectPr>
      </w:pPr>
    </w:p>
    <w:bookmarkStart w:id="64" w:name="page65"/>
    <w:bookmarkEnd w:id="64"/>
    <w:p>
      <w:pPr>
        <w:spacing w:after="0" w:line="117" w:lineRule="exact"/>
        <w:rPr>
          <w:sz w:val="20"/>
          <w:szCs w:val="20"/>
          <w:color w:val="auto"/>
        </w:rPr>
      </w:pPr>
    </w:p>
    <w:p>
      <w:pPr>
        <w:spacing w:after="0" w:line="335" w:lineRule="auto"/>
        <w:rPr>
          <w:sz w:val="20"/>
          <w:szCs w:val="20"/>
          <w:color w:val="auto"/>
        </w:rPr>
      </w:pPr>
      <w:r>
        <w:rPr>
          <w:rFonts w:ascii="Times New Roman" w:cs="Times New Roman" w:eastAsia="Times New Roman" w:hAnsi="Times New Roman"/>
          <w:sz w:val="22"/>
          <w:szCs w:val="22"/>
          <w:color w:val="auto"/>
        </w:rPr>
        <w:t>The Committee will have the exclusive discretion to determine whether a person will or will not be an Eligible Employee, even if that person otherwise meets the requirements of Section 2.1 hereof (Eligible Employee).</w:t>
      </w:r>
    </w:p>
    <w:p>
      <w:pPr>
        <w:spacing w:after="0" w:line="46"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Offerings</w:t>
      </w:r>
    </w:p>
    <w:p>
      <w:pPr>
        <w:spacing w:after="0" w:line="1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Timing of Offering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Offering may be made at any time, subject to Dealing Restrictions.</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19"/>
          <w:szCs w:val="19"/>
          <w:b w:val="1"/>
          <w:bCs w:val="1"/>
          <w:color w:val="auto"/>
        </w:rPr>
        <w:t>Award Type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connection with each Offering, the Committee may award:</w:t>
      </w:r>
    </w:p>
    <w:p>
      <w:pPr>
        <w:spacing w:after="0" w:line="179"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1"/>
          <w:szCs w:val="21"/>
          <w:color w:val="auto"/>
        </w:rPr>
        <w:t>a Purchase Right; and</w:t>
      </w:r>
    </w:p>
    <w:p>
      <w:pPr>
        <w:spacing w:after="0" w:line="112"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3.2.2</w:t>
      </w:r>
      <w:r>
        <w:rPr>
          <w:sz w:val="20"/>
          <w:szCs w:val="20"/>
          <w:color w:val="auto"/>
        </w:rPr>
        <w:tab/>
      </w:r>
      <w:r>
        <w:rPr>
          <w:rFonts w:ascii="Times New Roman" w:cs="Times New Roman" w:eastAsia="Times New Roman" w:hAnsi="Times New Roman"/>
          <w:sz w:val="21"/>
          <w:szCs w:val="21"/>
          <w:color w:val="auto"/>
        </w:rPr>
        <w:t>if Purchase Right is awarded, Matching Awards.</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Timing of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Awards may be made at any time, subject to Dealing Restrictions.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Offerings may commence after the termination of the Plan.</w:t>
      </w:r>
    </w:p>
    <w:p>
      <w:pPr>
        <w:spacing w:after="0" w:line="18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Administrative Errors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the Committee decides otherwise, if the Committee makes an Award:</w:t>
      </w:r>
    </w:p>
    <w:p>
      <w:pPr>
        <w:spacing w:after="0" w:line="179"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3.4.1</w:t>
        <w:tab/>
        <w:t>in error:</w:t>
      </w:r>
    </w:p>
    <w:p>
      <w:pPr>
        <w:spacing w:after="0" w:line="179" w:lineRule="exact"/>
        <w:rPr>
          <w:sz w:val="20"/>
          <w:szCs w:val="20"/>
          <w:color w:val="auto"/>
        </w:rPr>
      </w:pPr>
    </w:p>
    <w:p>
      <w:pPr>
        <w:ind w:left="1560" w:hanging="450"/>
        <w:spacing w:after="0"/>
        <w:tabs>
          <w:tab w:leader="none" w:pos="15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be deemed never to have been granted and/or will immediately be Forfeited; or</w:t>
      </w:r>
    </w:p>
    <w:p>
      <w:pPr>
        <w:spacing w:after="0" w:line="111" w:lineRule="exact"/>
        <w:rPr>
          <w:rFonts w:ascii="Times New Roman" w:cs="Times New Roman" w:eastAsia="Times New Roman" w:hAnsi="Times New Roman"/>
          <w:sz w:val="22"/>
          <w:szCs w:val="22"/>
          <w:color w:val="auto"/>
        </w:rPr>
      </w:pPr>
    </w:p>
    <w:p>
      <w:pPr>
        <w:ind w:left="1560" w:right="860" w:hanging="450"/>
        <w:spacing w:after="0" w:line="335" w:lineRule="auto"/>
        <w:tabs>
          <w:tab w:leader="none" w:pos="155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Purchased Shares, the relevant Shares will immediately be Forfeited and any associated Contributions returned to the Participant; and/or</w:t>
      </w:r>
    </w:p>
    <w:p>
      <w:pPr>
        <w:spacing w:after="0" w:line="50"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3.4.2</w:t>
      </w:r>
      <w:r>
        <w:rPr>
          <w:sz w:val="20"/>
          <w:szCs w:val="20"/>
          <w:color w:val="auto"/>
        </w:rPr>
        <w:tab/>
      </w:r>
      <w:r>
        <w:rPr>
          <w:rFonts w:ascii="Times New Roman" w:cs="Times New Roman" w:eastAsia="Times New Roman" w:hAnsi="Times New Roman"/>
          <w:sz w:val="21"/>
          <w:szCs w:val="21"/>
          <w:color w:val="auto"/>
        </w:rPr>
        <w:t>that is inconsistent with any provisions in the Plan:</w:t>
      </w:r>
    </w:p>
    <w:p>
      <w:pPr>
        <w:spacing w:after="0" w:line="179" w:lineRule="exact"/>
        <w:rPr>
          <w:sz w:val="20"/>
          <w:szCs w:val="20"/>
          <w:color w:val="auto"/>
        </w:rPr>
      </w:pPr>
    </w:p>
    <w:p>
      <w:pPr>
        <w:ind w:left="1560" w:right="360" w:hanging="450"/>
        <w:spacing w:after="0" w:line="326" w:lineRule="auto"/>
        <w:tabs>
          <w:tab w:leader="none" w:pos="155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take effect only to the extent permissible under the Plan, and will otherwise be deemed never to have been granted and/or will immediately be Forfeited; or</w:t>
      </w:r>
    </w:p>
    <w:p>
      <w:pPr>
        <w:spacing w:after="0" w:line="1" w:lineRule="exact"/>
        <w:rPr>
          <w:rFonts w:ascii="Times New Roman" w:cs="Times New Roman" w:eastAsia="Times New Roman" w:hAnsi="Times New Roman"/>
          <w:sz w:val="22"/>
          <w:szCs w:val="22"/>
          <w:color w:val="auto"/>
        </w:rPr>
      </w:pPr>
    </w:p>
    <w:p>
      <w:pPr>
        <w:ind w:left="1560" w:right="560" w:hanging="450"/>
        <w:spacing w:after="0" w:line="335" w:lineRule="auto"/>
        <w:tabs>
          <w:tab w:leader="none" w:pos="155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Purchase Right, it will immediately be Forfeited in respect of the relevant Shares and any associated Contributions returned to the Participant.</w:t>
      </w:r>
    </w:p>
    <w:p>
      <w:pPr>
        <w:spacing w:after="0" w:line="4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color w:val="auto"/>
        </w:rPr>
        <w:t>Captive Broker</w:t>
      </w:r>
    </w:p>
    <w:p>
      <w:pPr>
        <w:sectPr>
          <w:pgSz w:w="11900" w:h="16838" w:orient="portrait"/>
          <w:cols w:equalWidth="0" w:num="1">
            <w:col w:w="11200"/>
          </w:cols>
          <w:pgMar w:left="320" w:top="1440" w:right="379" w:bottom="1440" w:gutter="0" w:footer="0" w:header="0"/>
        </w:sectPr>
      </w:pPr>
    </w:p>
    <w:bookmarkStart w:id="65" w:name="page66"/>
    <w:bookmarkEnd w:id="65"/>
    <w:p>
      <w:pPr>
        <w:spacing w:after="0" w:line="117" w:lineRule="exact"/>
        <w:rPr>
          <w:sz w:val="20"/>
          <w:szCs w:val="20"/>
          <w:color w:val="auto"/>
        </w:rPr>
      </w:pPr>
    </w:p>
    <w:p>
      <w:pPr>
        <w:ind w:right="180"/>
        <w:spacing w:after="0" w:line="335" w:lineRule="auto"/>
        <w:rPr>
          <w:sz w:val="20"/>
          <w:szCs w:val="20"/>
          <w:color w:val="auto"/>
        </w:rPr>
      </w:pPr>
      <w:r>
        <w:rPr>
          <w:rFonts w:ascii="Times New Roman" w:cs="Times New Roman" w:eastAsia="Times New Roman" w:hAnsi="Times New Roman"/>
          <w:sz w:val="22"/>
          <w:szCs w:val="22"/>
          <w:color w:val="auto"/>
        </w:rPr>
        <w:t>To the extent determined by the Committee, the Plan Shares will be held by the Company’s stock plan broker determined by the Company at all times prior to the sale or disposition of the Shares by the Participant.</w:t>
      </w:r>
    </w:p>
    <w:p>
      <w:pPr>
        <w:spacing w:after="0" w:line="32"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 Limit</w:t>
      </w:r>
    </w:p>
    <w:p>
      <w:pPr>
        <w:spacing w:after="0" w:line="183" w:lineRule="exact"/>
        <w:rPr>
          <w:sz w:val="20"/>
          <w:szCs w:val="20"/>
          <w:color w:val="auto"/>
        </w:rPr>
      </w:pPr>
    </w:p>
    <w:p>
      <w:pPr>
        <w:ind w:right="900"/>
        <w:spacing w:after="0" w:line="335" w:lineRule="auto"/>
        <w:rPr>
          <w:sz w:val="20"/>
          <w:szCs w:val="20"/>
          <w:color w:val="auto"/>
        </w:rPr>
      </w:pPr>
      <w:r>
        <w:rPr>
          <w:rFonts w:ascii="Times New Roman" w:cs="Times New Roman" w:eastAsia="Times New Roman" w:hAnsi="Times New Roman"/>
          <w:sz w:val="22"/>
          <w:szCs w:val="22"/>
          <w:color w:val="auto"/>
        </w:rPr>
        <w:t>The aggregate number of Shares reserved and available for issuance pursuant to Awards granted under the Plan shall be 5,000,000 Shares, subject to adjustment pursuant to Section 15 hereof (Variations in Share Capital).</w:t>
      </w:r>
    </w:p>
    <w:p>
      <w:pPr>
        <w:spacing w:after="0" w:line="32" w:lineRule="exact"/>
        <w:rPr>
          <w:sz w:val="20"/>
          <w:szCs w:val="20"/>
          <w:color w:val="auto"/>
        </w:rPr>
      </w:pPr>
    </w:p>
    <w:p>
      <w:pPr>
        <w:ind w:right="7120" w:firstLine="8"/>
        <w:spacing w:after="0" w:line="411" w:lineRule="auto"/>
        <w:tabs>
          <w:tab w:leader="none" w:pos="445"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Purchased Shares and Matching Shares 5.1 Offerings</w:t>
      </w:r>
    </w:p>
    <w:p>
      <w:pPr>
        <w:spacing w:after="0" w:line="2" w:lineRule="exact"/>
        <w:rPr>
          <w:sz w:val="20"/>
          <w:szCs w:val="20"/>
          <w:color w:val="auto"/>
        </w:rPr>
      </w:pPr>
    </w:p>
    <w:p>
      <w:pPr>
        <w:ind w:right="120"/>
        <w:spacing w:after="0" w:line="322" w:lineRule="auto"/>
        <w:rPr>
          <w:sz w:val="20"/>
          <w:szCs w:val="20"/>
          <w:color w:val="auto"/>
        </w:rPr>
      </w:pPr>
      <w:r>
        <w:rPr>
          <w:rFonts w:ascii="Times New Roman" w:cs="Times New Roman" w:eastAsia="Times New Roman" w:hAnsi="Times New Roman"/>
          <w:sz w:val="22"/>
          <w:szCs w:val="22"/>
          <w:color w:val="auto"/>
        </w:rPr>
        <w:t>Eligible Employees may be selected by the Committee to participate in an Offering through an Award of Purchase Rights during an Enrollment Window.</w:t>
      </w:r>
    </w:p>
    <w:p>
      <w:pPr>
        <w:spacing w:after="0" w:line="6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Terms of Offerings and Purchase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Offerings and Purchase Rights are subject to the provisions of the Plan.</w:t>
      </w:r>
    </w:p>
    <w:p>
      <w:pPr>
        <w:spacing w:after="0" w:line="166" w:lineRule="exact"/>
        <w:rPr>
          <w:sz w:val="20"/>
          <w:szCs w:val="20"/>
          <w:color w:val="auto"/>
        </w:rPr>
      </w:pPr>
    </w:p>
    <w:p>
      <w:pPr>
        <w:ind w:right="1160"/>
        <w:spacing w:after="0" w:line="335" w:lineRule="auto"/>
        <w:rPr>
          <w:sz w:val="20"/>
          <w:szCs w:val="20"/>
          <w:color w:val="auto"/>
        </w:rPr>
      </w:pPr>
      <w:r>
        <w:rPr>
          <w:rFonts w:ascii="Times New Roman" w:cs="Times New Roman" w:eastAsia="Times New Roman" w:hAnsi="Times New Roman"/>
          <w:sz w:val="22"/>
          <w:szCs w:val="22"/>
          <w:color w:val="auto"/>
        </w:rPr>
        <w:t>The Committee will approve the terms of an Offering and on which a Purchase Right will be awarded, which will be communicated to the relevant Eligible Employees, including:</w:t>
      </w:r>
    </w:p>
    <w:p>
      <w:pPr>
        <w:spacing w:after="0" w:line="50"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5.2.1</w:t>
      </w:r>
      <w:r>
        <w:rPr>
          <w:sz w:val="20"/>
          <w:szCs w:val="20"/>
          <w:color w:val="auto"/>
        </w:rPr>
        <w:tab/>
      </w:r>
      <w:r>
        <w:rPr>
          <w:rFonts w:ascii="Times New Roman" w:cs="Times New Roman" w:eastAsia="Times New Roman" w:hAnsi="Times New Roman"/>
          <w:sz w:val="21"/>
          <w:szCs w:val="21"/>
          <w:color w:val="auto"/>
        </w:rPr>
        <w:t>the basis on which Contributions and Purchase Rights will be made under Section 5.4 hereof (Basis of Participation);</w:t>
      </w:r>
    </w:p>
    <w:p>
      <w:pPr>
        <w:spacing w:after="0" w:line="98"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5.2.2</w:t>
      </w:r>
      <w:r>
        <w:rPr>
          <w:sz w:val="20"/>
          <w:szCs w:val="20"/>
          <w:color w:val="auto"/>
        </w:rPr>
        <w:tab/>
      </w:r>
      <w:r>
        <w:rPr>
          <w:rFonts w:ascii="Times New Roman" w:cs="Times New Roman" w:eastAsia="Times New Roman" w:hAnsi="Times New Roman"/>
          <w:sz w:val="21"/>
          <w:szCs w:val="21"/>
          <w:color w:val="auto"/>
        </w:rPr>
        <w:t>the duration and timing of the relevant Enrollment Window(s);</w:t>
      </w:r>
    </w:p>
    <w:p>
      <w:pPr>
        <w:spacing w:after="0" w:line="98"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5.2.3</w:t>
      </w:r>
      <w:r>
        <w:rPr>
          <w:sz w:val="20"/>
          <w:szCs w:val="20"/>
          <w:color w:val="auto"/>
        </w:rPr>
        <w:tab/>
      </w:r>
      <w:r>
        <w:rPr>
          <w:rFonts w:ascii="Times New Roman" w:cs="Times New Roman" w:eastAsia="Times New Roman" w:hAnsi="Times New Roman"/>
          <w:sz w:val="21"/>
          <w:szCs w:val="21"/>
          <w:color w:val="auto"/>
        </w:rPr>
        <w:t>the duration of the Offering Period;</w:t>
      </w:r>
    </w:p>
    <w:p>
      <w:pPr>
        <w:spacing w:after="0" w:line="112"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5.2.4</w:t>
      </w:r>
      <w:r>
        <w:rPr>
          <w:sz w:val="20"/>
          <w:szCs w:val="20"/>
          <w:color w:val="auto"/>
        </w:rPr>
        <w:tab/>
      </w:r>
      <w:r>
        <w:rPr>
          <w:rFonts w:ascii="Times New Roman" w:cs="Times New Roman" w:eastAsia="Times New Roman" w:hAnsi="Times New Roman"/>
          <w:sz w:val="21"/>
          <w:szCs w:val="21"/>
          <w:color w:val="auto"/>
        </w:rPr>
        <w:t>details about the number and frequency of Contributions to be made;</w:t>
      </w:r>
    </w:p>
    <w:p>
      <w:pPr>
        <w:spacing w:after="0" w:line="98"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5.2.5</w:t>
      </w:r>
      <w:r>
        <w:rPr>
          <w:sz w:val="20"/>
          <w:szCs w:val="20"/>
          <w:color w:val="auto"/>
        </w:rPr>
        <w:tab/>
      </w:r>
      <w:r>
        <w:rPr>
          <w:rFonts w:ascii="Times New Roman" w:cs="Times New Roman" w:eastAsia="Times New Roman" w:hAnsi="Times New Roman"/>
          <w:sz w:val="21"/>
          <w:szCs w:val="21"/>
          <w:color w:val="auto"/>
        </w:rPr>
        <w:t>the date on which Contributions will start;</w:t>
      </w:r>
    </w:p>
    <w:p>
      <w:pPr>
        <w:spacing w:after="0" w:line="98" w:lineRule="exact"/>
        <w:rPr>
          <w:sz w:val="20"/>
          <w:szCs w:val="20"/>
          <w:color w:val="auto"/>
        </w:rPr>
      </w:pPr>
    </w:p>
    <w:p>
      <w:pPr>
        <w:ind w:left="1100" w:right="500" w:hanging="647"/>
        <w:spacing w:after="0" w:line="309" w:lineRule="auto"/>
        <w:tabs>
          <w:tab w:leader="none" w:pos="1080" w:val="left"/>
        </w:tabs>
        <w:rPr>
          <w:sz w:val="20"/>
          <w:szCs w:val="20"/>
          <w:color w:val="auto"/>
        </w:rPr>
      </w:pPr>
      <w:r>
        <w:rPr>
          <w:rFonts w:ascii="Times New Roman" w:cs="Times New Roman" w:eastAsia="Times New Roman" w:hAnsi="Times New Roman"/>
          <w:sz w:val="22"/>
          <w:szCs w:val="22"/>
          <w:color w:val="auto"/>
        </w:rPr>
        <w:t>5.2.6</w:t>
        <w:tab/>
        <w:t>subject to any local laws around minimum pay, the maximum and minimum Contribution limits, which may be expressed as applying to each Contribution or as a monthly or annual amount, or on such other basis as the Committee decides, provided however, that no Participant may make Contributions in excess of USD $50,000 annually and that no Participant may make Contributions in excess of 25% of their base salary/wages during an Offering Period;</w:t>
      </w:r>
    </w:p>
    <w:p>
      <w:pPr>
        <w:spacing w:after="0" w:line="5" w:lineRule="exact"/>
        <w:rPr>
          <w:sz w:val="20"/>
          <w:szCs w:val="20"/>
          <w:color w:val="auto"/>
        </w:rPr>
      </w:pPr>
    </w:p>
    <w:p>
      <w:pPr>
        <w:ind w:left="1100" w:right="440" w:hanging="647"/>
        <w:spacing w:after="0" w:line="320" w:lineRule="auto"/>
        <w:tabs>
          <w:tab w:leader="none" w:pos="1080" w:val="left"/>
        </w:tabs>
        <w:rPr>
          <w:sz w:val="20"/>
          <w:szCs w:val="20"/>
          <w:color w:val="auto"/>
        </w:rPr>
      </w:pPr>
      <w:r>
        <w:rPr>
          <w:rFonts w:ascii="Times New Roman" w:cs="Times New Roman" w:eastAsia="Times New Roman" w:hAnsi="Times New Roman"/>
          <w:sz w:val="22"/>
          <w:szCs w:val="22"/>
          <w:color w:val="auto"/>
        </w:rPr>
        <w:t>5.2.7</w:t>
        <w:tab/>
        <w:t>any limit on the number of Shares may be purchased in accordance with Section 5.5 hereof (Limit on Purchased Shares);</w:t>
      </w: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5.2.8</w:t>
      </w:r>
      <w:r>
        <w:rPr>
          <w:sz w:val="20"/>
          <w:szCs w:val="20"/>
          <w:color w:val="auto"/>
        </w:rPr>
        <w:tab/>
      </w:r>
      <w:r>
        <w:rPr>
          <w:rFonts w:ascii="Times New Roman" w:cs="Times New Roman" w:eastAsia="Times New Roman" w:hAnsi="Times New Roman"/>
          <w:sz w:val="21"/>
          <w:szCs w:val="21"/>
          <w:color w:val="auto"/>
        </w:rPr>
        <w:t>the expected Exercise Date(s) of a Purchase Right or the basis on which those Exercise Date(s) will be determined;</w:t>
      </w:r>
    </w:p>
    <w:p>
      <w:pPr>
        <w:spacing w:after="0" w:line="112"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5.2.9</w:t>
      </w:r>
      <w:r>
        <w:rPr>
          <w:sz w:val="20"/>
          <w:szCs w:val="20"/>
          <w:color w:val="auto"/>
        </w:rPr>
        <w:tab/>
      </w:r>
      <w:r>
        <w:rPr>
          <w:rFonts w:ascii="Times New Roman" w:cs="Times New Roman" w:eastAsia="Times New Roman" w:hAnsi="Times New Roman"/>
          <w:sz w:val="21"/>
          <w:szCs w:val="21"/>
          <w:color w:val="auto"/>
        </w:rPr>
        <w:t>the purchase price of a Share (which shall be at the Market Value); and</w:t>
      </w:r>
    </w:p>
    <w:p>
      <w:pPr>
        <w:sectPr>
          <w:pgSz w:w="11900" w:h="16838" w:orient="portrait"/>
          <w:cols w:equalWidth="0" w:num="1">
            <w:col w:w="11240"/>
          </w:cols>
          <w:pgMar w:left="320" w:top="1440" w:right="339" w:bottom="1440" w:gutter="0" w:footer="0" w:header="0"/>
        </w:sectPr>
      </w:pPr>
    </w:p>
    <w:bookmarkStart w:id="66" w:name="page67"/>
    <w:bookmarkEnd w:id="66"/>
    <w:p>
      <w:pPr>
        <w:spacing w:after="0" w:line="50" w:lineRule="exact"/>
        <w:rPr>
          <w:sz w:val="20"/>
          <w:szCs w:val="20"/>
          <w:color w:val="auto"/>
        </w:rPr>
      </w:pPr>
    </w:p>
    <w:p>
      <w:pPr>
        <w:ind w:left="1100" w:right="360" w:hanging="647"/>
        <w:spacing w:after="0" w:line="322" w:lineRule="auto"/>
        <w:rPr>
          <w:sz w:val="20"/>
          <w:szCs w:val="20"/>
          <w:color w:val="auto"/>
        </w:rPr>
      </w:pPr>
      <w:r>
        <w:rPr>
          <w:rFonts w:ascii="Times New Roman" w:cs="Times New Roman" w:eastAsia="Times New Roman" w:hAnsi="Times New Roman"/>
          <w:sz w:val="22"/>
          <w:szCs w:val="22"/>
          <w:color w:val="auto"/>
        </w:rPr>
        <w:t>5.2.10 whether the Participant may be required to enter into any election for a particular tax treatment in respect of an Award and/or any Shares and any consequences of failing to make it.</w:t>
      </w:r>
    </w:p>
    <w:p>
      <w:pPr>
        <w:spacing w:after="0" w:line="6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Enrollment Election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Eligible Employees electing to participate will, during an Enrollment Window:</w:t>
      </w:r>
    </w:p>
    <w:p>
      <w:pPr>
        <w:spacing w:after="0" w:line="166"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5.3.1</w:t>
      </w:r>
      <w:r>
        <w:rPr>
          <w:sz w:val="20"/>
          <w:szCs w:val="20"/>
          <w:color w:val="auto"/>
        </w:rPr>
        <w:tab/>
      </w:r>
      <w:r>
        <w:rPr>
          <w:rFonts w:ascii="Times New Roman" w:cs="Times New Roman" w:eastAsia="Times New Roman" w:hAnsi="Times New Roman"/>
          <w:sz w:val="21"/>
          <w:szCs w:val="21"/>
          <w:color w:val="auto"/>
        </w:rPr>
        <w:t>enter into a Subscription Agreement;</w:t>
      </w:r>
    </w:p>
    <w:p>
      <w:pPr>
        <w:spacing w:after="0" w:line="112" w:lineRule="exact"/>
        <w:rPr>
          <w:sz w:val="20"/>
          <w:szCs w:val="20"/>
          <w:color w:val="auto"/>
        </w:rPr>
      </w:pPr>
    </w:p>
    <w:p>
      <w:pPr>
        <w:ind w:left="1100" w:right="420" w:hanging="647"/>
        <w:spacing w:after="0" w:line="320" w:lineRule="auto"/>
        <w:tabs>
          <w:tab w:leader="none" w:pos="1080" w:val="left"/>
        </w:tabs>
        <w:rPr>
          <w:sz w:val="20"/>
          <w:szCs w:val="20"/>
          <w:color w:val="auto"/>
        </w:rPr>
      </w:pPr>
      <w:r>
        <w:rPr>
          <w:rFonts w:ascii="Times New Roman" w:cs="Times New Roman" w:eastAsia="Times New Roman" w:hAnsi="Times New Roman"/>
          <w:sz w:val="22"/>
          <w:szCs w:val="22"/>
          <w:color w:val="auto"/>
        </w:rPr>
        <w:t>5.3.2</w:t>
        <w:tab/>
        <w:t>specify the amount of their Contribution(s), which may be expressed by reference to each Contribution or as a monthly or annual amount, or on such other basis as the Committee decides;</w:t>
      </w:r>
    </w:p>
    <w:p>
      <w:pPr>
        <w:ind w:left="1100" w:right="460" w:hanging="647"/>
        <w:spacing w:after="0" w:line="320" w:lineRule="auto"/>
        <w:tabs>
          <w:tab w:leader="none" w:pos="1080" w:val="left"/>
        </w:tabs>
        <w:rPr>
          <w:sz w:val="20"/>
          <w:szCs w:val="20"/>
          <w:color w:val="auto"/>
        </w:rPr>
      </w:pPr>
      <w:r>
        <w:rPr>
          <w:rFonts w:ascii="Times New Roman" w:cs="Times New Roman" w:eastAsia="Times New Roman" w:hAnsi="Times New Roman"/>
          <w:sz w:val="22"/>
          <w:szCs w:val="22"/>
          <w:color w:val="auto"/>
        </w:rPr>
        <w:t>5.3.3</w:t>
        <w:tab/>
        <w:t>authorize Contributions to be deducted through payroll from their Eligible Compensation (or agree to another method of payment approved by the Committee);</w:t>
      </w: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5.3.4</w:t>
      </w:r>
      <w:r>
        <w:rPr>
          <w:sz w:val="20"/>
          <w:szCs w:val="20"/>
          <w:color w:val="auto"/>
        </w:rPr>
        <w:tab/>
      </w:r>
      <w:r>
        <w:rPr>
          <w:rFonts w:ascii="Times New Roman" w:cs="Times New Roman" w:eastAsia="Times New Roman" w:hAnsi="Times New Roman"/>
          <w:sz w:val="21"/>
          <w:szCs w:val="21"/>
          <w:color w:val="auto"/>
        </w:rPr>
        <w:t>consent to the maximum and minimum Contribution limits as they apply from time to time; and</w:t>
      </w:r>
    </w:p>
    <w:p>
      <w:pPr>
        <w:spacing w:after="0" w:line="98"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5.3.5</w:t>
      </w:r>
      <w:r>
        <w:rPr>
          <w:sz w:val="20"/>
          <w:szCs w:val="20"/>
          <w:color w:val="auto"/>
        </w:rPr>
        <w:tab/>
      </w:r>
      <w:r>
        <w:rPr>
          <w:rFonts w:ascii="Times New Roman" w:cs="Times New Roman" w:eastAsia="Times New Roman" w:hAnsi="Times New Roman"/>
          <w:sz w:val="21"/>
          <w:szCs w:val="21"/>
          <w:color w:val="auto"/>
        </w:rPr>
        <w:t>accept the terms applicable to their Purchase Rights and the Plan.</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Basis of Participation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Offerings may be made on an Evergreen Basis, for a set period or as a one-off, as decided by the Committee.</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Limit on Purchase of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Committee may limit the number of Shares that may be purchased in connection with any Offering.</w:t>
      </w:r>
    </w:p>
    <w:p>
      <w:pPr>
        <w:spacing w:after="0" w:line="17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22"/>
          <w:szCs w:val="22"/>
          <w:color w:val="auto"/>
        </w:rPr>
        <w:t>If elections to participate in the Plan exceed the limit, or it becomes clear once Contributions have been made that the limit will be exceeded, the number of Shares that each Participant may purchase will be proportionately reduced. Each Participant will be notified of the change, each election and Subscription Agreement will be deemed to be modified or withdrawn accordingly and any excess Contributions already made will be returned to the Participant.</w:t>
      </w:r>
    </w:p>
    <w:p>
      <w:pPr>
        <w:spacing w:after="0" w:line="6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color w:val="auto"/>
        </w:rPr>
        <w:t>Holding Contributions and Matching Credits</w:t>
      </w:r>
    </w:p>
    <w:p>
      <w:pPr>
        <w:spacing w:after="0" w:line="183" w:lineRule="exact"/>
        <w:rPr>
          <w:sz w:val="20"/>
          <w:szCs w:val="20"/>
          <w:color w:val="auto"/>
        </w:rPr>
      </w:pPr>
    </w:p>
    <w:p>
      <w:pPr>
        <w:ind w:right="180"/>
        <w:spacing w:after="0" w:line="320" w:lineRule="auto"/>
        <w:rPr>
          <w:sz w:val="20"/>
          <w:szCs w:val="20"/>
          <w:color w:val="auto"/>
        </w:rPr>
      </w:pPr>
      <w:r>
        <w:rPr>
          <w:rFonts w:ascii="Times New Roman" w:cs="Times New Roman" w:eastAsia="Times New Roman" w:hAnsi="Times New Roman"/>
          <w:sz w:val="22"/>
          <w:szCs w:val="22"/>
          <w:color w:val="auto"/>
        </w:rPr>
        <w:t>Unless otherwise required by applicable law, Contributions and Matching Credits will be held in the Participant’s Account on behalf of each Participant for purposes of accounting for all Participant Contributions, and if applicable, Matching Credits, credited to the Participant pursuant to the Plan until they are used to purchase Shares on the Participant’s behalf or, if the Committee decides or the Plan requires, until they are returned to the Participant.</w:t>
      </w:r>
    </w:p>
    <w:p>
      <w:pPr>
        <w:spacing w:after="0" w:line="6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color w:val="auto"/>
        </w:rPr>
        <w:t>Purchase of Shares</w:t>
      </w:r>
    </w:p>
    <w:p>
      <w:pPr>
        <w:sectPr>
          <w:pgSz w:w="11900" w:h="16838" w:orient="portrait"/>
          <w:cols w:equalWidth="0" w:num="1">
            <w:col w:w="11040"/>
          </w:cols>
          <w:pgMar w:left="320" w:top="1440" w:right="539" w:bottom="1440" w:gutter="0" w:footer="0" w:header="0"/>
        </w:sectPr>
      </w:pPr>
    </w:p>
    <w:bookmarkStart w:id="67" w:name="page68"/>
    <w:bookmarkEnd w:id="67"/>
    <w:p>
      <w:pPr>
        <w:spacing w:after="0" w:line="117" w:lineRule="exact"/>
        <w:rPr>
          <w:sz w:val="20"/>
          <w:szCs w:val="20"/>
          <w:color w:val="auto"/>
        </w:rPr>
      </w:pPr>
    </w:p>
    <w:p>
      <w:pPr>
        <w:ind w:right="260"/>
        <w:spacing w:after="0" w:line="335" w:lineRule="auto"/>
        <w:rPr>
          <w:sz w:val="20"/>
          <w:szCs w:val="20"/>
          <w:color w:val="auto"/>
        </w:rPr>
      </w:pPr>
      <w:r>
        <w:rPr>
          <w:rFonts w:ascii="Times New Roman" w:cs="Times New Roman" w:eastAsia="Times New Roman" w:hAnsi="Times New Roman"/>
          <w:sz w:val="22"/>
          <w:szCs w:val="22"/>
          <w:color w:val="auto"/>
        </w:rPr>
        <w:t>For each Exercise Date, the Committee will arrange for the aggregate amount of Contributions made by the Participants, and if applicable, Matching Credits to be applied in purchasing Shares on behalf of Participants.</w:t>
      </w:r>
    </w:p>
    <w:p>
      <w:pPr>
        <w:spacing w:after="0" w:line="50" w:lineRule="exact"/>
        <w:rPr>
          <w:sz w:val="20"/>
          <w:szCs w:val="20"/>
          <w:color w:val="auto"/>
        </w:rPr>
      </w:pPr>
    </w:p>
    <w:p>
      <w:pPr>
        <w:ind w:right="300"/>
        <w:spacing w:after="0" w:line="335" w:lineRule="auto"/>
        <w:rPr>
          <w:sz w:val="20"/>
          <w:szCs w:val="20"/>
          <w:color w:val="auto"/>
        </w:rPr>
      </w:pPr>
      <w:r>
        <w:rPr>
          <w:rFonts w:ascii="Times New Roman" w:cs="Times New Roman" w:eastAsia="Times New Roman" w:hAnsi="Times New Roman"/>
          <w:sz w:val="22"/>
          <w:szCs w:val="22"/>
          <w:color w:val="auto"/>
        </w:rPr>
        <w:t>The number of Shares that will be purchased on behalf of each Participant will be determined by reference to that Participant’s Contributions, and if applicable, Matching Credits, and the Market Value of a Share on the Exercise Date.</w:t>
      </w:r>
    </w:p>
    <w:p>
      <w:pPr>
        <w:spacing w:after="0" w:line="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color w:val="auto"/>
        </w:rPr>
        <w:t>Fractional Entitlements (Purchased Shares and Matching Shares)</w:t>
      </w:r>
    </w:p>
    <w:p>
      <w:pPr>
        <w:spacing w:after="0" w:line="183" w:lineRule="exact"/>
        <w:rPr>
          <w:sz w:val="20"/>
          <w:szCs w:val="20"/>
          <w:color w:val="auto"/>
        </w:rPr>
      </w:pPr>
    </w:p>
    <w:p>
      <w:pPr>
        <w:ind w:right="140"/>
        <w:spacing w:after="0" w:line="316" w:lineRule="auto"/>
        <w:rPr>
          <w:sz w:val="20"/>
          <w:szCs w:val="20"/>
          <w:color w:val="auto"/>
        </w:rPr>
      </w:pPr>
      <w:r>
        <w:rPr>
          <w:rFonts w:ascii="Times New Roman" w:cs="Times New Roman" w:eastAsia="Times New Roman" w:hAnsi="Times New Roman"/>
          <w:sz w:val="22"/>
          <w:szCs w:val="22"/>
          <w:color w:val="auto"/>
        </w:rPr>
        <w:t>If the Committee so decides in connection with an Offering, if on the Exercise Date, there is a remaining balance of a Participant’s Contributions and Matching Credits that is insufficient to acquire a whole Share, the Participant will acquire a right to a Fractional Entitlement in exchange for that remaining amount. Otherwise, the remaining balance will be carried forward to the next subsequent Offering Period, unless the Committee decides otherwise.</w:t>
      </w:r>
    </w:p>
    <w:p>
      <w:pPr>
        <w:spacing w:after="0" w:line="72" w:lineRule="exact"/>
        <w:rPr>
          <w:sz w:val="20"/>
          <w:szCs w:val="20"/>
          <w:color w:val="auto"/>
        </w:rPr>
      </w:pPr>
    </w:p>
    <w:p>
      <w:pPr>
        <w:spacing w:after="0" w:line="320" w:lineRule="auto"/>
        <w:rPr>
          <w:sz w:val="20"/>
          <w:szCs w:val="20"/>
          <w:color w:val="auto"/>
        </w:rPr>
      </w:pPr>
      <w:r>
        <w:rPr>
          <w:rFonts w:ascii="Times New Roman" w:cs="Times New Roman" w:eastAsia="Times New Roman" w:hAnsi="Times New Roman"/>
          <w:sz w:val="22"/>
          <w:szCs w:val="22"/>
          <w:color w:val="auto"/>
        </w:rPr>
        <w:t>A Fractional Entitlement for a Purchased Share or Matching Share will be calculated as the fraction of a Share that the Participant would be entitled to receive for the value of the remaining balance. Any Fractional Entitlements may be paid in cash or in such whole number of Shares (rounded down) with a Market Value at the time of payment as nearly as practicable equal to the Fractional Entitlements.</w:t>
      </w:r>
    </w:p>
    <w:p>
      <w:pPr>
        <w:spacing w:after="0" w:line="68" w:lineRule="exact"/>
        <w:rPr>
          <w:sz w:val="20"/>
          <w:szCs w:val="20"/>
          <w:color w:val="auto"/>
        </w:rPr>
      </w:pPr>
    </w:p>
    <w:p>
      <w:pPr>
        <w:ind w:right="60"/>
        <w:spacing w:after="0" w:line="320" w:lineRule="auto"/>
        <w:rPr>
          <w:sz w:val="20"/>
          <w:szCs w:val="20"/>
          <w:color w:val="auto"/>
        </w:rPr>
      </w:pPr>
      <w:r>
        <w:rPr>
          <w:rFonts w:ascii="Times New Roman" w:cs="Times New Roman" w:eastAsia="Times New Roman" w:hAnsi="Times New Roman"/>
          <w:sz w:val="22"/>
          <w:szCs w:val="22"/>
          <w:color w:val="auto"/>
        </w:rPr>
        <w:t>The terms of the Plan will apply to a Fractional Entitlement obtained in accordance with this Section 5.8 (Fractional Entitlements (Purchased Shares and Matching Shares)) as if they were a “Purchased Share” or “Matching Share,” as applicable (and interpreted accordingly), save that, unless and until it becomes a whole Share, the Participant will have no right to vote in respect of it.</w:t>
      </w:r>
    </w:p>
    <w:p>
      <w:pPr>
        <w:spacing w:after="0" w:line="6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5.9</w:t>
      </w:r>
      <w:r>
        <w:rPr>
          <w:sz w:val="20"/>
          <w:szCs w:val="20"/>
          <w:color w:val="auto"/>
        </w:rPr>
        <w:tab/>
      </w:r>
      <w:r>
        <w:rPr>
          <w:rFonts w:ascii="Times New Roman" w:cs="Times New Roman" w:eastAsia="Times New Roman" w:hAnsi="Times New Roman"/>
          <w:sz w:val="21"/>
          <w:szCs w:val="21"/>
          <w:b w:val="1"/>
          <w:bCs w:val="1"/>
          <w:color w:val="auto"/>
        </w:rPr>
        <w:t>Unused Contributions</w:t>
      </w:r>
    </w:p>
    <w:p>
      <w:pPr>
        <w:spacing w:after="0" w:line="183" w:lineRule="exact"/>
        <w:rPr>
          <w:sz w:val="20"/>
          <w:szCs w:val="20"/>
          <w:color w:val="auto"/>
        </w:rPr>
      </w:pPr>
    </w:p>
    <w:p>
      <w:pPr>
        <w:ind w:right="220"/>
        <w:spacing w:after="0" w:line="321" w:lineRule="auto"/>
        <w:rPr>
          <w:sz w:val="20"/>
          <w:szCs w:val="20"/>
          <w:color w:val="auto"/>
        </w:rPr>
      </w:pPr>
      <w:r>
        <w:rPr>
          <w:rFonts w:ascii="Times New Roman" w:cs="Times New Roman" w:eastAsia="Times New Roman" w:hAnsi="Times New Roman"/>
          <w:sz w:val="22"/>
          <w:szCs w:val="22"/>
          <w:color w:val="auto"/>
        </w:rPr>
        <w:t>Any unused Contributions that have not been used to acquire a Purchased Share, Matching Share or a Fractional Entitlement, if applicable, will be retained by the Company and added to the Participant’s next Contribution, unless the Committee decides otherwise.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5.10 Changes to Contributions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Participants will not be permitted to change the rate of their Contributions unless the Committee decides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permitted, any change will only take effect: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5.10.1 if it is within the applicable Contribution limits set by the Committee; and</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5.10.2 subject to the terms and from the time specified by the Committee.</w:t>
      </w:r>
    </w:p>
    <w:p>
      <w:pPr>
        <w:sectPr>
          <w:pgSz w:w="11900" w:h="16838" w:orient="portrait"/>
          <w:cols w:equalWidth="0" w:num="1">
            <w:col w:w="11240"/>
          </w:cols>
          <w:pgMar w:left="320" w:top="1440" w:right="339" w:bottom="1440" w:gutter="0" w:footer="0" w:header="0"/>
        </w:sectPr>
      </w:pPr>
    </w:p>
    <w:bookmarkStart w:id="68" w:name="page69"/>
    <w:bookmarkEnd w:id="68"/>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5.11 Stopping Contributions – Company Authority</w:t>
      </w:r>
    </w:p>
    <w:p>
      <w:pPr>
        <w:spacing w:after="0" w:line="143" w:lineRule="exact"/>
        <w:rPr>
          <w:sz w:val="20"/>
          <w:szCs w:val="20"/>
          <w:color w:val="auto"/>
        </w:rPr>
      </w:pPr>
    </w:p>
    <w:p>
      <w:pPr>
        <w:jc w:val="both"/>
        <w:ind w:right="60"/>
        <w:spacing w:after="0" w:line="335" w:lineRule="auto"/>
        <w:rPr>
          <w:sz w:val="20"/>
          <w:szCs w:val="20"/>
          <w:color w:val="auto"/>
        </w:rPr>
      </w:pPr>
      <w:r>
        <w:rPr>
          <w:rFonts w:ascii="Times New Roman" w:cs="Times New Roman" w:eastAsia="Times New Roman" w:hAnsi="Times New Roman"/>
          <w:sz w:val="22"/>
          <w:szCs w:val="22"/>
          <w:color w:val="auto"/>
        </w:rPr>
        <w:t>The Committee may, at any time, decide that Contributions will stop and will give notice to affected Participants. The notice will take effect as soon as administratively practicable after being sent or on the date specified in the notice.</w:t>
      </w:r>
    </w:p>
    <w:p>
      <w:pPr>
        <w:spacing w:after="0" w:line="50" w:lineRule="exact"/>
        <w:rPr>
          <w:sz w:val="20"/>
          <w:szCs w:val="20"/>
          <w:color w:val="auto"/>
        </w:rPr>
      </w:pPr>
    </w:p>
    <w:p>
      <w:pPr>
        <w:ind w:right="160"/>
        <w:spacing w:after="0" w:line="335" w:lineRule="auto"/>
        <w:rPr>
          <w:sz w:val="20"/>
          <w:szCs w:val="20"/>
          <w:color w:val="auto"/>
        </w:rPr>
      </w:pPr>
      <w:r>
        <w:rPr>
          <w:rFonts w:ascii="Times New Roman" w:cs="Times New Roman" w:eastAsia="Times New Roman" w:hAnsi="Times New Roman"/>
          <w:sz w:val="22"/>
          <w:szCs w:val="22"/>
          <w:color w:val="auto"/>
        </w:rPr>
        <w:t>Contributions already made prior to the notice taking effect will be used to purchase Shares on the next expected Exercise Date, unless the Committee decides otherwise.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Missed Contributions may not be made up, unless the Committee decides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5.12 Stopping Contributions – Participant Authority</w:t>
      </w:r>
    </w:p>
    <w:p>
      <w:pPr>
        <w:spacing w:after="0" w:line="183" w:lineRule="exact"/>
        <w:rPr>
          <w:sz w:val="20"/>
          <w:szCs w:val="20"/>
          <w:color w:val="auto"/>
        </w:rPr>
      </w:pPr>
    </w:p>
    <w:p>
      <w:pPr>
        <w:jc w:val="both"/>
        <w:ind w:right="60"/>
        <w:spacing w:after="0" w:line="321" w:lineRule="auto"/>
        <w:rPr>
          <w:sz w:val="20"/>
          <w:szCs w:val="20"/>
          <w:color w:val="auto"/>
        </w:rPr>
      </w:pPr>
      <w:r>
        <w:rPr>
          <w:rFonts w:ascii="Times New Roman" w:cs="Times New Roman" w:eastAsia="Times New Roman" w:hAnsi="Times New Roman"/>
          <w:sz w:val="22"/>
          <w:szCs w:val="22"/>
          <w:color w:val="auto"/>
        </w:rPr>
        <w:t>A Participant may, at any time, stop making further Contributions by giving notice to the Company. The notice will take effect as soon as administratively practicable following receipt or, if the Committee decides, on a later date specified in the notice. Unless the Committee decides otherwise, once the notice takes effect:</w:t>
      </w:r>
    </w:p>
    <w:p>
      <w:pPr>
        <w:spacing w:after="0" w:line="65" w:lineRule="exact"/>
        <w:rPr>
          <w:sz w:val="20"/>
          <w:szCs w:val="20"/>
          <w:color w:val="auto"/>
        </w:rPr>
      </w:pPr>
    </w:p>
    <w:p>
      <w:pPr>
        <w:ind w:left="1100" w:right="320" w:hanging="647"/>
        <w:spacing w:after="0" w:line="326" w:lineRule="auto"/>
        <w:rPr>
          <w:sz w:val="20"/>
          <w:szCs w:val="20"/>
          <w:color w:val="auto"/>
        </w:rPr>
      </w:pPr>
      <w:r>
        <w:rPr>
          <w:rFonts w:ascii="Times New Roman" w:cs="Times New Roman" w:eastAsia="Times New Roman" w:hAnsi="Times New Roman"/>
          <w:sz w:val="22"/>
          <w:szCs w:val="22"/>
          <w:color w:val="auto"/>
        </w:rPr>
        <w:t>5.12.1 Contributions will stop and the Participant cannot make any further Contributions, or restart Contributions, under their current Subscription Agreement;</w:t>
      </w:r>
    </w:p>
    <w:p>
      <w:pPr>
        <w:spacing w:after="0" w:line="1" w:lineRule="exact"/>
        <w:rPr>
          <w:sz w:val="20"/>
          <w:szCs w:val="20"/>
          <w:color w:val="auto"/>
        </w:rPr>
      </w:pPr>
    </w:p>
    <w:p>
      <w:pPr>
        <w:ind w:left="1100" w:hanging="647"/>
        <w:spacing w:after="0" w:line="326" w:lineRule="auto"/>
        <w:rPr>
          <w:sz w:val="20"/>
          <w:szCs w:val="20"/>
          <w:color w:val="auto"/>
        </w:rPr>
      </w:pPr>
      <w:r>
        <w:rPr>
          <w:rFonts w:ascii="Times New Roman" w:cs="Times New Roman" w:eastAsia="Times New Roman" w:hAnsi="Times New Roman"/>
          <w:sz w:val="22"/>
          <w:szCs w:val="22"/>
          <w:color w:val="auto"/>
        </w:rPr>
        <w:t>5.12.2 any Contributions already made prior to the notice taking effect will be used to purchase Shares on the next expected Exercise Date; and</w:t>
      </w:r>
    </w:p>
    <w:p>
      <w:pPr>
        <w:spacing w:after="0" w:line="1" w:lineRule="exact"/>
        <w:rPr>
          <w:sz w:val="20"/>
          <w:szCs w:val="20"/>
          <w:color w:val="auto"/>
        </w:rPr>
      </w:pPr>
    </w:p>
    <w:p>
      <w:pPr>
        <w:ind w:left="1100" w:hanging="647"/>
        <w:spacing w:after="0" w:line="335" w:lineRule="auto"/>
        <w:rPr>
          <w:sz w:val="20"/>
          <w:szCs w:val="20"/>
          <w:color w:val="auto"/>
        </w:rPr>
      </w:pPr>
      <w:r>
        <w:rPr>
          <w:rFonts w:ascii="Times New Roman" w:cs="Times New Roman" w:eastAsia="Times New Roman" w:hAnsi="Times New Roman"/>
          <w:sz w:val="22"/>
          <w:szCs w:val="22"/>
          <w:color w:val="auto"/>
        </w:rPr>
        <w:t>5.12.3 aside from any final purchase under Section 5.12.2, no further Shares may be purchased under a Participant’s current Subscription Agreement.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Missed Contributions may not be made up unless the Committee decides otherwise.</w:t>
      </w:r>
    </w:p>
    <w:p>
      <w:pPr>
        <w:spacing w:after="0" w:line="179" w:lineRule="exact"/>
        <w:rPr>
          <w:sz w:val="20"/>
          <w:szCs w:val="20"/>
          <w:color w:val="auto"/>
        </w:rPr>
      </w:pPr>
    </w:p>
    <w:p>
      <w:pPr>
        <w:ind w:right="360"/>
        <w:spacing w:after="0" w:line="335" w:lineRule="auto"/>
        <w:rPr>
          <w:sz w:val="20"/>
          <w:szCs w:val="20"/>
          <w:color w:val="auto"/>
        </w:rPr>
      </w:pPr>
      <w:r>
        <w:rPr>
          <w:rFonts w:ascii="Times New Roman" w:cs="Times New Roman" w:eastAsia="Times New Roman" w:hAnsi="Times New Roman"/>
          <w:sz w:val="22"/>
          <w:szCs w:val="22"/>
          <w:color w:val="auto"/>
        </w:rPr>
        <w:t>In order to re-initiate participation in the Plan after giving notice to cease Contributions, the Participant will be required to re-enroll in the Plan during an Enrollment Window in accordance with Section 5.3 hereof.</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5.13 Contributions in Error</w:t>
      </w:r>
    </w:p>
    <w:p>
      <w:pPr>
        <w:spacing w:after="0" w:line="183" w:lineRule="exact"/>
        <w:rPr>
          <w:sz w:val="20"/>
          <w:szCs w:val="20"/>
          <w:color w:val="auto"/>
        </w:rPr>
      </w:pPr>
    </w:p>
    <w:p>
      <w:pPr>
        <w:ind w:right="240"/>
        <w:spacing w:after="0" w:line="335" w:lineRule="auto"/>
        <w:rPr>
          <w:sz w:val="20"/>
          <w:szCs w:val="20"/>
          <w:color w:val="auto"/>
        </w:rPr>
      </w:pPr>
      <w:r>
        <w:rPr>
          <w:rFonts w:ascii="Times New Roman" w:cs="Times New Roman" w:eastAsia="Times New Roman" w:hAnsi="Times New Roman"/>
          <w:sz w:val="22"/>
          <w:szCs w:val="22"/>
          <w:color w:val="auto"/>
        </w:rPr>
        <w:t>If the amount of any Contribution made is in error, any Member of the Group may take such action as the Committee directs to correct the error.</w:t>
      </w:r>
    </w:p>
    <w:p>
      <w:pPr>
        <w:spacing w:after="0" w:line="46" w:lineRule="exact"/>
        <w:rPr>
          <w:sz w:val="20"/>
          <w:szCs w:val="20"/>
          <w:color w:val="auto"/>
        </w:rPr>
      </w:pPr>
    </w:p>
    <w:p>
      <w:pPr>
        <w:ind w:right="9120" w:firstLine="8"/>
        <w:spacing w:after="0" w:line="418" w:lineRule="auto"/>
        <w:tabs>
          <w:tab w:leader="none" w:pos="445"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Matching Awards 6.1 Eligibility</w:t>
      </w:r>
    </w:p>
    <w:p>
      <w:pPr>
        <w:ind w:right="460"/>
        <w:spacing w:after="0" w:line="362" w:lineRule="auto"/>
        <w:rPr>
          <w:sz w:val="20"/>
          <w:szCs w:val="20"/>
          <w:color w:val="auto"/>
        </w:rPr>
      </w:pPr>
      <w:r>
        <w:rPr>
          <w:rFonts w:ascii="Times New Roman" w:cs="Times New Roman" w:eastAsia="Times New Roman" w:hAnsi="Times New Roman"/>
          <w:sz w:val="21"/>
          <w:szCs w:val="21"/>
          <w:color w:val="auto"/>
        </w:rPr>
        <w:t>Eligible Employees participating in an Offering and who purchase Shares may also be selected to be granted one or more Matching Awards linked to the Purchase Right. The terms of the Offering will specify if Matching Awards are to be granted.</w:t>
      </w:r>
    </w:p>
    <w:p>
      <w:pPr>
        <w:sectPr>
          <w:pgSz w:w="11900" w:h="16838" w:orient="portrait"/>
          <w:cols w:equalWidth="0" w:num="1">
            <w:col w:w="11220"/>
          </w:cols>
          <w:pgMar w:left="320" w:top="1440" w:right="359" w:bottom="1440" w:gutter="0" w:footer="0" w:header="0"/>
        </w:sectPr>
      </w:pPr>
    </w:p>
    <w:bookmarkStart w:id="69" w:name="page70"/>
    <w:bookmarkEnd w:id="69"/>
    <w:p>
      <w:pPr>
        <w:spacing w:after="0" w:line="4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Terms of Matching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Matching Awards are subject to the provisions of the Plan.</w:t>
      </w:r>
    </w:p>
    <w:p>
      <w:pPr>
        <w:spacing w:after="0" w:line="179" w:lineRule="exact"/>
        <w:rPr>
          <w:sz w:val="20"/>
          <w:szCs w:val="20"/>
          <w:color w:val="auto"/>
        </w:rPr>
      </w:pPr>
    </w:p>
    <w:p>
      <w:pPr>
        <w:ind w:right="260"/>
        <w:spacing w:after="0" w:line="335" w:lineRule="auto"/>
        <w:rPr>
          <w:sz w:val="20"/>
          <w:szCs w:val="20"/>
          <w:color w:val="auto"/>
        </w:rPr>
      </w:pPr>
      <w:r>
        <w:rPr>
          <w:rFonts w:ascii="Times New Roman" w:cs="Times New Roman" w:eastAsia="Times New Roman" w:hAnsi="Times New Roman"/>
          <w:sz w:val="22"/>
          <w:szCs w:val="22"/>
          <w:color w:val="auto"/>
        </w:rPr>
        <w:t>The Committee will approve the terms of Matching Awards, which will be communicated to the relevant Eligible Employees, including:</w:t>
      </w:r>
    </w:p>
    <w:p>
      <w:pPr>
        <w:spacing w:after="0" w:line="50"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6.2.1</w:t>
      </w:r>
      <w:r>
        <w:rPr>
          <w:sz w:val="20"/>
          <w:szCs w:val="20"/>
          <w:color w:val="auto"/>
        </w:rPr>
        <w:tab/>
      </w:r>
      <w:r>
        <w:rPr>
          <w:rFonts w:ascii="Times New Roman" w:cs="Times New Roman" w:eastAsia="Times New Roman" w:hAnsi="Times New Roman"/>
          <w:sz w:val="21"/>
          <w:szCs w:val="21"/>
          <w:color w:val="auto"/>
        </w:rPr>
        <w:t>the Award Date;</w:t>
      </w:r>
    </w:p>
    <w:p>
      <w:pPr>
        <w:spacing w:after="0" w:line="112"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6.2.2</w:t>
      </w:r>
      <w:r>
        <w:rPr>
          <w:sz w:val="20"/>
          <w:szCs w:val="20"/>
          <w:color w:val="auto"/>
        </w:rPr>
        <w:tab/>
      </w:r>
      <w:r>
        <w:rPr>
          <w:rFonts w:ascii="Times New Roman" w:cs="Times New Roman" w:eastAsia="Times New Roman" w:hAnsi="Times New Roman"/>
          <w:sz w:val="21"/>
          <w:szCs w:val="21"/>
          <w:color w:val="auto"/>
        </w:rPr>
        <w:t>if the Matching Award is in the form of a Matching Credit, the Matching Credit;</w:t>
      </w:r>
    </w:p>
    <w:p>
      <w:pPr>
        <w:spacing w:after="0" w:line="112"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6.2.3</w:t>
      </w:r>
      <w:r>
        <w:rPr>
          <w:sz w:val="20"/>
          <w:szCs w:val="20"/>
          <w:color w:val="auto"/>
        </w:rPr>
        <w:tab/>
      </w:r>
      <w:r>
        <w:rPr>
          <w:rFonts w:ascii="Times New Roman" w:cs="Times New Roman" w:eastAsia="Times New Roman" w:hAnsi="Times New Roman"/>
          <w:sz w:val="21"/>
          <w:szCs w:val="21"/>
          <w:color w:val="auto"/>
        </w:rPr>
        <w:t>if the Matching Award is in the form of a Matching Share Right, the Matching Ratio;</w:t>
      </w:r>
    </w:p>
    <w:p>
      <w:pPr>
        <w:spacing w:after="0" w:line="112" w:lineRule="exact"/>
        <w:rPr>
          <w:sz w:val="20"/>
          <w:szCs w:val="20"/>
          <w:color w:val="auto"/>
        </w:rPr>
      </w:pPr>
    </w:p>
    <w:p>
      <w:pPr>
        <w:ind w:left="1100" w:right="1480" w:hanging="647"/>
        <w:spacing w:after="0" w:line="326" w:lineRule="auto"/>
        <w:tabs>
          <w:tab w:leader="none" w:pos="1080" w:val="left"/>
        </w:tabs>
        <w:rPr>
          <w:sz w:val="20"/>
          <w:szCs w:val="20"/>
          <w:color w:val="auto"/>
        </w:rPr>
      </w:pPr>
      <w:r>
        <w:rPr>
          <w:rFonts w:ascii="Times New Roman" w:cs="Times New Roman" w:eastAsia="Times New Roman" w:hAnsi="Times New Roman"/>
          <w:sz w:val="22"/>
          <w:szCs w:val="22"/>
          <w:color w:val="auto"/>
        </w:rPr>
        <w:t>6.2.4</w:t>
        <w:tab/>
        <w:t>the number of Matching Awards that will be granted, if required under Section 6.4 hereof (Basis of Matching Awards);</w:t>
      </w:r>
    </w:p>
    <w:p>
      <w:pPr>
        <w:spacing w:after="0" w:line="1"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6.2.5</w:t>
      </w:r>
      <w:r>
        <w:rPr>
          <w:sz w:val="20"/>
          <w:szCs w:val="20"/>
          <w:color w:val="auto"/>
        </w:rPr>
        <w:tab/>
      </w:r>
      <w:r>
        <w:rPr>
          <w:rFonts w:ascii="Times New Roman" w:cs="Times New Roman" w:eastAsia="Times New Roman" w:hAnsi="Times New Roman"/>
          <w:sz w:val="21"/>
          <w:szCs w:val="21"/>
          <w:color w:val="auto"/>
        </w:rPr>
        <w:t>the Vesting Date, if applicable;</w:t>
      </w:r>
    </w:p>
    <w:p>
      <w:pPr>
        <w:spacing w:after="0" w:line="112"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6.2.6</w:t>
      </w:r>
      <w:r>
        <w:rPr>
          <w:sz w:val="20"/>
          <w:szCs w:val="20"/>
          <w:color w:val="auto"/>
        </w:rPr>
        <w:tab/>
      </w:r>
      <w:r>
        <w:rPr>
          <w:rFonts w:ascii="Times New Roman" w:cs="Times New Roman" w:eastAsia="Times New Roman" w:hAnsi="Times New Roman"/>
          <w:sz w:val="21"/>
          <w:szCs w:val="21"/>
          <w:color w:val="auto"/>
        </w:rPr>
        <w:t>if the Matching Award carries the right to Dividend Equivalents, that Dividend Equivalents will apply; and</w:t>
      </w:r>
    </w:p>
    <w:p>
      <w:pPr>
        <w:spacing w:after="0" w:line="98" w:lineRule="exact"/>
        <w:rPr>
          <w:sz w:val="20"/>
          <w:szCs w:val="20"/>
          <w:color w:val="auto"/>
        </w:rPr>
      </w:pPr>
    </w:p>
    <w:p>
      <w:pPr>
        <w:ind w:left="1100" w:right="280" w:hanging="647"/>
        <w:spacing w:after="0" w:line="335" w:lineRule="auto"/>
        <w:tabs>
          <w:tab w:leader="none" w:pos="1080" w:val="left"/>
        </w:tabs>
        <w:rPr>
          <w:sz w:val="20"/>
          <w:szCs w:val="20"/>
          <w:color w:val="auto"/>
        </w:rPr>
      </w:pPr>
      <w:r>
        <w:rPr>
          <w:rFonts w:ascii="Times New Roman" w:cs="Times New Roman" w:eastAsia="Times New Roman" w:hAnsi="Times New Roman"/>
          <w:sz w:val="22"/>
          <w:szCs w:val="22"/>
          <w:color w:val="auto"/>
        </w:rPr>
        <w:t>6.2.7</w:t>
        <w:tab/>
        <w:t>whether the Participant may be required to enter into any election for a particular tax treatment in respect of their Matching Award and/or any Shares and any consequences of failing to make it.</w:t>
      </w:r>
    </w:p>
    <w:p>
      <w:pPr>
        <w:spacing w:after="0" w:line="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Elections</w:t>
      </w:r>
    </w:p>
    <w:p>
      <w:pPr>
        <w:spacing w:after="0" w:line="183" w:lineRule="exact"/>
        <w:rPr>
          <w:sz w:val="20"/>
          <w:szCs w:val="20"/>
          <w:color w:val="auto"/>
        </w:rPr>
      </w:pPr>
    </w:p>
    <w:p>
      <w:pPr>
        <w:ind w:right="500"/>
        <w:spacing w:after="0" w:line="335" w:lineRule="auto"/>
        <w:rPr>
          <w:sz w:val="20"/>
          <w:szCs w:val="20"/>
          <w:color w:val="auto"/>
        </w:rPr>
      </w:pPr>
      <w:r>
        <w:rPr>
          <w:rFonts w:ascii="Times New Roman" w:cs="Times New Roman" w:eastAsia="Times New Roman" w:hAnsi="Times New Roman"/>
          <w:sz w:val="22"/>
          <w:szCs w:val="22"/>
          <w:color w:val="auto"/>
        </w:rPr>
        <w:t>Eligible Employees who are eligible for Matching Awards will, during an Enrollment Window, in addition to satisfying the requirements of the related Purchase Right:</w:t>
      </w:r>
    </w:p>
    <w:p>
      <w:pPr>
        <w:spacing w:after="0" w:line="50"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6.3.1</w:t>
      </w:r>
      <w:r>
        <w:rPr>
          <w:sz w:val="20"/>
          <w:szCs w:val="20"/>
          <w:color w:val="auto"/>
        </w:rPr>
        <w:tab/>
      </w:r>
      <w:r>
        <w:rPr>
          <w:rFonts w:ascii="Times New Roman" w:cs="Times New Roman" w:eastAsia="Times New Roman" w:hAnsi="Times New Roman"/>
          <w:sz w:val="21"/>
          <w:szCs w:val="21"/>
          <w:color w:val="auto"/>
        </w:rPr>
        <w:t>consent to the Matching Ratio or Matching Credit, as either may apply from time to time; and</w:t>
      </w:r>
    </w:p>
    <w:p>
      <w:pPr>
        <w:spacing w:after="0" w:line="112"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2"/>
          <w:szCs w:val="22"/>
          <w:color w:val="auto"/>
        </w:rPr>
        <w:t>6.3.2</w:t>
      </w:r>
      <w:r>
        <w:rPr>
          <w:sz w:val="20"/>
          <w:szCs w:val="20"/>
          <w:color w:val="auto"/>
        </w:rPr>
        <w:tab/>
      </w:r>
      <w:r>
        <w:rPr>
          <w:rFonts w:ascii="Times New Roman" w:cs="Times New Roman" w:eastAsia="Times New Roman" w:hAnsi="Times New Roman"/>
          <w:sz w:val="21"/>
          <w:szCs w:val="21"/>
          <w:color w:val="auto"/>
        </w:rPr>
        <w:t>accept the terms applicable to their Matching Awards.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6.4 Basis of Matching Awards</w:t>
      </w:r>
    </w:p>
    <w:p>
      <w:pPr>
        <w:spacing w:after="0" w:line="183"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22"/>
          <w:szCs w:val="22"/>
          <w:color w:val="auto"/>
        </w:rPr>
        <w:t>Where an Offering specifies that Matching Awards will be granted, they will be granted in respect of the Purchased Shares, for Matching Awards in the form of Matching Shares, or Contributions, for Matching Awards in the form of Matching Credits under that Subscription Agreement, unless the Committee decides otherwise and specifies in the Subscription Agreement.</w:t>
      </w:r>
    </w:p>
    <w:p>
      <w:pPr>
        <w:spacing w:after="0" w:line="5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color w:val="auto"/>
        </w:rPr>
        <w:t>Grant of Matching Awards</w:t>
      </w:r>
    </w:p>
    <w:p>
      <w:pPr>
        <w:spacing w:after="0" w:line="183"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2"/>
          <w:szCs w:val="22"/>
          <w:color w:val="auto"/>
        </w:rPr>
        <w:t>The Committee will grant Matching Awards on the same day as the Exercise Date, or prior to the Exercise Date, if the Matching Award is in the form of Matching Credits, for the related Purchase Right, unless the Committee decides otherwise.</w:t>
      </w:r>
    </w:p>
    <w:p>
      <w:pPr>
        <w:sectPr>
          <w:pgSz w:w="11900" w:h="16838" w:orient="portrait"/>
          <w:cols w:equalWidth="0" w:num="1">
            <w:col w:w="11140"/>
          </w:cols>
          <w:pgMar w:left="320" w:top="1440" w:right="439" w:bottom="1440" w:gutter="0" w:footer="0" w:header="0"/>
        </w:sectPr>
      </w:pPr>
    </w:p>
    <w:bookmarkStart w:id="70" w:name="page71"/>
    <w:bookmarkEnd w:id="70"/>
    <w:p>
      <w:pPr>
        <w:spacing w:after="0" w:line="117" w:lineRule="exact"/>
        <w:rPr>
          <w:sz w:val="20"/>
          <w:szCs w:val="20"/>
          <w:color w:val="auto"/>
        </w:rPr>
      </w:pPr>
    </w:p>
    <w:p>
      <w:pPr>
        <w:jc w:val="both"/>
        <w:ind w:right="600"/>
        <w:spacing w:after="0" w:line="321" w:lineRule="auto"/>
        <w:rPr>
          <w:sz w:val="20"/>
          <w:szCs w:val="20"/>
          <w:color w:val="auto"/>
        </w:rPr>
      </w:pPr>
      <w:r>
        <w:rPr>
          <w:rFonts w:ascii="Times New Roman" w:cs="Times New Roman" w:eastAsia="Times New Roman" w:hAnsi="Times New Roman"/>
          <w:sz w:val="22"/>
          <w:szCs w:val="22"/>
          <w:color w:val="auto"/>
        </w:rPr>
        <w:t>If the Matching Award is in the form of a Matching Shares, the Matching Ratio will be applied to the number of Purchased Shares issued to a Participant upon the exercise of a Purchase Right on an Exercise Date to calculate the number of Shares subject to a Matching Award.</w:t>
      </w:r>
    </w:p>
    <w:p>
      <w:pPr>
        <w:spacing w:after="0" w:line="38"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22"/>
          <w:szCs w:val="22"/>
          <w:color w:val="auto"/>
        </w:rPr>
        <w:t>If the Matching Award is in the form of a Matching Credit, the Matching Credit will be applied to the Account prior to the exercise of the Purchase Right to calculate the Shares that will be purchased under a Matching Award.</w:t>
      </w: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1"/>
          <w:szCs w:val="21"/>
          <w:b w:val="1"/>
          <w:bCs w:val="1"/>
          <w:color w:val="auto"/>
        </w:rPr>
        <w:t>Fractional Entitlements (Matching Share Rights)</w:t>
      </w:r>
    </w:p>
    <w:p>
      <w:pPr>
        <w:spacing w:after="0" w:line="183"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22"/>
          <w:szCs w:val="22"/>
          <w:color w:val="auto"/>
        </w:rPr>
        <w:t>If the Committee so decides in connection with an Offering, if on the Award Date in connection with a Matching Award in the form of a Matching Share Right, the application of the Matching Ratio would result in a Matching Award of a fraction of a Share, the fraction will instead be awarded as a Fractional Entitlement. Otherwise, the Committee will determine how a Matching Award resulting in a fraction of a Share will be treated.</w:t>
      </w:r>
    </w:p>
    <w:p>
      <w:pPr>
        <w:spacing w:after="0" w:line="72" w:lineRule="exact"/>
        <w:rPr>
          <w:sz w:val="20"/>
          <w:szCs w:val="20"/>
          <w:color w:val="auto"/>
        </w:rPr>
      </w:pPr>
    </w:p>
    <w:p>
      <w:pPr>
        <w:ind w:right="80"/>
        <w:spacing w:after="0" w:line="320" w:lineRule="auto"/>
        <w:rPr>
          <w:sz w:val="20"/>
          <w:szCs w:val="20"/>
          <w:color w:val="auto"/>
        </w:rPr>
      </w:pPr>
      <w:r>
        <w:rPr>
          <w:rFonts w:ascii="Times New Roman" w:cs="Times New Roman" w:eastAsia="Times New Roman" w:hAnsi="Times New Roman"/>
          <w:sz w:val="22"/>
          <w:szCs w:val="22"/>
          <w:color w:val="auto"/>
        </w:rPr>
        <w:t>A Fractional Entitlement for a Matching Award will be calculated as the fraction of a Share that the Participant would be entitled to receive on the basis of the application of the Matching Ratio. Any Fractional Entitlements may be paid in cash or in such whole number of Shares (rounded down) with a Market Value at Vesting as nearly as practicable equal to the Fractional Entitlements.</w:t>
      </w:r>
    </w:p>
    <w:p>
      <w:pPr>
        <w:spacing w:after="0" w:line="68" w:lineRule="exact"/>
        <w:rPr>
          <w:sz w:val="20"/>
          <w:szCs w:val="20"/>
          <w:color w:val="auto"/>
        </w:rPr>
      </w:pPr>
    </w:p>
    <w:p>
      <w:pPr>
        <w:ind w:right="40"/>
        <w:spacing w:after="0" w:line="362" w:lineRule="auto"/>
        <w:rPr>
          <w:sz w:val="20"/>
          <w:szCs w:val="20"/>
          <w:color w:val="auto"/>
        </w:rPr>
      </w:pPr>
      <w:r>
        <w:rPr>
          <w:rFonts w:ascii="Times New Roman" w:cs="Times New Roman" w:eastAsia="Times New Roman" w:hAnsi="Times New Roman"/>
          <w:sz w:val="21"/>
          <w:szCs w:val="21"/>
          <w:color w:val="auto"/>
        </w:rPr>
        <w:t>The terms of the Plan will apply to a Fractional Entitlement obtained in accordance with this Section 6.6 (Fractional Entitlements (Matching Share Rights)) as if it were a Share subject to the relevant Matching Award (and interpreted accordingly).</w:t>
      </w:r>
    </w:p>
    <w:p>
      <w:pPr>
        <w:spacing w:after="0" w:line="2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6.7</w:t>
      </w:r>
      <w:r>
        <w:rPr>
          <w:sz w:val="20"/>
          <w:szCs w:val="20"/>
          <w:color w:val="auto"/>
        </w:rPr>
        <w:tab/>
      </w:r>
      <w:r>
        <w:rPr>
          <w:rFonts w:ascii="Times New Roman" w:cs="Times New Roman" w:eastAsia="Times New Roman" w:hAnsi="Times New Roman"/>
          <w:sz w:val="21"/>
          <w:szCs w:val="21"/>
          <w:b w:val="1"/>
          <w:bCs w:val="1"/>
          <w:color w:val="auto"/>
        </w:rPr>
        <w:t>Matching Credit</w:t>
      </w:r>
    </w:p>
    <w:p>
      <w:pPr>
        <w:spacing w:after="0" w:line="183" w:lineRule="exact"/>
        <w:rPr>
          <w:sz w:val="20"/>
          <w:szCs w:val="20"/>
          <w:color w:val="auto"/>
        </w:rPr>
      </w:pPr>
    </w:p>
    <w:p>
      <w:pPr>
        <w:ind w:right="460"/>
        <w:spacing w:after="0" w:line="348" w:lineRule="auto"/>
        <w:rPr>
          <w:sz w:val="20"/>
          <w:szCs w:val="20"/>
          <w:color w:val="auto"/>
        </w:rPr>
      </w:pPr>
      <w:r>
        <w:rPr>
          <w:rFonts w:ascii="Times New Roman" w:cs="Times New Roman" w:eastAsia="Times New Roman" w:hAnsi="Times New Roman"/>
          <w:sz w:val="22"/>
          <w:szCs w:val="22"/>
          <w:color w:val="auto"/>
        </w:rPr>
        <w:t>For Matching Awards in the form of Matching Credits, the Matching Credit amount will be determined by the Committee in connection with an Offering, provided that it shall not exceed 25% of a Participant’s Contribution.</w:t>
      </w:r>
    </w:p>
    <w:p>
      <w:pPr>
        <w:spacing w:after="0" w:line="3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6.8</w:t>
      </w:r>
      <w:r>
        <w:rPr>
          <w:sz w:val="20"/>
          <w:szCs w:val="20"/>
          <w:color w:val="auto"/>
        </w:rPr>
        <w:tab/>
      </w:r>
      <w:r>
        <w:rPr>
          <w:rFonts w:ascii="Times New Roman" w:cs="Times New Roman" w:eastAsia="Times New Roman" w:hAnsi="Times New Roman"/>
          <w:sz w:val="21"/>
          <w:szCs w:val="21"/>
          <w:b w:val="1"/>
          <w:bCs w:val="1"/>
          <w:color w:val="auto"/>
        </w:rPr>
        <w:t>Matching Ratio</w:t>
      </w:r>
    </w:p>
    <w:p>
      <w:pPr>
        <w:spacing w:after="0" w:line="183" w:lineRule="exact"/>
        <w:rPr>
          <w:sz w:val="20"/>
          <w:szCs w:val="20"/>
          <w:color w:val="auto"/>
        </w:rPr>
      </w:pPr>
    </w:p>
    <w:p>
      <w:pPr>
        <w:ind w:right="760"/>
        <w:spacing w:after="0" w:line="335" w:lineRule="auto"/>
        <w:rPr>
          <w:sz w:val="20"/>
          <w:szCs w:val="20"/>
          <w:color w:val="auto"/>
        </w:rPr>
      </w:pPr>
      <w:r>
        <w:rPr>
          <w:rFonts w:ascii="Times New Roman" w:cs="Times New Roman" w:eastAsia="Times New Roman" w:hAnsi="Times New Roman"/>
          <w:sz w:val="22"/>
          <w:szCs w:val="22"/>
          <w:color w:val="auto"/>
        </w:rPr>
        <w:t>For Matching Awards in the form of Matching Share Rights, the Matching Ratio will be determined by the Committee in connection with an Offering, provided that that it shall not exceed 25%.</w:t>
      </w:r>
    </w:p>
    <w:p>
      <w:pPr>
        <w:spacing w:after="0" w:line="50" w:lineRule="exact"/>
        <w:rPr>
          <w:sz w:val="20"/>
          <w:szCs w:val="20"/>
          <w:color w:val="auto"/>
        </w:rPr>
      </w:pPr>
    </w:p>
    <w:p>
      <w:pPr>
        <w:ind w:right="500"/>
        <w:spacing w:after="0" w:line="335" w:lineRule="auto"/>
        <w:rPr>
          <w:sz w:val="20"/>
          <w:szCs w:val="20"/>
          <w:color w:val="auto"/>
        </w:rPr>
      </w:pPr>
      <w:r>
        <w:rPr>
          <w:rFonts w:ascii="Times New Roman" w:cs="Times New Roman" w:eastAsia="Times New Roman" w:hAnsi="Times New Roman"/>
          <w:sz w:val="22"/>
          <w:szCs w:val="22"/>
          <w:color w:val="auto"/>
        </w:rPr>
        <w:t>The Committee may alter the Matching Credit amount and the Matching Ratio that applies to Matching Awards at any time, subject to the maximum limits specified above.</w:t>
      </w:r>
    </w:p>
    <w:p>
      <w:pPr>
        <w:spacing w:after="0" w:line="50" w:lineRule="exact"/>
        <w:rPr>
          <w:sz w:val="20"/>
          <w:szCs w:val="20"/>
          <w:color w:val="auto"/>
        </w:rPr>
      </w:pPr>
    </w:p>
    <w:p>
      <w:pPr>
        <w:ind w:right="620"/>
        <w:spacing w:after="0" w:line="348" w:lineRule="auto"/>
        <w:rPr>
          <w:sz w:val="20"/>
          <w:szCs w:val="20"/>
          <w:color w:val="auto"/>
        </w:rPr>
      </w:pPr>
      <w:r>
        <w:rPr>
          <w:rFonts w:ascii="Times New Roman" w:cs="Times New Roman" w:eastAsia="Times New Roman" w:hAnsi="Times New Roman"/>
          <w:sz w:val="22"/>
          <w:szCs w:val="22"/>
          <w:color w:val="auto"/>
        </w:rPr>
        <w:t>The Committee must give notice of any change to all affected Participants as soon as practicable (and, in any event, before Matching Awards are granted under the varied terms).</w:t>
      </w:r>
    </w:p>
    <w:p>
      <w:pPr>
        <w:sectPr>
          <w:pgSz w:w="11900" w:h="16838" w:orient="portrait"/>
          <w:cols w:equalWidth="0" w:num="1">
            <w:col w:w="11220"/>
          </w:cols>
          <w:pgMar w:left="320" w:top="1440" w:right="359" w:bottom="1440" w:gutter="0" w:footer="0" w:header="0"/>
        </w:sectPr>
      </w:pPr>
    </w:p>
    <w:bookmarkStart w:id="71" w:name="page72"/>
    <w:bookmarkEnd w:id="71"/>
    <w:p>
      <w:pPr>
        <w:spacing w:after="0" w:line="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6.9</w:t>
      </w:r>
      <w:r>
        <w:rPr>
          <w:sz w:val="20"/>
          <w:szCs w:val="20"/>
          <w:color w:val="auto"/>
        </w:rPr>
        <w:tab/>
      </w:r>
      <w:r>
        <w:rPr>
          <w:rFonts w:ascii="Times New Roman" w:cs="Times New Roman" w:eastAsia="Times New Roman" w:hAnsi="Times New Roman"/>
          <w:sz w:val="21"/>
          <w:szCs w:val="21"/>
          <w:b w:val="1"/>
          <w:bCs w:val="1"/>
          <w:color w:val="auto"/>
        </w:rPr>
        <w:t>No Payment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Participant is not required to pay for the grant of a Matching Award.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6.10 Transfer or Sale of Related Purchased Shares</w:t>
      </w:r>
    </w:p>
    <w:p>
      <w:pPr>
        <w:spacing w:after="0" w:line="183" w:lineRule="exact"/>
        <w:rPr>
          <w:sz w:val="20"/>
          <w:szCs w:val="20"/>
          <w:color w:val="auto"/>
        </w:rPr>
      </w:pPr>
    </w:p>
    <w:p>
      <w:pPr>
        <w:ind w:right="220"/>
        <w:spacing w:after="0" w:line="327" w:lineRule="auto"/>
        <w:rPr>
          <w:sz w:val="20"/>
          <w:szCs w:val="20"/>
          <w:color w:val="auto"/>
        </w:rPr>
      </w:pPr>
      <w:r>
        <w:rPr>
          <w:rFonts w:ascii="Times New Roman" w:cs="Times New Roman" w:eastAsia="Times New Roman" w:hAnsi="Times New Roman"/>
          <w:sz w:val="22"/>
          <w:szCs w:val="22"/>
          <w:color w:val="auto"/>
        </w:rPr>
        <w:t>If, before Vesting, a Participant directs the Company to transfer, sell or otherwise dispose of any Purchased Shares relating to their Matching Award, the Matching Award or Matching Shares, as applicable, will be Forfeited in proportion to the number of Purchased Shares transferred, sold or disposed of, unless the Committee decides otherwise.</w:t>
      </w:r>
    </w:p>
    <w:p>
      <w:pPr>
        <w:spacing w:after="0" w:line="55" w:lineRule="exact"/>
        <w:rPr>
          <w:sz w:val="20"/>
          <w:szCs w:val="20"/>
          <w:color w:val="auto"/>
        </w:rPr>
      </w:pPr>
    </w:p>
    <w:p>
      <w:pPr>
        <w:ind w:right="4560" w:firstLine="8"/>
        <w:spacing w:after="0" w:line="411" w:lineRule="auto"/>
        <w:tabs>
          <w:tab w:leader="none" w:pos="445"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Operating the Plan on an Evergreen Basis or for a Specified Period 7.1 Changes to Awards or Terms</w:t>
      </w:r>
    </w:p>
    <w:p>
      <w:pPr>
        <w:spacing w:after="0" w:line="2"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22"/>
          <w:szCs w:val="22"/>
          <w:color w:val="auto"/>
        </w:rPr>
        <w:t>Where Awards are being operated on an Evergreen Basis or over a specified period (as opposed to a one-off), the Committee may change any term applicable to a Participant’s future Awards and/or future participation, including in relation to minimum or maximum Contribution limits, subject to the maximum Contribution limit specified in Section 5.2.6 hereof, and the Matching Ratio that will apply. The Committee must give notice of any such change to a Participant before an Award is made under the varied terms.</w:t>
      </w:r>
    </w:p>
    <w:p>
      <w:pPr>
        <w:spacing w:after="0" w:line="71" w:lineRule="exact"/>
        <w:rPr>
          <w:sz w:val="20"/>
          <w:szCs w:val="20"/>
          <w:color w:val="auto"/>
        </w:rPr>
      </w:pPr>
    </w:p>
    <w:p>
      <w:pPr>
        <w:jc w:val="both"/>
        <w:ind w:right="320"/>
        <w:spacing w:after="0" w:line="362" w:lineRule="auto"/>
        <w:rPr>
          <w:sz w:val="20"/>
          <w:szCs w:val="20"/>
          <w:color w:val="auto"/>
        </w:rPr>
      </w:pPr>
      <w:r>
        <w:rPr>
          <w:rFonts w:ascii="Times New Roman" w:cs="Times New Roman" w:eastAsia="Times New Roman" w:hAnsi="Times New Roman"/>
          <w:sz w:val="21"/>
          <w:szCs w:val="21"/>
          <w:color w:val="auto"/>
        </w:rPr>
        <w:t>If the change relates to the Contribution limits that will apply, any Contribution still to be made that would be greater than the new maximum or less than the new minimum will be deemed to be modified accordingly in order to fit within the new limits.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Committee may make such a change prior to an Enrollment Window, or at any other time it decides.</w:t>
      </w:r>
    </w:p>
    <w:p>
      <w:pPr>
        <w:spacing w:after="0" w:line="18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Cancelling or Curtailing the Operation of the Plan</w:t>
      </w:r>
    </w:p>
    <w:p>
      <w:pPr>
        <w:spacing w:after="0" w:line="183" w:lineRule="exact"/>
        <w:rPr>
          <w:sz w:val="20"/>
          <w:szCs w:val="20"/>
          <w:color w:val="auto"/>
        </w:rPr>
      </w:pPr>
    </w:p>
    <w:p>
      <w:pPr>
        <w:spacing w:after="0" w:line="321" w:lineRule="auto"/>
        <w:rPr>
          <w:sz w:val="20"/>
          <w:szCs w:val="20"/>
          <w:color w:val="auto"/>
        </w:rPr>
      </w:pPr>
      <w:r>
        <w:rPr>
          <w:rFonts w:ascii="Times New Roman" w:cs="Times New Roman" w:eastAsia="Times New Roman" w:hAnsi="Times New Roman"/>
          <w:sz w:val="22"/>
          <w:szCs w:val="22"/>
          <w:color w:val="auto"/>
        </w:rPr>
        <w:t>The Committee may decide, at any time, to cancel the operation of Awards on an Evergreen Basis or to curtail the specified period over which the Awards were intended to run, which will mean that no new Awards will be made based on prior Participant elections. The Committee will notify all affected Participants as soon as practicable.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Committee’s decision will not affect subsisting Awards.</w:t>
      </w:r>
    </w:p>
    <w:p>
      <w:pPr>
        <w:spacing w:after="0" w:line="175" w:lineRule="exact"/>
        <w:rPr>
          <w:sz w:val="20"/>
          <w:szCs w:val="20"/>
          <w:color w:val="auto"/>
        </w:rPr>
      </w:pPr>
    </w:p>
    <w:p>
      <w:pPr>
        <w:ind w:right="8140" w:firstLine="8"/>
        <w:spacing w:after="0" w:line="418" w:lineRule="auto"/>
        <w:tabs>
          <w:tab w:leader="none" w:pos="445"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Matching Awards 8.1 Timing of Vesting</w:t>
      </w:r>
    </w:p>
    <w:p>
      <w:pPr>
        <w:spacing w:after="0"/>
        <w:rPr>
          <w:sz w:val="20"/>
          <w:szCs w:val="20"/>
          <w:color w:val="auto"/>
        </w:rPr>
      </w:pPr>
      <w:r>
        <w:rPr>
          <w:rFonts w:ascii="Times New Roman" w:cs="Times New Roman" w:eastAsia="Times New Roman" w:hAnsi="Times New Roman"/>
          <w:sz w:val="22"/>
          <w:szCs w:val="22"/>
          <w:color w:val="auto"/>
        </w:rPr>
        <w:t>Matching Awards will Vest at such times as the Committee determines in connection with an Offering.</w:t>
      </w:r>
    </w:p>
    <w:p>
      <w:pPr>
        <w:spacing w:after="0" w:line="175"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Matching Share Rights</w:t>
      </w:r>
    </w:p>
    <w:p>
      <w:pPr>
        <w:sectPr>
          <w:pgSz w:w="11900" w:h="16838" w:orient="portrait"/>
          <w:cols w:equalWidth="0" w:num="1">
            <w:col w:w="11200"/>
          </w:cols>
          <w:pgMar w:left="320" w:top="1440" w:right="379" w:bottom="1440" w:gutter="0" w:footer="0" w:header="0"/>
        </w:sectPr>
      </w:pPr>
    </w:p>
    <w:bookmarkStart w:id="72" w:name="page73"/>
    <w:bookmarkEnd w:id="72"/>
    <w:p>
      <w:pPr>
        <w:spacing w:after="0" w:line="4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Cash Alternative</w:t>
      </w:r>
    </w:p>
    <w:p>
      <w:pPr>
        <w:spacing w:after="0" w:line="183" w:lineRule="exact"/>
        <w:rPr>
          <w:sz w:val="20"/>
          <w:szCs w:val="20"/>
          <w:color w:val="auto"/>
        </w:rPr>
      </w:pPr>
    </w:p>
    <w:p>
      <w:pPr>
        <w:jc w:val="both"/>
        <w:ind w:right="220"/>
        <w:spacing w:after="0" w:line="321" w:lineRule="auto"/>
        <w:rPr>
          <w:sz w:val="20"/>
          <w:szCs w:val="20"/>
          <w:color w:val="auto"/>
        </w:rPr>
      </w:pPr>
      <w:r>
        <w:rPr>
          <w:rFonts w:ascii="Times New Roman" w:cs="Times New Roman" w:eastAsia="Times New Roman" w:hAnsi="Times New Roman"/>
          <w:sz w:val="22"/>
          <w:szCs w:val="22"/>
          <w:color w:val="auto"/>
        </w:rPr>
        <w:t>The Committee may choose (whether at the time of grant or any other time before settlement) to settle any Matching Award in the form of a Matching Share Right partly or fully in cash. The Participant will have no right to acquire the Shares in respect of which the Award has been settled in cash.</w:t>
      </w:r>
    </w:p>
    <w:p>
      <w:pPr>
        <w:spacing w:after="0" w:line="6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Delivery of Shares or Cash</w:t>
      </w:r>
    </w:p>
    <w:p>
      <w:pPr>
        <w:spacing w:after="0" w:line="183"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22"/>
          <w:szCs w:val="22"/>
          <w:color w:val="auto"/>
        </w:rPr>
        <w:t>If a Matching Award Vests, the Company will arrange for the issuance of Shares and/or cash as soon as practicable after Vesting (and if in the form of Matching Shares, release of transfer restrictions), and no later than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third month following the end of the year the Matching Award Vests to the extent necessary for the Matching Award to be exempt from or comply with Section 409A of the Code.</w:t>
      </w:r>
    </w:p>
    <w:p>
      <w:pPr>
        <w:spacing w:after="0" w:line="8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Dividend Equivalents</w:t>
      </w:r>
    </w:p>
    <w:p>
      <w:pPr>
        <w:spacing w:after="0" w:line="183"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22"/>
          <w:szCs w:val="22"/>
          <w:color w:val="auto"/>
        </w:rPr>
        <w:t>Where an Award includes Dividend Equivalents, the Participant will receive, for Matching Awards in the form of Matching Share Rights, an amount equal to the dividends, the record date for which falls between the Award Date and the date the Matching Award is settled, multiplied by the number of Shares in respect of which the Matching Award Vests.</w:t>
      </w:r>
    </w:p>
    <w:p>
      <w:pPr>
        <w:spacing w:after="0" w:line="59" w:lineRule="exact"/>
        <w:rPr>
          <w:sz w:val="20"/>
          <w:szCs w:val="20"/>
          <w:color w:val="auto"/>
        </w:rPr>
      </w:pPr>
    </w:p>
    <w:p>
      <w:pPr>
        <w:ind w:right="220"/>
        <w:spacing w:after="0" w:line="335" w:lineRule="auto"/>
        <w:rPr>
          <w:sz w:val="20"/>
          <w:szCs w:val="20"/>
          <w:color w:val="auto"/>
        </w:rPr>
      </w:pPr>
      <w:r>
        <w:rPr>
          <w:rFonts w:ascii="Times New Roman" w:cs="Times New Roman" w:eastAsia="Times New Roman" w:hAnsi="Times New Roman"/>
          <w:sz w:val="22"/>
          <w:szCs w:val="22"/>
          <w:color w:val="auto"/>
        </w:rPr>
        <w:t>Dividend Equivalents will be calculated on such basis as the Committee decides. Special dividends will not be included, unless the Committee decides otherwise.</w:t>
      </w:r>
    </w:p>
    <w:p>
      <w:pPr>
        <w:spacing w:after="0" w:line="50" w:lineRule="exact"/>
        <w:rPr>
          <w:sz w:val="20"/>
          <w:szCs w:val="20"/>
          <w:color w:val="auto"/>
        </w:rPr>
      </w:pPr>
    </w:p>
    <w:p>
      <w:pPr>
        <w:jc w:val="both"/>
        <w:ind w:right="560"/>
        <w:spacing w:after="0" w:line="321" w:lineRule="auto"/>
        <w:rPr>
          <w:sz w:val="20"/>
          <w:szCs w:val="20"/>
          <w:color w:val="auto"/>
        </w:rPr>
      </w:pPr>
      <w:r>
        <w:rPr>
          <w:rFonts w:ascii="Times New Roman" w:cs="Times New Roman" w:eastAsia="Times New Roman" w:hAnsi="Times New Roman"/>
          <w:sz w:val="22"/>
          <w:szCs w:val="22"/>
          <w:color w:val="auto"/>
        </w:rPr>
        <w:t>Any Dividend Equivalents may be paid in cash, or in such whole number of Shares (rounded down) with a Market Value at Vesting that is closest to that amount. Dividend Equivalents will be paid on the same date and the same terms as the related Award.</w:t>
      </w:r>
    </w:p>
    <w:p>
      <w:pPr>
        <w:spacing w:after="0" w:line="6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10.</w:t>
      </w:r>
      <w:r>
        <w:rPr>
          <w:sz w:val="20"/>
          <w:szCs w:val="20"/>
          <w:color w:val="auto"/>
        </w:rPr>
        <w:tab/>
      </w:r>
      <w:r>
        <w:rPr>
          <w:rFonts w:ascii="Times New Roman" w:cs="Times New Roman" w:eastAsia="Times New Roman" w:hAnsi="Times New Roman"/>
          <w:sz w:val="21"/>
          <w:szCs w:val="21"/>
          <w:b w:val="1"/>
          <w:bCs w:val="1"/>
          <w:color w:val="auto"/>
        </w:rPr>
        <w:t>Plan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 Shareholder Rights</w:t>
      </w:r>
    </w:p>
    <w:p>
      <w:pPr>
        <w:spacing w:after="0" w:line="183"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2"/>
          <w:szCs w:val="22"/>
          <w:color w:val="auto"/>
        </w:rPr>
        <w:t>Participants will only be entitled to rights attaching to Shares from the date the Shares issued to them and the Shares are recorded in the books of the Company (or agent).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10.2 Withdrawing Plan Shares</w:t>
      </w:r>
    </w:p>
    <w:p>
      <w:pPr>
        <w:spacing w:after="0" w:line="183" w:lineRule="exact"/>
        <w:rPr>
          <w:sz w:val="20"/>
          <w:szCs w:val="20"/>
          <w:color w:val="auto"/>
        </w:rPr>
      </w:pPr>
    </w:p>
    <w:p>
      <w:pPr>
        <w:ind w:right="900"/>
        <w:spacing w:after="0" w:line="335" w:lineRule="auto"/>
        <w:rPr>
          <w:sz w:val="20"/>
          <w:szCs w:val="20"/>
          <w:color w:val="auto"/>
        </w:rPr>
      </w:pPr>
      <w:r>
        <w:rPr>
          <w:rFonts w:ascii="Times New Roman" w:cs="Times New Roman" w:eastAsia="Times New Roman" w:hAnsi="Times New Roman"/>
          <w:sz w:val="22"/>
          <w:szCs w:val="22"/>
          <w:color w:val="auto"/>
        </w:rPr>
        <w:t>The Participant may sell their Plan Shares at any time, subject to Dealing Restrictions and the terms of the Participant’s Subscription Agreement (or similar document).</w:t>
      </w:r>
    </w:p>
    <w:p>
      <w:pPr>
        <w:spacing w:after="0" w:line="5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Changes in Eligibility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11.1 Becoming a Section 16 Officer</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a Participant remains employed by a Member of the Group but becomes subject to the reporting requirements of Section 16(a)</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1934 Act:</w:t>
      </w:r>
    </w:p>
    <w:p>
      <w:pPr>
        <w:spacing w:after="0" w:line="179" w:lineRule="exact"/>
        <w:rPr>
          <w:sz w:val="20"/>
          <w:szCs w:val="20"/>
          <w:color w:val="auto"/>
        </w:rPr>
      </w:pPr>
    </w:p>
    <w:p>
      <w:pPr>
        <w:ind w:left="1100" w:right="220" w:hanging="647"/>
        <w:spacing w:after="0" w:line="342" w:lineRule="auto"/>
        <w:rPr>
          <w:sz w:val="20"/>
          <w:szCs w:val="20"/>
          <w:color w:val="auto"/>
        </w:rPr>
      </w:pPr>
      <w:r>
        <w:rPr>
          <w:rFonts w:ascii="Times New Roman" w:cs="Times New Roman" w:eastAsia="Times New Roman" w:hAnsi="Times New Roman"/>
          <w:sz w:val="21"/>
          <w:szCs w:val="21"/>
          <w:color w:val="auto"/>
        </w:rPr>
        <w:t>11.1.1 the Participant’s Contributions will stop as soon as administratively practicable and, once stopped, the Participant will not be entitled to make any further Contributions under the Participant’s current Subscription Agreement;</w:t>
      </w:r>
    </w:p>
    <w:p>
      <w:pPr>
        <w:ind w:left="460"/>
        <w:spacing w:after="0"/>
        <w:rPr>
          <w:sz w:val="20"/>
          <w:szCs w:val="20"/>
          <w:color w:val="auto"/>
        </w:rPr>
      </w:pPr>
      <w:r>
        <w:rPr>
          <w:rFonts w:ascii="Times New Roman" w:cs="Times New Roman" w:eastAsia="Times New Roman" w:hAnsi="Times New Roman"/>
          <w:sz w:val="22"/>
          <w:szCs w:val="22"/>
          <w:color w:val="auto"/>
        </w:rPr>
        <w:t>11.1.2 any Contributions already made will be used to purchase Shares on the next expected Exercise Date;</w:t>
      </w:r>
    </w:p>
    <w:p>
      <w:pPr>
        <w:spacing w:after="0" w:line="112" w:lineRule="exact"/>
        <w:rPr>
          <w:sz w:val="20"/>
          <w:szCs w:val="20"/>
          <w:color w:val="auto"/>
        </w:rPr>
      </w:pPr>
    </w:p>
    <w:p>
      <w:pPr>
        <w:ind w:left="1100" w:right="420" w:hanging="647"/>
        <w:spacing w:after="0" w:line="326" w:lineRule="auto"/>
        <w:rPr>
          <w:sz w:val="20"/>
          <w:szCs w:val="20"/>
          <w:color w:val="auto"/>
        </w:rPr>
      </w:pPr>
      <w:r>
        <w:rPr>
          <w:rFonts w:ascii="Times New Roman" w:cs="Times New Roman" w:eastAsia="Times New Roman" w:hAnsi="Times New Roman"/>
          <w:sz w:val="22"/>
          <w:szCs w:val="22"/>
          <w:color w:val="auto"/>
        </w:rPr>
        <w:t>11.1.3 aside from any final purchase under Section 11.1.2, no further Shares may be purchased under the Participant’s current Subscription Agreement;</w:t>
      </w:r>
    </w:p>
    <w:p>
      <w:pPr>
        <w:spacing w:after="0" w:line="1" w:lineRule="exact"/>
        <w:rPr>
          <w:sz w:val="20"/>
          <w:szCs w:val="20"/>
          <w:color w:val="auto"/>
        </w:rPr>
      </w:pPr>
    </w:p>
    <w:p>
      <w:pPr>
        <w:ind w:left="1100" w:right="20" w:hanging="647"/>
        <w:spacing w:after="0" w:line="326" w:lineRule="auto"/>
        <w:rPr>
          <w:sz w:val="20"/>
          <w:szCs w:val="20"/>
          <w:color w:val="auto"/>
        </w:rPr>
      </w:pPr>
      <w:r>
        <w:rPr>
          <w:rFonts w:ascii="Times New Roman" w:cs="Times New Roman" w:eastAsia="Times New Roman" w:hAnsi="Times New Roman"/>
          <w:sz w:val="22"/>
          <w:szCs w:val="22"/>
          <w:color w:val="auto"/>
        </w:rPr>
        <w:t>11.1.4 if there is a final purchase under Section 11.1.2, a final Matching Award may be granted in respect of the Purchased Shares issued to the Participant on the final Exercise Date;</w:t>
      </w:r>
    </w:p>
    <w:p>
      <w:pPr>
        <w:spacing w:after="0" w:line="1" w:lineRule="exact"/>
        <w:rPr>
          <w:sz w:val="20"/>
          <w:szCs w:val="20"/>
          <w:color w:val="auto"/>
        </w:rPr>
      </w:pPr>
    </w:p>
    <w:p>
      <w:pPr>
        <w:ind w:left="1100" w:right="240" w:hanging="647"/>
        <w:spacing w:after="0" w:line="326" w:lineRule="auto"/>
        <w:rPr>
          <w:sz w:val="20"/>
          <w:szCs w:val="20"/>
          <w:color w:val="auto"/>
        </w:rPr>
      </w:pPr>
      <w:r>
        <w:rPr>
          <w:rFonts w:ascii="Times New Roman" w:cs="Times New Roman" w:eastAsia="Times New Roman" w:hAnsi="Times New Roman"/>
          <w:sz w:val="22"/>
          <w:szCs w:val="22"/>
          <w:color w:val="auto"/>
        </w:rPr>
        <w:t>11.1.5 all of the Participant’s Unvested Matching Awards (including any Matching Award granted under Section 11.1.4) will immediately be Forfeited; and</w:t>
      </w:r>
    </w:p>
    <w:p>
      <w:pPr>
        <w:spacing w:after="0" w:line="1" w:lineRule="exact"/>
        <w:rPr>
          <w:sz w:val="20"/>
          <w:szCs w:val="20"/>
          <w:color w:val="auto"/>
        </w:rPr>
      </w:pPr>
    </w:p>
    <w:p>
      <w:pPr>
        <w:ind w:left="1100" w:right="220" w:hanging="647"/>
        <w:spacing w:after="0" w:line="335" w:lineRule="auto"/>
        <w:rPr>
          <w:sz w:val="20"/>
          <w:szCs w:val="20"/>
          <w:color w:val="auto"/>
        </w:rPr>
      </w:pPr>
      <w:r>
        <w:rPr>
          <w:rFonts w:ascii="Times New Roman" w:cs="Times New Roman" w:eastAsia="Times New Roman" w:hAnsi="Times New Roman"/>
          <w:sz w:val="22"/>
          <w:szCs w:val="22"/>
          <w:color w:val="auto"/>
        </w:rPr>
        <w:t>11.1.6 any dividends payable on the Participant’s Plan Shares after they become subject to the reporting requirements of Section 16(a) of the 1934 Act will be paid in cash,</w:t>
      </w:r>
    </w:p>
    <w:p>
      <w:pPr>
        <w:spacing w:after="0" w:line="50" w:lineRule="exact"/>
        <w:rPr>
          <w:sz w:val="20"/>
          <w:szCs w:val="20"/>
          <w:color w:val="auto"/>
        </w:rPr>
      </w:pPr>
    </w:p>
    <w:p>
      <w:pPr>
        <w:ind w:right="180"/>
        <w:spacing w:after="0" w:line="335" w:lineRule="auto"/>
        <w:rPr>
          <w:sz w:val="20"/>
          <w:szCs w:val="20"/>
          <w:color w:val="auto"/>
        </w:rPr>
      </w:pPr>
      <w:r>
        <w:rPr>
          <w:rFonts w:ascii="Times New Roman" w:cs="Times New Roman" w:eastAsia="Times New Roman" w:hAnsi="Times New Roman"/>
          <w:sz w:val="22"/>
          <w:szCs w:val="22"/>
          <w:color w:val="auto"/>
        </w:rPr>
        <w:t>in each case unless and to the extent the Committee decides otherwise (in which case the Committee will decide the terms that will apply).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11.2 Commencing Unpaid Leave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Committee may establish provisions and/or policies that will apply to Participant who take a leave of absence.</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Transfers and Assignments</w:t>
      </w:r>
    </w:p>
    <w:p>
      <w:pPr>
        <w:spacing w:after="0" w:line="183" w:lineRule="exact"/>
        <w:rPr>
          <w:sz w:val="20"/>
          <w:szCs w:val="20"/>
          <w:color w:val="auto"/>
        </w:rPr>
      </w:pPr>
    </w:p>
    <w:p>
      <w:pPr>
        <w:ind w:right="460"/>
        <w:spacing w:after="0" w:line="321" w:lineRule="auto"/>
        <w:rPr>
          <w:sz w:val="20"/>
          <w:szCs w:val="20"/>
          <w:color w:val="auto"/>
        </w:rPr>
      </w:pPr>
      <w:r>
        <w:rPr>
          <w:rFonts w:ascii="Times New Roman" w:cs="Times New Roman" w:eastAsia="Times New Roman" w:hAnsi="Times New Roman"/>
          <w:sz w:val="22"/>
          <w:szCs w:val="22"/>
          <w:color w:val="auto"/>
        </w:rPr>
        <w:t>The Committee may establish provisions and or policies that will apply upon a Participant’s transfer of employment (internationally or domestically) to another Member of the Group or upon a Participant’s Company-sponsored international assignment to another Member of the Group.</w:t>
      </w:r>
    </w:p>
    <w:p>
      <w:pPr>
        <w:spacing w:after="0" w:line="7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Termination of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13.1 Impact of Termination of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Upon a Participant’s Termination of Service:</w:t>
      </w:r>
    </w:p>
    <w:p>
      <w:pPr>
        <w:spacing w:after="0" w:line="179" w:lineRule="exact"/>
        <w:rPr>
          <w:sz w:val="20"/>
          <w:szCs w:val="20"/>
          <w:color w:val="auto"/>
        </w:rPr>
      </w:pPr>
    </w:p>
    <w:p>
      <w:pPr>
        <w:ind w:left="1100" w:right="200" w:hanging="647"/>
        <w:spacing w:after="0" w:line="335" w:lineRule="auto"/>
        <w:rPr>
          <w:sz w:val="20"/>
          <w:szCs w:val="20"/>
          <w:color w:val="auto"/>
        </w:rPr>
      </w:pPr>
      <w:r>
        <w:rPr>
          <w:rFonts w:ascii="Times New Roman" w:cs="Times New Roman" w:eastAsia="Times New Roman" w:hAnsi="Times New Roman"/>
          <w:sz w:val="22"/>
          <w:szCs w:val="22"/>
          <w:color w:val="auto"/>
        </w:rPr>
        <w:t>13.1.1 the Participant’s Contributions will stop as soon as administratively practicable and, once stopped, the Participant will not be entitled to make any further Contributions;</w:t>
      </w:r>
    </w:p>
    <w:p>
      <w:pPr>
        <w:sectPr>
          <w:pgSz w:w="11900" w:h="16838" w:orient="portrait"/>
          <w:cols w:equalWidth="0" w:num="1">
            <w:col w:w="11120"/>
          </w:cols>
          <w:pgMar w:left="320" w:top="1440" w:right="459" w:bottom="1440" w:gutter="0" w:footer="0" w:header="0"/>
        </w:sectPr>
      </w:pPr>
    </w:p>
    <w:bookmarkStart w:id="74" w:name="page75"/>
    <w:bookmarkEnd w:id="74"/>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13.1.2 any Contributions already made will be used to purchase Shares on the next expected Exercise Date;</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13.1.3 aside from any final purchase under Section 13.1.2 hereof, no further Shares may be purchased under the Plan;</w:t>
      </w:r>
    </w:p>
    <w:p>
      <w:pPr>
        <w:spacing w:after="0" w:line="98" w:lineRule="exact"/>
        <w:rPr>
          <w:sz w:val="20"/>
          <w:szCs w:val="20"/>
          <w:color w:val="auto"/>
        </w:rPr>
      </w:pPr>
    </w:p>
    <w:p>
      <w:pPr>
        <w:ind w:left="1100" w:right="380" w:hanging="647"/>
        <w:spacing w:after="0" w:line="320" w:lineRule="auto"/>
        <w:rPr>
          <w:sz w:val="20"/>
          <w:szCs w:val="20"/>
          <w:color w:val="auto"/>
        </w:rPr>
      </w:pPr>
      <w:r>
        <w:rPr>
          <w:rFonts w:ascii="Times New Roman" w:cs="Times New Roman" w:eastAsia="Times New Roman" w:hAnsi="Times New Roman"/>
          <w:sz w:val="22"/>
          <w:szCs w:val="22"/>
          <w:color w:val="auto"/>
        </w:rPr>
        <w:t>13.1.4 if there is a final purchase under Section 13.1.2 hereof, a final Matching Award may be granted in respect of the Purchased Shares to be purchased upon the final Exercise Date;</w:t>
      </w:r>
    </w:p>
    <w:p>
      <w:pPr>
        <w:ind w:left="1100" w:right="340" w:hanging="647"/>
        <w:spacing w:after="0" w:line="313" w:lineRule="auto"/>
        <w:rPr>
          <w:sz w:val="20"/>
          <w:szCs w:val="20"/>
          <w:color w:val="auto"/>
        </w:rPr>
      </w:pPr>
      <w:r>
        <w:rPr>
          <w:rFonts w:ascii="Times New Roman" w:cs="Times New Roman" w:eastAsia="Times New Roman" w:hAnsi="Times New Roman"/>
          <w:sz w:val="22"/>
          <w:szCs w:val="22"/>
          <w:color w:val="auto"/>
        </w:rPr>
        <w:t>13.1.5 all of the Participant’s Unvested Matching Awards (including any Matching Award granted under Section 13.1.4 hereof) will immediately be Forfeited; and</w:t>
      </w:r>
    </w:p>
    <w:p>
      <w:pPr>
        <w:spacing w:after="0" w:line="2" w:lineRule="exact"/>
        <w:rPr>
          <w:sz w:val="20"/>
          <w:szCs w:val="20"/>
          <w:color w:val="auto"/>
        </w:rPr>
      </w:pPr>
    </w:p>
    <w:p>
      <w:pPr>
        <w:ind w:left="1100" w:right="80" w:hanging="647"/>
        <w:spacing w:after="0" w:line="335" w:lineRule="auto"/>
        <w:rPr>
          <w:sz w:val="20"/>
          <w:szCs w:val="20"/>
          <w:color w:val="auto"/>
        </w:rPr>
      </w:pPr>
      <w:r>
        <w:rPr>
          <w:rFonts w:ascii="Times New Roman" w:cs="Times New Roman" w:eastAsia="Times New Roman" w:hAnsi="Times New Roman"/>
          <w:sz w:val="22"/>
          <w:szCs w:val="22"/>
          <w:color w:val="auto"/>
        </w:rPr>
        <w:t>13.1.6 any dividends payable on the Participant’s Plan Shares after the Participant’s Termination of Service will be paid in cash,</w:t>
      </w:r>
    </w:p>
    <w:p>
      <w:pPr>
        <w:spacing w:after="0" w:line="36" w:lineRule="exact"/>
        <w:rPr>
          <w:sz w:val="20"/>
          <w:szCs w:val="20"/>
          <w:color w:val="auto"/>
        </w:rPr>
      </w:pPr>
    </w:p>
    <w:p>
      <w:pPr>
        <w:ind w:right="220"/>
        <w:spacing w:after="0" w:line="335" w:lineRule="auto"/>
        <w:rPr>
          <w:sz w:val="20"/>
          <w:szCs w:val="20"/>
          <w:color w:val="auto"/>
        </w:rPr>
      </w:pPr>
      <w:r>
        <w:rPr>
          <w:rFonts w:ascii="Times New Roman" w:cs="Times New Roman" w:eastAsia="Times New Roman" w:hAnsi="Times New Roman"/>
          <w:sz w:val="22"/>
          <w:szCs w:val="22"/>
          <w:color w:val="auto"/>
        </w:rPr>
        <w:t>in each case unless and to the extent the Committee decides otherwise (in which case the Committee will decide the terms that will apply).</w:t>
      </w:r>
    </w:p>
    <w:p>
      <w:pPr>
        <w:spacing w:after="0" w:line="3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Change in Control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14.1 Vesting of Matching Awards</w:t>
      </w:r>
    </w:p>
    <w:p>
      <w:pPr>
        <w:spacing w:after="0" w:line="170" w:lineRule="exact"/>
        <w:rPr>
          <w:sz w:val="20"/>
          <w:szCs w:val="20"/>
          <w:color w:val="auto"/>
        </w:rPr>
      </w:pPr>
    </w:p>
    <w:p>
      <w:pPr>
        <w:ind w:right="320"/>
        <w:spacing w:after="0" w:line="335" w:lineRule="auto"/>
        <w:rPr>
          <w:sz w:val="20"/>
          <w:szCs w:val="20"/>
          <w:color w:val="auto"/>
        </w:rPr>
      </w:pPr>
      <w:r>
        <w:rPr>
          <w:rFonts w:ascii="Times New Roman" w:cs="Times New Roman" w:eastAsia="Times New Roman" w:hAnsi="Times New Roman"/>
          <w:sz w:val="22"/>
          <w:szCs w:val="22"/>
          <w:color w:val="auto"/>
        </w:rPr>
        <w:t>If there is a Change in Control, then, unless the Committee decides otherwise, Matching Awards will Vest on such date as the Committee decides.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14.2 Assumption or Exchange of Matching Awards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there is a Change in Control, the Committee may, with the consent of the surviving entity where relevant, decide that:</w:t>
      </w:r>
    </w:p>
    <w:p>
      <w:pPr>
        <w:spacing w:after="0" w:line="179" w:lineRule="exact"/>
        <w:rPr>
          <w:sz w:val="20"/>
          <w:szCs w:val="20"/>
          <w:color w:val="auto"/>
        </w:rPr>
      </w:pPr>
    </w:p>
    <w:p>
      <w:pPr>
        <w:ind w:left="1100" w:right="260" w:hanging="647"/>
        <w:spacing w:after="0" w:line="313" w:lineRule="auto"/>
        <w:rPr>
          <w:sz w:val="20"/>
          <w:szCs w:val="20"/>
          <w:color w:val="auto"/>
        </w:rPr>
      </w:pPr>
      <w:r>
        <w:rPr>
          <w:rFonts w:ascii="Times New Roman" w:cs="Times New Roman" w:eastAsia="Times New Roman" w:hAnsi="Times New Roman"/>
          <w:sz w:val="22"/>
          <w:szCs w:val="22"/>
          <w:color w:val="auto"/>
        </w:rPr>
        <w:t>14.2.1 Matching Awards will not be Vested under Section 14.1 hereof (Vesting of Matching Awards), but will instead be assumed by the surviving entity or exchanged for new awards; or</w:t>
      </w:r>
    </w:p>
    <w:p>
      <w:pPr>
        <w:spacing w:after="0" w:line="2" w:lineRule="exact"/>
        <w:rPr>
          <w:sz w:val="20"/>
          <w:szCs w:val="20"/>
          <w:color w:val="auto"/>
        </w:rPr>
      </w:pPr>
    </w:p>
    <w:p>
      <w:pPr>
        <w:ind w:left="1100" w:right="220" w:hanging="647"/>
        <w:spacing w:after="0" w:line="335" w:lineRule="auto"/>
        <w:rPr>
          <w:sz w:val="20"/>
          <w:szCs w:val="20"/>
          <w:color w:val="auto"/>
        </w:rPr>
      </w:pPr>
      <w:r>
        <w:rPr>
          <w:rFonts w:ascii="Times New Roman" w:cs="Times New Roman" w:eastAsia="Times New Roman" w:hAnsi="Times New Roman"/>
          <w:sz w:val="22"/>
          <w:szCs w:val="22"/>
          <w:color w:val="auto"/>
        </w:rPr>
        <w:t>14.2.2 Participants will be entitled to choose, within a period decided by the Committee, whether their Matching Awards will be assumed or exchanged for new awards.</w:t>
      </w:r>
    </w:p>
    <w:p>
      <w:pPr>
        <w:spacing w:after="0" w:line="36"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22"/>
          <w:szCs w:val="22"/>
          <w:color w:val="auto"/>
        </w:rPr>
        <w:t>If there is to be an assumption or exchange, the Committee will decide when it will take place. The terms of any assumed award may be amended, and any new award will be granted, so that it is on such terms and over such shares (or other type of securities) as the Committee may decide, with the consent of the surviving entity, where relevant.</w:t>
      </w:r>
    </w:p>
    <w:p>
      <w:pPr>
        <w:spacing w:after="0" w:line="74"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Unless the Committee decides otherwise, any assumed or new award will be governed by the Plan as if references to a Matching Award (as applicable) are references to the assumed or new award, references to Shares are references to the shares (or other securities) subject to the assumed award or over which the new award is granted and references to the Company are to the</w:t>
      </w:r>
    </w:p>
    <w:p>
      <w:pPr>
        <w:sectPr>
          <w:pgSz w:w="11900" w:h="16838" w:orient="portrait"/>
          <w:cols w:equalWidth="0" w:num="1">
            <w:col w:w="11160"/>
          </w:cols>
          <w:pgMar w:left="320" w:top="1440" w:right="419" w:bottom="1440" w:gutter="0" w:footer="0" w:header="0"/>
        </w:sectPr>
      </w:pPr>
    </w:p>
    <w:bookmarkStart w:id="75" w:name="page76"/>
    <w:bookmarkEnd w:id="75"/>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surviving entity, or such company as the Committee decides, and the Plan will be interpreted accordingly.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14.3 Involuntary Termination Following Assumption or Exchange</w:t>
      </w:r>
    </w:p>
    <w:p>
      <w:pPr>
        <w:spacing w:after="0" w:line="170" w:lineRule="exact"/>
        <w:rPr>
          <w:sz w:val="20"/>
          <w:szCs w:val="20"/>
          <w:color w:val="auto"/>
        </w:rPr>
      </w:pPr>
    </w:p>
    <w:p>
      <w:pPr>
        <w:ind w:right="140"/>
        <w:spacing w:after="0" w:line="335" w:lineRule="auto"/>
        <w:rPr>
          <w:sz w:val="20"/>
          <w:szCs w:val="20"/>
          <w:color w:val="auto"/>
        </w:rPr>
      </w:pPr>
      <w:r>
        <w:rPr>
          <w:rFonts w:ascii="Times New Roman" w:cs="Times New Roman" w:eastAsia="Times New Roman" w:hAnsi="Times New Roman"/>
          <w:sz w:val="22"/>
          <w:szCs w:val="22"/>
          <w:color w:val="auto"/>
        </w:rPr>
        <w:t>This provision applies if a Matching Award is assumed or exchanged in accordance with Section 14.2 (Assumption or Exchange of Matching Awards) in connection with a Change in Control.</w:t>
      </w:r>
    </w:p>
    <w:p>
      <w:pPr>
        <w:spacing w:after="0" w:line="36"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22"/>
          <w:szCs w:val="22"/>
          <w:color w:val="auto"/>
        </w:rPr>
        <w:t>If the Participant’s employment within the Group is involuntarily terminated other than for cause within one year after the effective date of the Change in Control, then Section 13 hereof (Termination of Service) will apply, except that all the Participant’s Unvested Matching Awards (including any final Matching Award granted after Termination of Service in connection with a final purchase) will continue under the terms of the Plan and Vesting either in accordance with their original timetable or at an earlier time as determined by the Committee.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14.4 Impact on Plan Shares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there is a Change in Control: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14.4.1 Participants will have the same rights in relation to their Plan Shares as other holders of Shares; and</w:t>
      </w:r>
    </w:p>
    <w:p>
      <w:pPr>
        <w:spacing w:after="0" w:line="98" w:lineRule="exact"/>
        <w:rPr>
          <w:sz w:val="20"/>
          <w:szCs w:val="20"/>
          <w:color w:val="auto"/>
        </w:rPr>
      </w:pPr>
    </w:p>
    <w:p>
      <w:pPr>
        <w:ind w:left="1100" w:right="180" w:hanging="647"/>
        <w:spacing w:after="0" w:line="308" w:lineRule="auto"/>
        <w:rPr>
          <w:sz w:val="20"/>
          <w:szCs w:val="20"/>
          <w:color w:val="auto"/>
        </w:rPr>
      </w:pPr>
      <w:r>
        <w:rPr>
          <w:rFonts w:ascii="Times New Roman" w:cs="Times New Roman" w:eastAsia="Times New Roman" w:hAnsi="Times New Roman"/>
          <w:sz w:val="22"/>
          <w:szCs w:val="22"/>
          <w:color w:val="auto"/>
        </w:rPr>
        <w:t>14.4.2 any consideration, shares, rights or other securities allotted in relation to or in exchange for any Plan Shares will be treated as if they were awarded to the Participant on the date those Plan Shares were originally awarded to the Participant and the terms of the Plan will apply to that consideration or those shares, rights or other securities as if they were Plan Shares, unless the Committee decides otherwise.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14.5 Impact on Fractional Entitlements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Committee will decide how Fractional Entitlements will be dealt with if there is a Change in Control.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14.6.Impact on Contributions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Committee will decide whether or not Contributions will continue if a Change in Control occurs.</w:t>
      </w:r>
    </w:p>
    <w:p>
      <w:pPr>
        <w:spacing w:after="0" w:line="189" w:lineRule="exact"/>
        <w:rPr>
          <w:sz w:val="20"/>
          <w:szCs w:val="20"/>
          <w:color w:val="auto"/>
        </w:rPr>
      </w:pPr>
    </w:p>
    <w:p>
      <w:pPr>
        <w:ind w:right="8280" w:firstLine="8"/>
        <w:spacing w:after="0" w:line="431" w:lineRule="auto"/>
        <w:tabs>
          <w:tab w:leader="none" w:pos="445"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Variations in Share Capital 15.1 Adjustment of Matching</w:t>
      </w:r>
    </w:p>
    <w:p>
      <w:pPr>
        <w:spacing w:after="0" w:line="1" w:lineRule="exact"/>
        <w:rPr>
          <w:sz w:val="20"/>
          <w:szCs w:val="20"/>
          <w:color w:val="auto"/>
        </w:rPr>
      </w:pPr>
    </w:p>
    <w:p>
      <w:pPr>
        <w:ind w:right="360"/>
        <w:spacing w:after="0" w:line="321" w:lineRule="auto"/>
        <w:rPr>
          <w:sz w:val="20"/>
          <w:szCs w:val="20"/>
          <w:color w:val="auto"/>
        </w:rPr>
      </w:pPr>
      <w:r>
        <w:rPr>
          <w:rFonts w:ascii="Times New Roman" w:cs="Times New Roman" w:eastAsia="Times New Roman" w:hAnsi="Times New Roman"/>
          <w:sz w:val="22"/>
          <w:szCs w:val="22"/>
          <w:color w:val="auto"/>
        </w:rPr>
        <w:t>In the event of a nonreciprocal transaction between the Company and its shareholders that causes the per-share value of the Shares to change (including, without limitation, any stock dividend, stock split, spin-off, rights offering, or large nonrecurring cash dividend), the Committee will</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17" w:lineRule="exact"/>
        <w:rPr>
          <w:sz w:val="20"/>
          <w:szCs w:val="20"/>
          <w:color w:val="auto"/>
        </w:rPr>
      </w:pPr>
    </w:p>
    <w:p>
      <w:pPr>
        <w:ind w:right="520"/>
        <w:spacing w:after="0" w:line="335" w:lineRule="auto"/>
        <w:rPr>
          <w:sz w:val="20"/>
          <w:szCs w:val="20"/>
          <w:color w:val="auto"/>
        </w:rPr>
      </w:pPr>
      <w:r>
        <w:rPr>
          <w:rFonts w:ascii="Times New Roman" w:cs="Times New Roman" w:eastAsia="Times New Roman" w:hAnsi="Times New Roman"/>
          <w:sz w:val="22"/>
          <w:szCs w:val="22"/>
          <w:color w:val="auto"/>
        </w:rPr>
        <w:t>make such adjustments to the Plan and Matching Awards as it deems necessary, in its sole discretion, to prevent dilution or enlargement of rights immediately resulting from such transaction. Action by the Committee may include:</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15.1.1 adjustment of the number and kind of shares that may be delivered under the Plan;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15.1.2 adjustment of the number and kind of shares subject to outstanding Matching Awards;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15.1.3 adjustments to the purchase price of the Shares; and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15.1.4 any other adjustments that the Committee determines to be equitable.</w:t>
      </w:r>
    </w:p>
    <w:p>
      <w:pPr>
        <w:spacing w:after="0" w:line="179" w:lineRule="exact"/>
        <w:rPr>
          <w:sz w:val="20"/>
          <w:szCs w:val="20"/>
          <w:color w:val="auto"/>
        </w:rPr>
      </w:pPr>
    </w:p>
    <w:p>
      <w:pPr>
        <w:ind w:right="260"/>
        <w:spacing w:after="0" w:line="321" w:lineRule="auto"/>
        <w:rPr>
          <w:sz w:val="20"/>
          <w:szCs w:val="20"/>
          <w:color w:val="auto"/>
        </w:rPr>
      </w:pPr>
      <w:r>
        <w:rPr>
          <w:rFonts w:ascii="Times New Roman" w:cs="Times New Roman" w:eastAsia="Times New Roman" w:hAnsi="Times New Roman"/>
          <w:sz w:val="22"/>
          <w:szCs w:val="22"/>
          <w:color w:val="auto"/>
        </w:rPr>
        <w:t>The Committee shall not make any adjustments to outstanding Matching Awards that would constitute a modification or substitution of the stock right under United States Treasury Regulation Section 1.409A-1(b)(5)(v) that would be treated as the grant of a new stock right or change in the form of payment for the purposes of Section 409A of the Code.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15.2 General Discretion</w:t>
      </w:r>
    </w:p>
    <w:p>
      <w:pPr>
        <w:spacing w:after="0" w:line="197" w:lineRule="exact"/>
        <w:rPr>
          <w:sz w:val="20"/>
          <w:szCs w:val="20"/>
          <w:color w:val="auto"/>
        </w:rPr>
      </w:pPr>
    </w:p>
    <w:p>
      <w:pPr>
        <w:ind w:right="140"/>
        <w:spacing w:after="0" w:line="321" w:lineRule="auto"/>
        <w:rPr>
          <w:sz w:val="20"/>
          <w:szCs w:val="20"/>
          <w:color w:val="auto"/>
        </w:rPr>
      </w:pPr>
      <w:r>
        <w:rPr>
          <w:rFonts w:ascii="Times New Roman" w:cs="Times New Roman" w:eastAsia="Times New Roman" w:hAnsi="Times New Roman"/>
          <w:sz w:val="22"/>
          <w:szCs w:val="22"/>
          <w:color w:val="auto"/>
        </w:rPr>
        <w:t>Upon the occurrence or in anticipation of any corporate event or transaction involving the Company (including, without limitation, any merger, reorganization, recapitalization, combination or exchange of Shares, or any transaction described in this Section 15 (Variations in Share Capital)), the Committee may, in its sole discretion, provide that:</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15.2.1 Matching Awards will immediately Vest; and/or</w:t>
      </w:r>
    </w:p>
    <w:p>
      <w:pPr>
        <w:spacing w:after="0" w:line="112" w:lineRule="exact"/>
        <w:rPr>
          <w:sz w:val="20"/>
          <w:szCs w:val="20"/>
          <w:color w:val="auto"/>
        </w:rPr>
      </w:pPr>
    </w:p>
    <w:p>
      <w:pPr>
        <w:ind w:left="1100" w:right="180" w:hanging="647"/>
        <w:spacing w:after="0" w:line="335" w:lineRule="auto"/>
        <w:rPr>
          <w:sz w:val="20"/>
          <w:szCs w:val="20"/>
          <w:color w:val="auto"/>
        </w:rPr>
      </w:pPr>
      <w:r>
        <w:rPr>
          <w:rFonts w:ascii="Times New Roman" w:cs="Times New Roman" w:eastAsia="Times New Roman" w:hAnsi="Times New Roman"/>
          <w:sz w:val="22"/>
          <w:szCs w:val="22"/>
          <w:color w:val="auto"/>
        </w:rPr>
        <w:t>15.2.2 Matching Awards will be assumed by another party to a transaction or otherwise be exchanged for a new award in connection with such transaction, in which case the Committee will determine the terms that will apply.</w:t>
      </w:r>
    </w:p>
    <w:p>
      <w:pPr>
        <w:spacing w:after="0" w:line="4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Taxes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16.1 Tax Withholding</w:t>
      </w:r>
    </w:p>
    <w:p>
      <w:pPr>
        <w:spacing w:after="0" w:line="183" w:lineRule="exact"/>
        <w:rPr>
          <w:sz w:val="20"/>
          <w:szCs w:val="20"/>
          <w:color w:val="auto"/>
        </w:rPr>
      </w:pPr>
    </w:p>
    <w:p>
      <w:pPr>
        <w:spacing w:after="0" w:line="321" w:lineRule="auto"/>
        <w:rPr>
          <w:sz w:val="20"/>
          <w:szCs w:val="20"/>
          <w:color w:val="auto"/>
        </w:rPr>
      </w:pPr>
      <w:r>
        <w:rPr>
          <w:rFonts w:ascii="Times New Roman" w:cs="Times New Roman" w:eastAsia="Times New Roman" w:hAnsi="Times New Roman"/>
          <w:sz w:val="22"/>
          <w:szCs w:val="22"/>
          <w:color w:val="auto"/>
        </w:rPr>
        <w:t>In connection with any relevant taxable or tax withholding event, as applicable, the Participant will make adequate arrangements satisfactory to the Company and/or the Participant’s employer (or former employer, as applicable) to satisfy all Tax-Related Items.</w:t>
      </w:r>
    </w:p>
    <w:p>
      <w:pPr>
        <w:spacing w:after="0" w:line="78" w:lineRule="exact"/>
        <w:rPr>
          <w:sz w:val="20"/>
          <w:szCs w:val="20"/>
          <w:color w:val="auto"/>
        </w:rPr>
      </w:pPr>
    </w:p>
    <w:p>
      <w:pPr>
        <w:ind w:right="140"/>
        <w:spacing w:after="0" w:line="321" w:lineRule="auto"/>
        <w:rPr>
          <w:sz w:val="20"/>
          <w:szCs w:val="20"/>
          <w:color w:val="auto"/>
        </w:rPr>
      </w:pPr>
      <w:r>
        <w:rPr>
          <w:rFonts w:ascii="Times New Roman" w:cs="Times New Roman" w:eastAsia="Times New Roman" w:hAnsi="Times New Roman"/>
          <w:sz w:val="22"/>
          <w:szCs w:val="22"/>
          <w:color w:val="auto"/>
        </w:rPr>
        <w:t>In this regard, the Company and/or the Participant’s employer (or former employer, as applicable), or their respective agents, at their discretion, may satisfy any applicable withholding obligations or rights with regard to all Tax-Related Items by one or a combination of the following:</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16.1.1 Require the Participant to make a payment in a form acceptable to the Company;</w:t>
      </w:r>
    </w:p>
    <w:p>
      <w:pPr>
        <w:sectPr>
          <w:pgSz w:w="11900" w:h="16838" w:orient="portrait"/>
          <w:cols w:equalWidth="0" w:num="1">
            <w:col w:w="11140"/>
          </w:cols>
          <w:pgMar w:left="320" w:top="1440" w:right="439" w:bottom="1440" w:gutter="0" w:footer="0" w:header="0"/>
        </w:sectPr>
      </w:pPr>
    </w:p>
    <w:bookmarkStart w:id="77" w:name="page78"/>
    <w:bookmarkEnd w:id="77"/>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16.1.2 Withhold from the Participant’s wages or other cash compensation payable to the Participant;</w:t>
      </w:r>
    </w:p>
    <w:p>
      <w:pPr>
        <w:spacing w:after="0" w:line="98" w:lineRule="exact"/>
        <w:rPr>
          <w:sz w:val="20"/>
          <w:szCs w:val="20"/>
          <w:color w:val="auto"/>
        </w:rPr>
      </w:pPr>
    </w:p>
    <w:p>
      <w:pPr>
        <w:ind w:left="1100" w:right="340" w:hanging="647"/>
        <w:spacing w:after="0" w:line="326" w:lineRule="auto"/>
        <w:rPr>
          <w:sz w:val="20"/>
          <w:szCs w:val="20"/>
          <w:color w:val="auto"/>
        </w:rPr>
      </w:pPr>
      <w:r>
        <w:rPr>
          <w:rFonts w:ascii="Times New Roman" w:cs="Times New Roman" w:eastAsia="Times New Roman" w:hAnsi="Times New Roman"/>
          <w:sz w:val="22"/>
          <w:szCs w:val="22"/>
          <w:color w:val="auto"/>
        </w:rPr>
        <w:t>16.1.3 Withhold from proceeds of the sale of Shares acquired upon exercise or settlement of the Award either through a voluntary sale or through a mandatory sale arranged by the Company on the Participant’s behalf;</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16.1.4 Withhold in Shares to be issued upon exercise or settlement of the Award; or</w:t>
      </w:r>
    </w:p>
    <w:p>
      <w:pPr>
        <w:spacing w:after="0" w:line="112" w:lineRule="exact"/>
        <w:rPr>
          <w:sz w:val="20"/>
          <w:szCs w:val="20"/>
          <w:color w:val="auto"/>
        </w:rPr>
      </w:pPr>
    </w:p>
    <w:p>
      <w:pPr>
        <w:ind w:left="1100" w:right="260" w:hanging="647"/>
        <w:spacing w:after="0" w:line="335" w:lineRule="auto"/>
        <w:rPr>
          <w:sz w:val="20"/>
          <w:szCs w:val="20"/>
          <w:color w:val="auto"/>
        </w:rPr>
      </w:pPr>
      <w:r>
        <w:rPr>
          <w:rFonts w:ascii="Times New Roman" w:cs="Times New Roman" w:eastAsia="Times New Roman" w:hAnsi="Times New Roman"/>
          <w:sz w:val="22"/>
          <w:szCs w:val="22"/>
          <w:color w:val="auto"/>
        </w:rPr>
        <w:t>16.1.5 Any other method of withholding determined by the Company and to the extent required by applicable law or the Plan, approved by the Committee.</w:t>
      </w:r>
    </w:p>
    <w:p>
      <w:pPr>
        <w:spacing w:after="0" w:line="59" w:lineRule="exact"/>
        <w:rPr>
          <w:sz w:val="20"/>
          <w:szCs w:val="20"/>
          <w:color w:val="auto"/>
        </w:rPr>
      </w:pPr>
    </w:p>
    <w:p>
      <w:pPr>
        <w:ind w:right="8680" w:firstLine="8"/>
        <w:spacing w:after="0" w:line="393" w:lineRule="auto"/>
        <w:tabs>
          <w:tab w:leader="none" w:pos="445"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Terms of Employment 17.1 Application</w:t>
      </w:r>
    </w:p>
    <w:p>
      <w:pPr>
        <w:spacing w:after="0" w:line="10" w:lineRule="exact"/>
        <w:rPr>
          <w:sz w:val="20"/>
          <w:szCs w:val="20"/>
          <w:color w:val="auto"/>
        </w:rPr>
      </w:pPr>
    </w:p>
    <w:p>
      <w:pPr>
        <w:ind w:right="260"/>
        <w:spacing w:after="0" w:line="335" w:lineRule="auto"/>
        <w:rPr>
          <w:sz w:val="20"/>
          <w:szCs w:val="20"/>
          <w:color w:val="auto"/>
        </w:rPr>
      </w:pPr>
      <w:r>
        <w:rPr>
          <w:rFonts w:ascii="Times New Roman" w:cs="Times New Roman" w:eastAsia="Times New Roman" w:hAnsi="Times New Roman"/>
          <w:sz w:val="22"/>
          <w:szCs w:val="22"/>
          <w:color w:val="auto"/>
        </w:rPr>
        <w:t>This Section 17 (Terms of Employment) applies during an employee’s employment and after the termination of an employee’s employment, whether or not the termination is lawful.</w:t>
      </w:r>
    </w:p>
    <w:p>
      <w:pPr>
        <w:spacing w:after="0" w:line="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color w:val="auto"/>
        </w:rPr>
        <w:t>17.2 Not Part of Employment Contract</w:t>
      </w:r>
    </w:p>
    <w:p>
      <w:pPr>
        <w:spacing w:after="0" w:line="183"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22"/>
          <w:szCs w:val="22"/>
          <w:color w:val="auto"/>
        </w:rPr>
        <w:t>Nothing in the provisions of the Plan or the operation of the Plan forms part of an employee’s contract of employment or alters it. The rights and obligations arising from the employment or former employment relationship between the employee and the relevant Member of the Group are separate from, and are not affected by, the Plan. Participation in the Plan does not create any right to, or expectation of, employment (continued or otherwise).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17.3 No Future Expectation</w:t>
      </w:r>
    </w:p>
    <w:p>
      <w:pPr>
        <w:spacing w:after="0" w:line="183" w:lineRule="exact"/>
        <w:rPr>
          <w:sz w:val="20"/>
          <w:szCs w:val="20"/>
          <w:color w:val="auto"/>
        </w:rPr>
      </w:pPr>
    </w:p>
    <w:p>
      <w:pPr>
        <w:ind w:right="160"/>
        <w:spacing w:after="0" w:line="321" w:lineRule="auto"/>
        <w:rPr>
          <w:sz w:val="20"/>
          <w:szCs w:val="20"/>
          <w:color w:val="auto"/>
        </w:rPr>
      </w:pPr>
      <w:r>
        <w:rPr>
          <w:rFonts w:ascii="Times New Roman" w:cs="Times New Roman" w:eastAsia="Times New Roman" w:hAnsi="Times New Roman"/>
          <w:sz w:val="22"/>
          <w:szCs w:val="22"/>
          <w:color w:val="auto"/>
        </w:rPr>
        <w:t>No employee has a right to participate in the Plan. Participation in the Plan or the grant of an Award on a particular basis in any year does not create any right to or expectation of participation in the Plan or the grant of an Award on the same, or any other, basis (or at all) in the future.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17.4 Decisions and Discretion</w:t>
      </w:r>
    </w:p>
    <w:p>
      <w:pPr>
        <w:spacing w:after="0" w:line="183" w:lineRule="exact"/>
        <w:rPr>
          <w:sz w:val="20"/>
          <w:szCs w:val="20"/>
          <w:color w:val="auto"/>
        </w:rPr>
      </w:pPr>
    </w:p>
    <w:p>
      <w:pPr>
        <w:jc w:val="both"/>
        <w:ind w:right="300"/>
        <w:spacing w:after="0" w:line="327" w:lineRule="auto"/>
        <w:rPr>
          <w:sz w:val="20"/>
          <w:szCs w:val="20"/>
          <w:color w:val="auto"/>
        </w:rPr>
      </w:pPr>
      <w:r>
        <w:rPr>
          <w:rFonts w:ascii="Times New Roman" w:cs="Times New Roman" w:eastAsia="Times New Roman" w:hAnsi="Times New Roman"/>
          <w:sz w:val="22"/>
          <w:szCs w:val="22"/>
          <w:color w:val="auto"/>
        </w:rPr>
        <w:t>The terms of the Plan do not entitle the employee to the exercise of any discretion in the employee’s favor. The employee will have no claim or right of action in respect of any decision, omission or discretion that may operate to the disadvantage of the employee.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17.5 No Compensation</w:t>
      </w:r>
    </w:p>
    <w:p>
      <w:pPr>
        <w:spacing w:after="0" w:line="183" w:lineRule="exact"/>
        <w:rPr>
          <w:sz w:val="20"/>
          <w:szCs w:val="20"/>
          <w:color w:val="auto"/>
        </w:rPr>
      </w:pPr>
    </w:p>
    <w:p>
      <w:pPr>
        <w:jc w:val="both"/>
        <w:ind w:right="300"/>
        <w:spacing w:after="0" w:line="335" w:lineRule="auto"/>
        <w:rPr>
          <w:sz w:val="20"/>
          <w:szCs w:val="20"/>
          <w:color w:val="auto"/>
        </w:rPr>
      </w:pPr>
      <w:r>
        <w:rPr>
          <w:rFonts w:ascii="Times New Roman" w:cs="Times New Roman" w:eastAsia="Times New Roman" w:hAnsi="Times New Roman"/>
          <w:sz w:val="22"/>
          <w:szCs w:val="22"/>
          <w:color w:val="auto"/>
        </w:rPr>
        <w:t>No employee has any right to compensation or damages for any loss (actual or potential) in relation to the Plan, including any loss in relation to:</w:t>
      </w:r>
    </w:p>
    <w:p>
      <w:pPr>
        <w:spacing w:after="0" w:line="50" w:lineRule="exact"/>
        <w:rPr>
          <w:sz w:val="20"/>
          <w:szCs w:val="20"/>
          <w:color w:val="auto"/>
        </w:rPr>
      </w:pPr>
    </w:p>
    <w:p>
      <w:pPr>
        <w:ind w:left="1100" w:right="340" w:hanging="647"/>
        <w:spacing w:after="0" w:line="348" w:lineRule="auto"/>
        <w:rPr>
          <w:sz w:val="20"/>
          <w:szCs w:val="20"/>
          <w:color w:val="auto"/>
        </w:rPr>
      </w:pPr>
      <w:r>
        <w:rPr>
          <w:rFonts w:ascii="Times New Roman" w:cs="Times New Roman" w:eastAsia="Times New Roman" w:hAnsi="Times New Roman"/>
          <w:sz w:val="22"/>
          <w:szCs w:val="22"/>
          <w:color w:val="auto"/>
        </w:rPr>
        <w:t>17.5.1 any loss or reduction of rights or expectations under the Plan in any circumstances (including lawful or unlawful termination of employment);</w:t>
      </w:r>
    </w:p>
    <w:p>
      <w:pPr>
        <w:sectPr>
          <w:pgSz w:w="11900" w:h="16838" w:orient="portrait"/>
          <w:cols w:equalWidth="0" w:num="1">
            <w:col w:w="11180"/>
          </w:cols>
          <w:pgMar w:left="320" w:top="1440" w:right="399" w:bottom="1440" w:gutter="0" w:footer="0" w:header="0"/>
        </w:sectPr>
      </w:pPr>
    </w:p>
    <w:bookmarkStart w:id="78" w:name="page79"/>
    <w:bookmarkEnd w:id="78"/>
    <w:p>
      <w:pPr>
        <w:spacing w:after="0" w:line="50" w:lineRule="exact"/>
        <w:rPr>
          <w:sz w:val="20"/>
          <w:szCs w:val="20"/>
          <w:color w:val="auto"/>
        </w:rPr>
      </w:pPr>
    </w:p>
    <w:p>
      <w:pPr>
        <w:ind w:left="1100" w:right="540" w:hanging="647"/>
        <w:spacing w:after="0" w:line="326" w:lineRule="auto"/>
        <w:rPr>
          <w:sz w:val="20"/>
          <w:szCs w:val="20"/>
          <w:color w:val="auto"/>
        </w:rPr>
      </w:pPr>
      <w:r>
        <w:rPr>
          <w:rFonts w:ascii="Times New Roman" w:cs="Times New Roman" w:eastAsia="Times New Roman" w:hAnsi="Times New Roman"/>
          <w:sz w:val="22"/>
          <w:szCs w:val="22"/>
          <w:color w:val="auto"/>
        </w:rPr>
        <w:t>17.5.2 any exercise of a discretion or a decision taken in relation to an Award or to the Plan, or any failure or delay to exercise a discretion or take a decision; and</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17.5.3 the operation, suspension, termination or amendment of the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17.6 Waiver</w:t>
      </w:r>
    </w:p>
    <w:p>
      <w:pPr>
        <w:spacing w:after="0" w:line="183" w:lineRule="exact"/>
        <w:rPr>
          <w:sz w:val="20"/>
          <w:szCs w:val="20"/>
          <w:color w:val="auto"/>
        </w:rPr>
      </w:pPr>
    </w:p>
    <w:p>
      <w:pPr>
        <w:ind w:right="60"/>
        <w:spacing w:after="0" w:line="321" w:lineRule="auto"/>
        <w:rPr>
          <w:sz w:val="20"/>
          <w:szCs w:val="20"/>
          <w:color w:val="auto"/>
        </w:rPr>
      </w:pPr>
      <w:r>
        <w:rPr>
          <w:rFonts w:ascii="Times New Roman" w:cs="Times New Roman" w:eastAsia="Times New Roman" w:hAnsi="Times New Roman"/>
          <w:sz w:val="22"/>
          <w:szCs w:val="22"/>
          <w:color w:val="auto"/>
        </w:rPr>
        <w:t>By participating in the Plan, an Eligible Employee agrees to waive all rights that might otherwise arise under the Plan, other than the right to acquire Shares or cash (as appropriate) subject to and in accordance with the explicit provisions of the Plan, in consideration for and as a condition of participation in the Plan.</w:t>
      </w:r>
    </w:p>
    <w:p>
      <w:pPr>
        <w:spacing w:after="0" w:line="6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18.</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18.1 Consents and Filings</w:t>
      </w:r>
    </w:p>
    <w:p>
      <w:pPr>
        <w:spacing w:after="0" w:line="183"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22"/>
          <w:szCs w:val="22"/>
          <w:color w:val="auto"/>
        </w:rPr>
        <w:t>All allotments, issues and transfers of Shares or cash payments will be subject to the Company’s articles of incorporation and any necessary consents or filings required in any relevant jurisdiction. The Participant will be responsible for complying with any requirements needed in order to obtain, or to avoid the necessity for, any such consents or filings. The Company will not be required to issue or transfer any Shares or deliver any certificates for Shares or any cash under the Plan prior to the Committee’s determination that all related requirements have been fulfilled. The Company will in no event be obligated to register any securities pursuant to the United States Securities Act of 1933, as amended from time to time, or applicable state or foreign law or to take any other action in order to cause the issue or transfer of any shares or delivery of certificates to comply with any law, regulation or requirement.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18.2 Source of Shares</w:t>
      </w:r>
    </w:p>
    <w:p>
      <w:pPr>
        <w:spacing w:after="0" w:line="183" w:lineRule="exact"/>
        <w:rPr>
          <w:sz w:val="20"/>
          <w:szCs w:val="20"/>
          <w:color w:val="auto"/>
        </w:rPr>
      </w:pPr>
    </w:p>
    <w:p>
      <w:pPr>
        <w:ind w:right="160"/>
        <w:spacing w:after="0" w:line="335" w:lineRule="auto"/>
        <w:rPr>
          <w:sz w:val="20"/>
          <w:szCs w:val="20"/>
          <w:color w:val="auto"/>
        </w:rPr>
      </w:pPr>
      <w:r>
        <w:rPr>
          <w:rFonts w:ascii="Times New Roman" w:cs="Times New Roman" w:eastAsia="Times New Roman" w:hAnsi="Times New Roman"/>
          <w:sz w:val="22"/>
          <w:szCs w:val="22"/>
          <w:color w:val="auto"/>
        </w:rPr>
        <w:t>Any Shares distributed pursuant to the Plan may consist, in whole or in part, of authorized and unissued Shares, treasury Shares or Shares purchased on the open market and may be subject to restrictions deemed appropriate by the Committee.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18.3 Listing</w:t>
      </w:r>
    </w:p>
    <w:p>
      <w:pPr>
        <w:spacing w:after="0" w:line="197" w:lineRule="exact"/>
        <w:rPr>
          <w:sz w:val="20"/>
          <w:szCs w:val="20"/>
          <w:color w:val="auto"/>
        </w:rPr>
      </w:pPr>
    </w:p>
    <w:p>
      <w:pPr>
        <w:ind w:right="140"/>
        <w:spacing w:after="0" w:line="321" w:lineRule="auto"/>
        <w:rPr>
          <w:sz w:val="20"/>
          <w:szCs w:val="20"/>
          <w:color w:val="auto"/>
        </w:rPr>
      </w:pPr>
      <w:r>
        <w:rPr>
          <w:rFonts w:ascii="Times New Roman" w:cs="Times New Roman" w:eastAsia="Times New Roman" w:hAnsi="Times New Roman"/>
          <w:sz w:val="22"/>
          <w:szCs w:val="22"/>
          <w:color w:val="auto"/>
        </w:rPr>
        <w:t>If, and for as long as the Shares are listed on the Nasdaq Global Select Market (or, if the Committee decides, any other stock exchange on which the Shares are listed), the Company will apply as soon as practicable for the listing and admission to trading on such exchange of any Shares issued in connection with the Plan.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18.4 Dealing Restrictions</w:t>
      </w:r>
    </w:p>
    <w:p>
      <w:pPr>
        <w:spacing w:after="0" w:line="183" w:lineRule="exact"/>
        <w:rPr>
          <w:sz w:val="20"/>
          <w:szCs w:val="20"/>
          <w:color w:val="auto"/>
        </w:rPr>
      </w:pPr>
    </w:p>
    <w:p>
      <w:pPr>
        <w:ind w:right="200"/>
        <w:spacing w:after="0" w:line="335" w:lineRule="auto"/>
        <w:rPr>
          <w:sz w:val="20"/>
          <w:szCs w:val="20"/>
          <w:color w:val="auto"/>
        </w:rPr>
      </w:pPr>
      <w:r>
        <w:rPr>
          <w:rFonts w:ascii="Times New Roman" w:cs="Times New Roman" w:eastAsia="Times New Roman" w:hAnsi="Times New Roman"/>
          <w:sz w:val="22"/>
          <w:szCs w:val="22"/>
          <w:color w:val="auto"/>
        </w:rPr>
        <w:t>Each person will have regard to Dealing Restrictions when operating, interpreting, administering, participating in and/or taking any other action in relation to the Plan.</w:t>
      </w:r>
    </w:p>
    <w:p>
      <w:pPr>
        <w:sectPr>
          <w:pgSz w:w="11900" w:h="16838" w:orient="portrait"/>
          <w:cols w:equalWidth="0" w:num="1">
            <w:col w:w="11200"/>
          </w:cols>
          <w:pgMar w:left="320" w:top="1440" w:right="379" w:bottom="1440" w:gutter="0" w:footer="0" w:header="0"/>
        </w:sectPr>
      </w:pPr>
    </w:p>
    <w:bookmarkStart w:id="79" w:name="page80"/>
    <w:bookmarkEnd w:id="79"/>
    <w:p>
      <w:pPr>
        <w:spacing w:after="0" w:line="117" w:lineRule="exact"/>
        <w:rPr>
          <w:sz w:val="20"/>
          <w:szCs w:val="20"/>
          <w:color w:val="auto"/>
        </w:rPr>
      </w:pPr>
    </w:p>
    <w:p>
      <w:pPr>
        <w:ind w:right="100"/>
        <w:spacing w:after="0" w:line="335" w:lineRule="auto"/>
        <w:rPr>
          <w:sz w:val="20"/>
          <w:szCs w:val="20"/>
          <w:color w:val="auto"/>
        </w:rPr>
      </w:pPr>
      <w:r>
        <w:rPr>
          <w:rFonts w:ascii="Times New Roman" w:cs="Times New Roman" w:eastAsia="Times New Roman" w:hAnsi="Times New Roman"/>
          <w:sz w:val="22"/>
          <w:szCs w:val="22"/>
          <w:color w:val="auto"/>
        </w:rPr>
        <w:t>The Committee may suspend the operation of the Plan in any way it sees fit, including delaying the issuance of any Shares, if, in its discretion, it determines that Dealing Restrictions apply that would otherwise prohibit the operation of the Plan.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18.5 Notices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notice or other communication required under the Plan will be given in writing, which may include electronic means.</w:t>
      </w:r>
    </w:p>
    <w:p>
      <w:pPr>
        <w:spacing w:after="0" w:line="193" w:lineRule="exact"/>
        <w:rPr>
          <w:sz w:val="20"/>
          <w:szCs w:val="20"/>
          <w:color w:val="auto"/>
        </w:rPr>
      </w:pPr>
    </w:p>
    <w:p>
      <w:pPr>
        <w:jc w:val="both"/>
        <w:ind w:right="360"/>
        <w:spacing w:after="0" w:line="321" w:lineRule="auto"/>
        <w:rPr>
          <w:sz w:val="20"/>
          <w:szCs w:val="20"/>
          <w:color w:val="auto"/>
        </w:rPr>
      </w:pPr>
      <w:r>
        <w:rPr>
          <w:rFonts w:ascii="Times New Roman" w:cs="Times New Roman" w:eastAsia="Times New Roman" w:hAnsi="Times New Roman"/>
          <w:sz w:val="22"/>
          <w:szCs w:val="22"/>
          <w:color w:val="auto"/>
        </w:rPr>
        <w:t>Any notice or other communication to be given to an Eligible Employee or Participant may be delivered by electronic means (including by email, through the Group’s intranet or a share plan portal), personally delivered or sent by ordinary post to such address as the Committee reasonably considers appropriate.</w:t>
      </w:r>
    </w:p>
    <w:p>
      <w:pPr>
        <w:spacing w:after="0" w:line="65" w:lineRule="exact"/>
        <w:rPr>
          <w:sz w:val="20"/>
          <w:szCs w:val="20"/>
          <w:color w:val="auto"/>
        </w:rPr>
      </w:pPr>
    </w:p>
    <w:p>
      <w:pPr>
        <w:ind w:right="180"/>
        <w:spacing w:after="0" w:line="321" w:lineRule="auto"/>
        <w:rPr>
          <w:sz w:val="20"/>
          <w:szCs w:val="20"/>
          <w:color w:val="auto"/>
        </w:rPr>
      </w:pPr>
      <w:r>
        <w:rPr>
          <w:rFonts w:ascii="Times New Roman" w:cs="Times New Roman" w:eastAsia="Times New Roman" w:hAnsi="Times New Roman"/>
          <w:sz w:val="22"/>
          <w:szCs w:val="22"/>
          <w:color w:val="auto"/>
        </w:rPr>
        <w:t>Any notice or other communication to be given to the Company or the Company’s agents may be delivered or sent to its registered office or such other place and by such means as the Committee or the Company’s agents, as appropriate, may specify and notify to Eligible Employees and/or Participants, as relevant.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Notices or other communications:</w:t>
      </w:r>
    </w:p>
    <w:p>
      <w:pPr>
        <w:spacing w:after="0" w:line="179" w:lineRule="exact"/>
        <w:rPr>
          <w:sz w:val="20"/>
          <w:szCs w:val="20"/>
          <w:color w:val="auto"/>
        </w:rPr>
      </w:pPr>
    </w:p>
    <w:p>
      <w:pPr>
        <w:ind w:left="1100" w:right="160" w:hanging="647"/>
        <w:spacing w:after="0" w:line="326" w:lineRule="auto"/>
        <w:rPr>
          <w:sz w:val="20"/>
          <w:szCs w:val="20"/>
          <w:color w:val="auto"/>
        </w:rPr>
      </w:pPr>
      <w:r>
        <w:rPr>
          <w:rFonts w:ascii="Times New Roman" w:cs="Times New Roman" w:eastAsia="Times New Roman" w:hAnsi="Times New Roman"/>
          <w:sz w:val="22"/>
          <w:szCs w:val="22"/>
          <w:color w:val="auto"/>
        </w:rPr>
        <w:t>18.5.1 sent electronically will be deemed to have been received immediately (if sent during usual business hours) or at the opening of business on the next Business Day (if sent outside usual business hours);</w:t>
      </w:r>
    </w:p>
    <w:p>
      <w:pPr>
        <w:spacing w:after="0" w:line="1" w:lineRule="exact"/>
        <w:rPr>
          <w:sz w:val="20"/>
          <w:szCs w:val="20"/>
          <w:color w:val="auto"/>
        </w:rPr>
      </w:pPr>
    </w:p>
    <w:p>
      <w:pPr>
        <w:jc w:val="both"/>
        <w:ind w:left="1100" w:right="240" w:hanging="647"/>
        <w:spacing w:after="0" w:line="321" w:lineRule="auto"/>
        <w:rPr>
          <w:sz w:val="20"/>
          <w:szCs w:val="20"/>
          <w:color w:val="auto"/>
        </w:rPr>
      </w:pPr>
      <w:r>
        <w:rPr>
          <w:rFonts w:ascii="Times New Roman" w:cs="Times New Roman" w:eastAsia="Times New Roman" w:hAnsi="Times New Roman"/>
          <w:sz w:val="22"/>
          <w:szCs w:val="22"/>
          <w:color w:val="auto"/>
        </w:rPr>
        <w:t>18.5.2 that are personally delivered will be deemed to have been received when left at the relevant address (if left during usual business hours) or at the opening of business on the next Business Day (if left outside usual business hours); and</w:t>
      </w:r>
    </w:p>
    <w:p>
      <w:pPr>
        <w:spacing w:after="0" w:line="65" w:lineRule="exact"/>
        <w:rPr>
          <w:sz w:val="20"/>
          <w:szCs w:val="20"/>
          <w:color w:val="auto"/>
        </w:rPr>
      </w:pPr>
    </w:p>
    <w:p>
      <w:pPr>
        <w:ind w:left="1100" w:right="60" w:hanging="647"/>
        <w:spacing w:after="0" w:line="362" w:lineRule="auto"/>
        <w:rPr>
          <w:sz w:val="20"/>
          <w:szCs w:val="20"/>
          <w:color w:val="auto"/>
        </w:rPr>
      </w:pPr>
      <w:r>
        <w:rPr>
          <w:rFonts w:ascii="Times New Roman" w:cs="Times New Roman" w:eastAsia="Times New Roman" w:hAnsi="Times New Roman"/>
          <w:sz w:val="21"/>
          <w:szCs w:val="21"/>
          <w:color w:val="auto"/>
        </w:rPr>
        <w:t>18.5.3 sent by post will be deemed to have been received two Business Days after posting if to an address in the same country or five Business Days after posting to an address in another country, unless there is evidence to the contrary.</w:t>
      </w:r>
    </w:p>
    <w:p>
      <w:pPr>
        <w:spacing w:after="0" w:line="28"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22"/>
          <w:szCs w:val="22"/>
          <w:color w:val="auto"/>
        </w:rPr>
        <w:t>All notices or communications to be given to Eligible Employees or Participants are given and sent at the risk of the addressee. No Member of the Group has any liability in respect of any notice or communication given or sent, nor need they be concerned to see that the addressee actually receives it.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18.6 Third-Party Rights</w:t>
      </w:r>
    </w:p>
    <w:p>
      <w:pPr>
        <w:spacing w:after="0" w:line="183" w:lineRule="exact"/>
        <w:rPr>
          <w:sz w:val="20"/>
          <w:szCs w:val="20"/>
          <w:color w:val="auto"/>
        </w:rPr>
      </w:pPr>
    </w:p>
    <w:p>
      <w:pPr>
        <w:ind w:right="80"/>
        <w:spacing w:after="0" w:line="321" w:lineRule="auto"/>
        <w:rPr>
          <w:sz w:val="20"/>
          <w:szCs w:val="20"/>
          <w:color w:val="auto"/>
        </w:rPr>
      </w:pPr>
      <w:r>
        <w:rPr>
          <w:rFonts w:ascii="Times New Roman" w:cs="Times New Roman" w:eastAsia="Times New Roman" w:hAnsi="Times New Roman"/>
          <w:sz w:val="22"/>
          <w:szCs w:val="22"/>
          <w:color w:val="auto"/>
        </w:rPr>
        <w:t>Except as otherwise expressly stated to the contrary, nothing in the Plan confers any benefit, right or expectation on any person other than an Eligible Employee, a Participant, or a Member of the Group. No third-party has any rights to enforce any provision of the Plan.</w:t>
      </w:r>
    </w:p>
    <w:p>
      <w:pPr>
        <w:sectPr>
          <w:pgSz w:w="11900" w:h="16838" w:orient="portrait"/>
          <w:cols w:equalWidth="0" w:num="1">
            <w:col w:w="11220"/>
          </w:cols>
          <w:pgMar w:left="320" w:top="1440" w:right="359" w:bottom="1440" w:gutter="0" w:footer="0" w:header="0"/>
        </w:sectPr>
      </w:pPr>
    </w:p>
    <w:bookmarkStart w:id="80" w:name="page81"/>
    <w:bookmarkEnd w:id="80"/>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18.7 Not Pensionable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 of the benefits that may be received under the Plan is pensionable.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18.8 Not Transferable</w:t>
      </w:r>
    </w:p>
    <w:p>
      <w:pPr>
        <w:spacing w:after="0" w:line="183" w:lineRule="exact"/>
        <w:rPr>
          <w:sz w:val="20"/>
          <w:szCs w:val="20"/>
          <w:color w:val="auto"/>
        </w:rPr>
      </w:pPr>
    </w:p>
    <w:p>
      <w:pPr>
        <w:ind w:right="60"/>
        <w:spacing w:after="0" w:line="321" w:lineRule="auto"/>
        <w:rPr>
          <w:sz w:val="20"/>
          <w:szCs w:val="20"/>
          <w:color w:val="auto"/>
        </w:rPr>
      </w:pPr>
      <w:r>
        <w:rPr>
          <w:rFonts w:ascii="Times New Roman" w:cs="Times New Roman" w:eastAsia="Times New Roman" w:hAnsi="Times New Roman"/>
          <w:sz w:val="22"/>
          <w:szCs w:val="22"/>
          <w:color w:val="auto"/>
        </w:rPr>
        <w:t>A Participant’s Matching Award will be Forfeited if the Participant transfers, assigns, charges or otherwise disposes of the Award or any of the rights in respect of it, whether voluntarily or involuntarily (other than to that Participant’s personal representatives on death).</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18.9 Currency Conversions</w:t>
      </w:r>
    </w:p>
    <w:p>
      <w:pPr>
        <w:spacing w:after="0" w:line="183" w:lineRule="exact"/>
        <w:rPr>
          <w:sz w:val="20"/>
          <w:szCs w:val="20"/>
          <w:color w:val="auto"/>
        </w:rPr>
      </w:pPr>
    </w:p>
    <w:p>
      <w:pPr>
        <w:ind w:right="240"/>
        <w:spacing w:after="0" w:line="335" w:lineRule="auto"/>
        <w:rPr>
          <w:sz w:val="20"/>
          <w:szCs w:val="20"/>
          <w:color w:val="auto"/>
        </w:rPr>
      </w:pPr>
      <w:r>
        <w:rPr>
          <w:rFonts w:ascii="Times New Roman" w:cs="Times New Roman" w:eastAsia="Times New Roman" w:hAnsi="Times New Roman"/>
          <w:sz w:val="22"/>
          <w:szCs w:val="22"/>
          <w:color w:val="auto"/>
        </w:rPr>
        <w:t>Any conversion of money into different currencies (whether notional or actual) will be done at a time and rate of exchange that the Committee decides. Participants will bear any currency conversion costs.</w:t>
      </w:r>
    </w:p>
    <w:p>
      <w:pPr>
        <w:spacing w:after="0" w:line="50" w:lineRule="exact"/>
        <w:rPr>
          <w:sz w:val="20"/>
          <w:szCs w:val="20"/>
          <w:color w:val="auto"/>
        </w:rPr>
      </w:pPr>
    </w:p>
    <w:p>
      <w:pPr>
        <w:ind w:right="640"/>
        <w:spacing w:after="0" w:line="335" w:lineRule="auto"/>
        <w:rPr>
          <w:sz w:val="20"/>
          <w:szCs w:val="20"/>
          <w:color w:val="auto"/>
        </w:rPr>
      </w:pPr>
      <w:r>
        <w:rPr>
          <w:rFonts w:ascii="Times New Roman" w:cs="Times New Roman" w:eastAsia="Times New Roman" w:hAnsi="Times New Roman"/>
          <w:sz w:val="22"/>
          <w:szCs w:val="22"/>
          <w:color w:val="auto"/>
        </w:rPr>
        <w:t>No Member of the Group will be liable for any loss due to movements in currency exchange rates or conversion or money transfer charges.</w:t>
      </w:r>
    </w:p>
    <w:p>
      <w:pPr>
        <w:spacing w:after="0" w:line="46"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18.10</w:t>
      </w:r>
      <w:r>
        <w:rPr>
          <w:sz w:val="20"/>
          <w:szCs w:val="20"/>
          <w:color w:val="auto"/>
        </w:rPr>
        <w:tab/>
      </w:r>
      <w:r>
        <w:rPr>
          <w:rFonts w:ascii="Times New Roman" w:cs="Times New Roman" w:eastAsia="Times New Roman" w:hAnsi="Times New Roman"/>
          <w:sz w:val="21"/>
          <w:szCs w:val="21"/>
          <w:b w:val="1"/>
          <w:bCs w:val="1"/>
          <w:color w:val="auto"/>
        </w:rPr>
        <w:t>No Liability for Delay</w:t>
      </w:r>
    </w:p>
    <w:p>
      <w:pPr>
        <w:spacing w:after="0" w:line="197" w:lineRule="exact"/>
        <w:rPr>
          <w:sz w:val="20"/>
          <w:szCs w:val="20"/>
          <w:color w:val="auto"/>
        </w:rPr>
      </w:pPr>
    </w:p>
    <w:p>
      <w:pPr>
        <w:ind w:right="580"/>
        <w:spacing w:after="0" w:line="362" w:lineRule="auto"/>
        <w:rPr>
          <w:sz w:val="20"/>
          <w:szCs w:val="20"/>
          <w:color w:val="auto"/>
        </w:rPr>
      </w:pPr>
      <w:r>
        <w:rPr>
          <w:rFonts w:ascii="Times New Roman" w:cs="Times New Roman" w:eastAsia="Times New Roman" w:hAnsi="Times New Roman"/>
          <w:sz w:val="21"/>
          <w:szCs w:val="21"/>
          <w:color w:val="auto"/>
        </w:rPr>
        <w:t>No Member of the Group will be liable for any loss arising from any delay in giving effect to any notice or communication received from an Eligible Employee or Participant or in procuring a sale, allotment or transfer of any Shares.</w:t>
      </w:r>
    </w:p>
    <w:p>
      <w:pPr>
        <w:spacing w:after="0" w:line="2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19.</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19.1 Administration of the Plan</w:t>
      </w:r>
    </w:p>
    <w:p>
      <w:pPr>
        <w:spacing w:after="0" w:line="183" w:lineRule="exact"/>
        <w:rPr>
          <w:sz w:val="20"/>
          <w:szCs w:val="20"/>
          <w:color w:val="auto"/>
        </w:rPr>
      </w:pPr>
    </w:p>
    <w:p>
      <w:pPr>
        <w:spacing w:after="0" w:line="335" w:lineRule="auto"/>
        <w:rPr>
          <w:sz w:val="20"/>
          <w:szCs w:val="20"/>
          <w:color w:val="auto"/>
        </w:rPr>
      </w:pPr>
      <w:r>
        <w:rPr>
          <w:rFonts w:ascii="Times New Roman" w:cs="Times New Roman" w:eastAsia="Times New Roman" w:hAnsi="Times New Roman"/>
          <w:sz w:val="22"/>
          <w:szCs w:val="22"/>
          <w:color w:val="auto"/>
        </w:rPr>
        <w:t>The Plan will be administered by the Committee, which has authority to make such rules and regulations for the administration of the Plan as it considers necessary or desirable.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the terms of the Plan and applicable laws, the Committee shall have the full power and authority to administer the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including, without limitation, the authority to:</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19.1.1 designate Participants;</w:t>
      </w:r>
    </w:p>
    <w:p>
      <w:pPr>
        <w:spacing w:after="0" w:line="112" w:lineRule="exact"/>
        <w:rPr>
          <w:sz w:val="20"/>
          <w:szCs w:val="20"/>
          <w:color w:val="auto"/>
        </w:rPr>
      </w:pPr>
    </w:p>
    <w:p>
      <w:pPr>
        <w:ind w:left="1100" w:right="900" w:hanging="647"/>
        <w:spacing w:after="0" w:line="326" w:lineRule="auto"/>
        <w:rPr>
          <w:sz w:val="20"/>
          <w:szCs w:val="20"/>
          <w:color w:val="auto"/>
        </w:rPr>
      </w:pPr>
      <w:r>
        <w:rPr>
          <w:rFonts w:ascii="Times New Roman" w:cs="Times New Roman" w:eastAsia="Times New Roman" w:hAnsi="Times New Roman"/>
          <w:sz w:val="22"/>
          <w:szCs w:val="22"/>
          <w:color w:val="auto"/>
        </w:rPr>
        <w:t>19.1.2 appoint a stock plan broker and direct the administration of the Plan by such broker in accordance with the provisions herein set forth;</w:t>
      </w:r>
    </w:p>
    <w:p>
      <w:pPr>
        <w:spacing w:after="0" w:line="1" w:lineRule="exact"/>
        <w:rPr>
          <w:sz w:val="20"/>
          <w:szCs w:val="20"/>
          <w:color w:val="auto"/>
        </w:rPr>
      </w:pPr>
    </w:p>
    <w:p>
      <w:pPr>
        <w:ind w:left="1100" w:hanging="647"/>
        <w:spacing w:after="0" w:line="320" w:lineRule="auto"/>
        <w:rPr>
          <w:sz w:val="20"/>
          <w:szCs w:val="20"/>
          <w:color w:val="auto"/>
        </w:rPr>
      </w:pPr>
      <w:r>
        <w:rPr>
          <w:rFonts w:ascii="Times New Roman" w:cs="Times New Roman" w:eastAsia="Times New Roman" w:hAnsi="Times New Roman"/>
          <w:sz w:val="22"/>
          <w:szCs w:val="22"/>
          <w:color w:val="auto"/>
        </w:rPr>
        <w:t>19.1.3 adopt rules of procedure and regulations necessary for the administration of the Plan, provided that such rules are not inconsistent with the terms of the Plan, and appoint such agents as it as it shall deem appropriate for the proper administration of the Plan;</w:t>
      </w:r>
    </w:p>
    <w:p>
      <w:pPr>
        <w:spacing w:after="0" w:line="1" w:lineRule="exact"/>
        <w:rPr>
          <w:sz w:val="20"/>
          <w:szCs w:val="20"/>
          <w:color w:val="auto"/>
        </w:rPr>
      </w:pPr>
    </w:p>
    <w:p>
      <w:pPr>
        <w:ind w:left="1100" w:right="400" w:hanging="647"/>
        <w:spacing w:after="0" w:line="335" w:lineRule="auto"/>
        <w:rPr>
          <w:sz w:val="20"/>
          <w:szCs w:val="20"/>
          <w:color w:val="auto"/>
        </w:rPr>
      </w:pPr>
      <w:r>
        <w:rPr>
          <w:rFonts w:ascii="Times New Roman" w:cs="Times New Roman" w:eastAsia="Times New Roman" w:hAnsi="Times New Roman"/>
          <w:sz w:val="22"/>
          <w:szCs w:val="22"/>
          <w:color w:val="auto"/>
        </w:rPr>
        <w:t>19.1.4 determine, in its sole discretion, all questions with regard to rights of employees and Participants under the Plan, including but not limited to, the eligibility of an</w:t>
      </w:r>
    </w:p>
    <w:p>
      <w:pPr>
        <w:sectPr>
          <w:pgSz w:w="11900" w:h="16838" w:orient="portrait"/>
          <w:cols w:equalWidth="0" w:num="1">
            <w:col w:w="11220"/>
          </w:cols>
          <w:pgMar w:left="320" w:top="1440" w:right="359" w:bottom="1440" w:gutter="0" w:footer="0" w:header="0"/>
        </w:sectPr>
      </w:pPr>
    </w:p>
    <w:bookmarkStart w:id="81" w:name="page82"/>
    <w:bookmarkEnd w:id="81"/>
    <w:p>
      <w:pPr>
        <w:spacing w:after="0" w:line="50" w:lineRule="exact"/>
        <w:rPr>
          <w:sz w:val="20"/>
          <w:szCs w:val="20"/>
          <w:color w:val="auto"/>
        </w:rPr>
      </w:pPr>
    </w:p>
    <w:p>
      <w:pPr>
        <w:ind w:left="1100" w:right="160"/>
        <w:spacing w:after="0" w:line="326" w:lineRule="auto"/>
        <w:rPr>
          <w:sz w:val="20"/>
          <w:szCs w:val="20"/>
          <w:color w:val="auto"/>
        </w:rPr>
      </w:pPr>
      <w:r>
        <w:rPr>
          <w:rFonts w:ascii="Times New Roman" w:cs="Times New Roman" w:eastAsia="Times New Roman" w:hAnsi="Times New Roman"/>
          <w:sz w:val="22"/>
          <w:szCs w:val="22"/>
          <w:color w:val="auto"/>
        </w:rPr>
        <w:t>employee to participate in the Plan, and the amount of Eligible Compensation an Eligible Employee may specify to be withheld or contributed and the maximum amount;</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19.1.5 designate which entities shall be Participating Companies;</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19.1.6 enforce the terms of the Plan and the rules and regulations it adopts;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19.1.7 direct or cause an appointed stock plan broker to direct the distribution of the Shares purchased hereunder;</w:t>
      </w:r>
    </w:p>
    <w:p>
      <w:pPr>
        <w:spacing w:after="0" w:line="112" w:lineRule="exact"/>
        <w:rPr>
          <w:sz w:val="20"/>
          <w:szCs w:val="20"/>
          <w:color w:val="auto"/>
        </w:rPr>
      </w:pPr>
    </w:p>
    <w:p>
      <w:pPr>
        <w:ind w:left="1100" w:right="700" w:hanging="647"/>
        <w:spacing w:after="0" w:line="326" w:lineRule="auto"/>
        <w:rPr>
          <w:sz w:val="20"/>
          <w:szCs w:val="20"/>
          <w:color w:val="auto"/>
        </w:rPr>
      </w:pPr>
      <w:r>
        <w:rPr>
          <w:rFonts w:ascii="Times New Roman" w:cs="Times New Roman" w:eastAsia="Times New Roman" w:hAnsi="Times New Roman"/>
          <w:sz w:val="22"/>
          <w:szCs w:val="22"/>
          <w:color w:val="auto"/>
        </w:rPr>
        <w:t>19.1.8 furnish or cause an appointed stock plan broker to furnish the Company and/or Participating Companies with information that may be required for tax or other purposes;</w:t>
      </w:r>
    </w:p>
    <w:p>
      <w:pPr>
        <w:spacing w:after="0" w:line="1" w:lineRule="exact"/>
        <w:rPr>
          <w:sz w:val="20"/>
          <w:szCs w:val="20"/>
          <w:color w:val="auto"/>
        </w:rPr>
      </w:pPr>
    </w:p>
    <w:p>
      <w:pPr>
        <w:ind w:left="1100" w:right="340" w:hanging="647"/>
        <w:spacing w:after="0" w:line="326" w:lineRule="auto"/>
        <w:rPr>
          <w:sz w:val="20"/>
          <w:szCs w:val="20"/>
          <w:color w:val="auto"/>
        </w:rPr>
      </w:pPr>
      <w:r>
        <w:rPr>
          <w:rFonts w:ascii="Times New Roman" w:cs="Times New Roman" w:eastAsia="Times New Roman" w:hAnsi="Times New Roman"/>
          <w:sz w:val="22"/>
          <w:szCs w:val="22"/>
          <w:color w:val="auto"/>
        </w:rPr>
        <w:t>19.1.9 engage the service of counsel (who may, if appropriate, be counsel for the Company or a Participating Company) and agents whom it may deem advisable to assist it with the performance of its duties;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19.1.10 prescribe procedures to be followed by Eligible Employees in electing to participate in the Plan;</w:t>
      </w:r>
    </w:p>
    <w:p>
      <w:pPr>
        <w:spacing w:after="0" w:line="112" w:lineRule="exact"/>
        <w:rPr>
          <w:sz w:val="20"/>
          <w:szCs w:val="20"/>
          <w:color w:val="auto"/>
        </w:rPr>
      </w:pPr>
    </w:p>
    <w:p>
      <w:pPr>
        <w:ind w:left="1100" w:right="280" w:hanging="728"/>
        <w:spacing w:after="0" w:line="326" w:lineRule="auto"/>
        <w:rPr>
          <w:sz w:val="20"/>
          <w:szCs w:val="20"/>
          <w:color w:val="auto"/>
        </w:rPr>
      </w:pPr>
      <w:r>
        <w:rPr>
          <w:rFonts w:ascii="Times New Roman" w:cs="Times New Roman" w:eastAsia="Times New Roman" w:hAnsi="Times New Roman"/>
          <w:sz w:val="22"/>
          <w:szCs w:val="22"/>
          <w:color w:val="auto"/>
        </w:rPr>
        <w:t>19.1.11 receive from each Participating Company and from Eligible Employees such information as shall be necessary for the proper administration of the Plan;</w:t>
      </w:r>
    </w:p>
    <w:p>
      <w:pPr>
        <w:spacing w:after="0" w:line="1" w:lineRule="exact"/>
        <w:rPr>
          <w:sz w:val="20"/>
          <w:szCs w:val="20"/>
          <w:color w:val="auto"/>
        </w:rPr>
      </w:pPr>
    </w:p>
    <w:p>
      <w:pPr>
        <w:ind w:left="1100" w:right="220" w:hanging="728"/>
        <w:spacing w:after="0" w:line="326" w:lineRule="auto"/>
        <w:rPr>
          <w:sz w:val="20"/>
          <w:szCs w:val="20"/>
          <w:color w:val="auto"/>
        </w:rPr>
      </w:pPr>
      <w:r>
        <w:rPr>
          <w:rFonts w:ascii="Times New Roman" w:cs="Times New Roman" w:eastAsia="Times New Roman" w:hAnsi="Times New Roman"/>
          <w:sz w:val="22"/>
          <w:szCs w:val="22"/>
          <w:color w:val="auto"/>
        </w:rPr>
        <w:t>19.1.12 maintain, or cause an appointed stock plan broker to maintain, separate accounts in the name of each Participant to reflect the Participant’s account under the Plan;</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19.1.13 interpret and construe the Plan in its sole discretion;</w:t>
      </w:r>
    </w:p>
    <w:p>
      <w:pPr>
        <w:spacing w:after="0" w:line="112" w:lineRule="exact"/>
        <w:rPr>
          <w:sz w:val="20"/>
          <w:szCs w:val="20"/>
          <w:color w:val="auto"/>
        </w:rPr>
      </w:pPr>
    </w:p>
    <w:p>
      <w:pPr>
        <w:ind w:left="1100" w:hanging="728"/>
        <w:spacing w:after="0" w:line="326" w:lineRule="auto"/>
        <w:rPr>
          <w:sz w:val="20"/>
          <w:szCs w:val="20"/>
          <w:color w:val="auto"/>
        </w:rPr>
      </w:pPr>
      <w:r>
        <w:rPr>
          <w:rFonts w:ascii="Times New Roman" w:cs="Times New Roman" w:eastAsia="Times New Roman" w:hAnsi="Times New Roman"/>
          <w:sz w:val="22"/>
          <w:szCs w:val="22"/>
          <w:color w:val="auto"/>
        </w:rPr>
        <w:t>19.1.14 correct any defect, supply any omission and reconcile any inconsistency in the Plan in the manner and to the extent it shall deem desirable to carry the Plan into effect;</w:t>
      </w:r>
    </w:p>
    <w:p>
      <w:pPr>
        <w:spacing w:after="0" w:line="1" w:lineRule="exact"/>
        <w:rPr>
          <w:sz w:val="20"/>
          <w:szCs w:val="20"/>
          <w:color w:val="auto"/>
        </w:rPr>
      </w:pPr>
    </w:p>
    <w:p>
      <w:pPr>
        <w:ind w:left="1100" w:right="40" w:hanging="728"/>
        <w:spacing w:after="0" w:line="316" w:lineRule="auto"/>
        <w:rPr>
          <w:sz w:val="20"/>
          <w:szCs w:val="20"/>
          <w:color w:val="auto"/>
        </w:rPr>
      </w:pPr>
      <w:r>
        <w:rPr>
          <w:rFonts w:ascii="Times New Roman" w:cs="Times New Roman" w:eastAsia="Times New Roman" w:hAnsi="Times New Roman"/>
          <w:sz w:val="22"/>
          <w:szCs w:val="22"/>
          <w:color w:val="auto"/>
        </w:rPr>
        <w:t>19.1.15 make any changes or modifications necessary to administer and implement the provisions of the Plan in any non-U.S. jurisdiction to the fullest extent possible, including adopting and amending sub-plans with respect to employees of Participating Companies with such provisions as the Committee may deem appropriate to conform with local laws, practices and procedures; and</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19.1.16 correct any administrative or operational error.</w:t>
      </w:r>
    </w:p>
    <w:p>
      <w:pPr>
        <w:spacing w:after="0" w:line="179"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22"/>
          <w:szCs w:val="22"/>
          <w:color w:val="auto"/>
        </w:rPr>
        <w:t>Without limiting the generality of the foregoing, the Committee specifically is authorized to adopt rules, procedures and sub-plans, regarding, without limitation, eligibility to participate, the definition of Eligible Compensation, the dates and duration of Enrollment Windows and Offering Periods or other periods during which Participants may make Contributions toward the purchase of Shares, any minimum or maximum amount of Contributions a Participant may make in an Offering Period or other specified period under the applicable sub-plan or policy, the handling of</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17"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22"/>
          <w:szCs w:val="22"/>
          <w:color w:val="auto"/>
        </w:rPr>
        <w:t>Contributions, the making of Contributions to the Plan (including, without limitation, in forms other than payroll deductions), establishment of bank or trust accounts to hold Contributions, payment of interest, conversion of local currency, obligations to pay payroll tax, the Matching Ratio and/or Matching Credits in connection with Matching Awards, the terms of Matching Awards, the determination of withholding procedures, and handling of issuances of Shares and stock certificates that vary with applicable local requirements. Notwithstanding anything to the contrary contained herein, the Board, in its sole discretion, at any time and from time to time, may administer the Plan. In any such case, the Board shall have all of the authority and responsibility granted to the Committee herein.</w:t>
      </w:r>
    </w:p>
    <w:p>
      <w:pPr>
        <w:spacing w:after="0" w:line="73" w:lineRule="exact"/>
        <w:rPr>
          <w:sz w:val="20"/>
          <w:szCs w:val="20"/>
          <w:color w:val="auto"/>
        </w:rPr>
      </w:pPr>
    </w:p>
    <w:p>
      <w:pPr>
        <w:ind w:right="140"/>
        <w:spacing w:after="0" w:line="315" w:lineRule="auto"/>
        <w:rPr>
          <w:sz w:val="20"/>
          <w:szCs w:val="20"/>
          <w:color w:val="auto"/>
        </w:rPr>
      </w:pPr>
      <w:r>
        <w:rPr>
          <w:rFonts w:ascii="Times New Roman" w:cs="Times New Roman" w:eastAsia="Times New Roman" w:hAnsi="Times New Roman"/>
          <w:sz w:val="22"/>
          <w:szCs w:val="22"/>
          <w:color w:val="auto"/>
        </w:rPr>
        <w:t>The Committee may, from time to time, delegate by resolutions various authority to a subcommittee or subcommittees of the Committee, one or more officers of the Company or other persons or groups of persons as it deems necessary, appropriate or advisable (the “Delegates”). The Committee may delegate any or all of its rights and powers under the Plan, to the extent not prohibited by applicable law. The Delegates also may delegate any or all of its rights and powers to the extent not prohibited by applicable law. For purposes of the Plan, reference to the Committee will be deemed to refer to any such Delegates to the extent of their authority as a result of the appointment.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19.2 Committee Decisions</w:t>
      </w:r>
    </w:p>
    <w:p>
      <w:pPr>
        <w:spacing w:after="0" w:line="183" w:lineRule="exact"/>
        <w:rPr>
          <w:sz w:val="20"/>
          <w:szCs w:val="20"/>
          <w:color w:val="auto"/>
        </w:rPr>
      </w:pPr>
    </w:p>
    <w:p>
      <w:pPr>
        <w:ind w:right="180"/>
        <w:spacing w:after="0" w:line="335" w:lineRule="auto"/>
        <w:rPr>
          <w:sz w:val="20"/>
          <w:szCs w:val="20"/>
          <w:color w:val="auto"/>
        </w:rPr>
      </w:pPr>
      <w:r>
        <w:rPr>
          <w:rFonts w:ascii="Times New Roman" w:cs="Times New Roman" w:eastAsia="Times New Roman" w:hAnsi="Times New Roman"/>
          <w:sz w:val="22"/>
          <w:szCs w:val="22"/>
          <w:color w:val="auto"/>
        </w:rPr>
        <w:t>All decisions of the Committee in connection with the Plan and its interpretation and the terms of any Awards (including in any dispute) will be final and conclusive.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Committee will decide whether and how to exercise any discretion in the Plan.</w:t>
      </w:r>
    </w:p>
    <w:p>
      <w:pPr>
        <w:spacing w:after="0" w:line="179" w:lineRule="exact"/>
        <w:rPr>
          <w:sz w:val="20"/>
          <w:szCs w:val="20"/>
          <w:color w:val="auto"/>
        </w:rPr>
      </w:pPr>
    </w:p>
    <w:p>
      <w:pPr>
        <w:ind w:right="240"/>
        <w:spacing w:after="0" w:line="335" w:lineRule="auto"/>
        <w:rPr>
          <w:sz w:val="20"/>
          <w:szCs w:val="20"/>
          <w:color w:val="auto"/>
        </w:rPr>
      </w:pPr>
      <w:r>
        <w:rPr>
          <w:rFonts w:ascii="Times New Roman" w:cs="Times New Roman" w:eastAsia="Times New Roman" w:hAnsi="Times New Roman"/>
          <w:sz w:val="22"/>
          <w:szCs w:val="22"/>
          <w:color w:val="auto"/>
        </w:rPr>
        <w:t>The Committee’s decision on any matter need not be uniform and may be different for different Participants whether or not the Participants are similarly situated.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19.3 Severance of Provisions</w:t>
      </w:r>
    </w:p>
    <w:p>
      <w:pPr>
        <w:spacing w:after="0" w:line="183" w:lineRule="exact"/>
        <w:rPr>
          <w:sz w:val="20"/>
          <w:szCs w:val="20"/>
          <w:color w:val="auto"/>
        </w:rPr>
      </w:pPr>
    </w:p>
    <w:p>
      <w:pPr>
        <w:ind w:right="220"/>
        <w:spacing w:after="0" w:line="335" w:lineRule="auto"/>
        <w:rPr>
          <w:sz w:val="20"/>
          <w:szCs w:val="20"/>
          <w:color w:val="auto"/>
        </w:rPr>
      </w:pPr>
      <w:r>
        <w:rPr>
          <w:rFonts w:ascii="Times New Roman" w:cs="Times New Roman" w:eastAsia="Times New Roman" w:hAnsi="Times New Roman"/>
          <w:sz w:val="22"/>
          <w:szCs w:val="22"/>
          <w:color w:val="auto"/>
        </w:rPr>
        <w:t>If any provision of the Plan is held to be invalid, illegal or unenforceable for any reason by any court with jurisdiction then, for the purposes of that jurisdiction only:</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19.3.1 such provision will be deleted; and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19.3.2 the remaining provisions will continue in full force and effect, unless the Committee decides otherwise.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19.4 Language</w:t>
      </w:r>
    </w:p>
    <w:p>
      <w:pPr>
        <w:sectPr>
          <w:pgSz w:w="11900" w:h="16838" w:orient="portrait"/>
          <w:cols w:equalWidth="0" w:num="1">
            <w:col w:w="11200"/>
          </w:cols>
          <w:pgMar w:left="320" w:top="1440" w:right="379" w:bottom="1440" w:gutter="0" w:footer="0" w:header="0"/>
        </w:sectPr>
      </w:pPr>
    </w:p>
    <w:bookmarkStart w:id="83" w:name="page84"/>
    <w:bookmarkEnd w:id="83"/>
    <w:p>
      <w:pPr>
        <w:spacing w:after="0" w:line="117" w:lineRule="exact"/>
        <w:rPr>
          <w:sz w:val="20"/>
          <w:szCs w:val="20"/>
          <w:color w:val="auto"/>
        </w:rPr>
      </w:pPr>
    </w:p>
    <w:p>
      <w:pPr>
        <w:ind w:right="100"/>
        <w:spacing w:after="0" w:line="335" w:lineRule="auto"/>
        <w:rPr>
          <w:sz w:val="20"/>
          <w:szCs w:val="20"/>
          <w:color w:val="auto"/>
        </w:rPr>
      </w:pPr>
      <w:r>
        <w:rPr>
          <w:rFonts w:ascii="Times New Roman" w:cs="Times New Roman" w:eastAsia="Times New Roman" w:hAnsi="Times New Roman"/>
          <w:sz w:val="22"/>
          <w:szCs w:val="22"/>
          <w:color w:val="auto"/>
        </w:rPr>
        <w:t>Where there is any conflict between the terms of the English version of the Plan and/or any ancillary documents and a version in any other language, the English language version will prevail, unless otherwise required by applicable law.</w:t>
      </w:r>
    </w:p>
    <w:p>
      <w:pPr>
        <w:spacing w:after="0" w:line="46" w:lineRule="exact"/>
        <w:rPr>
          <w:sz w:val="20"/>
          <w:szCs w:val="20"/>
          <w:color w:val="auto"/>
        </w:rPr>
      </w:pPr>
    </w:p>
    <w:p>
      <w:pPr>
        <w:ind w:right="7560" w:firstLine="8"/>
        <w:spacing w:after="0" w:line="418" w:lineRule="auto"/>
        <w:tabs>
          <w:tab w:leader="none" w:pos="445"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 Amendment and Termination 20.1 General Power</w:t>
      </w:r>
    </w:p>
    <w:p>
      <w:pPr>
        <w:ind w:right="800"/>
        <w:spacing w:after="0" w:line="321" w:lineRule="auto"/>
        <w:rPr>
          <w:sz w:val="20"/>
          <w:szCs w:val="20"/>
          <w:color w:val="auto"/>
        </w:rPr>
      </w:pPr>
      <w:r>
        <w:rPr>
          <w:rFonts w:ascii="Times New Roman" w:cs="Times New Roman" w:eastAsia="Times New Roman" w:hAnsi="Times New Roman"/>
          <w:sz w:val="22"/>
          <w:szCs w:val="22"/>
          <w:color w:val="auto"/>
        </w:rPr>
        <w:t>The Committee may, at any time and from time to time, amend or modify the Plan without approval of the Company’s shareholders, except as may be required by the Nasdaq Global Select Market, the United States Securities and Exchange Commission or other applicable law.</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 Participant Consent</w:t>
      </w:r>
    </w:p>
    <w:p>
      <w:pPr>
        <w:spacing w:after="0" w:line="183" w:lineRule="exact"/>
        <w:rPr>
          <w:sz w:val="20"/>
          <w:szCs w:val="20"/>
          <w:color w:val="auto"/>
        </w:rPr>
      </w:pPr>
    </w:p>
    <w:p>
      <w:pPr>
        <w:spacing w:after="0" w:line="322" w:lineRule="auto"/>
        <w:rPr>
          <w:sz w:val="20"/>
          <w:szCs w:val="20"/>
          <w:color w:val="auto"/>
        </w:rPr>
      </w:pPr>
      <w:r>
        <w:rPr>
          <w:rFonts w:ascii="Times New Roman" w:cs="Times New Roman" w:eastAsia="Times New Roman" w:hAnsi="Times New Roman"/>
          <w:sz w:val="22"/>
          <w:szCs w:val="22"/>
          <w:color w:val="auto"/>
        </w:rPr>
        <w:t>If a proposed change to the Plan would materially and adversely impact the rights of one or more Participants in respect of existing rights under the Plan, then the Committee must obtain the written consent of the affected Participant(s).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20.3 Exceptions to Participant Consent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Committee need not obtain Participant consent:</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20.3.1 for any changes that are provided for in the Plan;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20.3.2 for any changes that are (as determined in the sole discretion of the Committee):</w:t>
      </w:r>
    </w:p>
    <w:p>
      <w:pPr>
        <w:spacing w:after="0" w:line="166" w:lineRule="exact"/>
        <w:rPr>
          <w:sz w:val="20"/>
          <w:szCs w:val="20"/>
          <w:color w:val="auto"/>
        </w:rPr>
      </w:pPr>
    </w:p>
    <w:p>
      <w:pPr>
        <w:ind w:left="1560" w:hanging="450"/>
        <w:spacing w:after="0"/>
        <w:tabs>
          <w:tab w:leader="none" w:pos="15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minor and to benefit the administration of the Plan;</w:t>
      </w:r>
    </w:p>
    <w:p>
      <w:pPr>
        <w:spacing w:after="0" w:line="111" w:lineRule="exact"/>
        <w:rPr>
          <w:rFonts w:ascii="Times New Roman" w:cs="Times New Roman" w:eastAsia="Times New Roman" w:hAnsi="Times New Roman"/>
          <w:sz w:val="22"/>
          <w:szCs w:val="22"/>
          <w:color w:val="auto"/>
        </w:rPr>
      </w:pPr>
    </w:p>
    <w:p>
      <w:pPr>
        <w:ind w:left="1560" w:hanging="450"/>
        <w:spacing w:after="0"/>
        <w:tabs>
          <w:tab w:leader="none" w:pos="15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or take account of a changes in applicable law;</w:t>
      </w:r>
    </w:p>
    <w:p>
      <w:pPr>
        <w:spacing w:after="0" w:line="98" w:lineRule="exact"/>
        <w:rPr>
          <w:rFonts w:ascii="Times New Roman" w:cs="Times New Roman" w:eastAsia="Times New Roman" w:hAnsi="Times New Roman"/>
          <w:sz w:val="22"/>
          <w:szCs w:val="22"/>
          <w:color w:val="auto"/>
        </w:rPr>
      </w:pPr>
    </w:p>
    <w:p>
      <w:pPr>
        <w:ind w:left="1560" w:right="260" w:hanging="450"/>
        <w:spacing w:after="0" w:line="320" w:lineRule="auto"/>
        <w:tabs>
          <w:tab w:leader="none" w:pos="155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obtain or maintain favorable tax, exchange control or regulatory treatment of any Member of the Group or any present or future Participant; and/or</w:t>
      </w:r>
    </w:p>
    <w:p>
      <w:pPr>
        <w:ind w:left="1560" w:hanging="450"/>
        <w:spacing w:after="0"/>
        <w:tabs>
          <w:tab w:leader="none" w:pos="15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correct any error; or</w:t>
      </w:r>
    </w:p>
    <w:p>
      <w:pPr>
        <w:spacing w:after="0" w:line="179" w:lineRule="exact"/>
        <w:rPr>
          <w:sz w:val="20"/>
          <w:szCs w:val="20"/>
          <w:color w:val="auto"/>
        </w:rPr>
      </w:pPr>
    </w:p>
    <w:p>
      <w:pPr>
        <w:ind w:left="1100" w:right="180" w:hanging="647"/>
        <w:spacing w:after="0" w:line="314" w:lineRule="auto"/>
        <w:rPr>
          <w:sz w:val="20"/>
          <w:szCs w:val="20"/>
          <w:color w:val="auto"/>
        </w:rPr>
      </w:pPr>
      <w:r>
        <w:rPr>
          <w:rFonts w:ascii="Times New Roman" w:cs="Times New Roman" w:eastAsia="Times New Roman" w:hAnsi="Times New Roman"/>
          <w:sz w:val="22"/>
          <w:szCs w:val="22"/>
          <w:color w:val="auto"/>
        </w:rPr>
        <w:t>20.3.3 if the Committee invites each Participant whose rights are materially and adversely impacted under the Plan to indicate whether or not they approve the change and the majority of the Participants (by number) who were invited and who make an indication approve the change.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20.4 Notice of Change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Committee will give written notice of changes to Participants whose participation in the Plan is materially affected.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20.5 International Variations</w:t>
      </w:r>
    </w:p>
    <w:p>
      <w:pPr>
        <w:sectPr>
          <w:pgSz w:w="11900" w:h="16838" w:orient="portrait"/>
          <w:cols w:equalWidth="0" w:num="1">
            <w:col w:w="11220"/>
          </w:cols>
          <w:pgMar w:left="320" w:top="1440" w:right="359" w:bottom="1440" w:gutter="0" w:footer="0" w:header="0"/>
        </w:sectPr>
      </w:pPr>
    </w:p>
    <w:bookmarkStart w:id="84" w:name="page85"/>
    <w:bookmarkEnd w:id="84"/>
    <w:p>
      <w:pPr>
        <w:spacing w:after="0" w:line="117" w:lineRule="exact"/>
        <w:rPr>
          <w:sz w:val="20"/>
          <w:szCs w:val="20"/>
          <w:color w:val="auto"/>
        </w:rPr>
      </w:pPr>
    </w:p>
    <w:p>
      <w:pPr>
        <w:ind w:right="420"/>
        <w:spacing w:after="0" w:line="335" w:lineRule="auto"/>
        <w:rPr>
          <w:sz w:val="20"/>
          <w:szCs w:val="20"/>
          <w:color w:val="auto"/>
        </w:rPr>
      </w:pPr>
      <w:r>
        <w:rPr>
          <w:rFonts w:ascii="Times New Roman" w:cs="Times New Roman" w:eastAsia="Times New Roman" w:hAnsi="Times New Roman"/>
          <w:sz w:val="22"/>
          <w:szCs w:val="22"/>
          <w:color w:val="auto"/>
        </w:rPr>
        <w:t>The Committee may establish plans, sub-plans or schedules based on the Plan, but modified to take account of any local tax, exchange control or securities laws in other jurisdictions, provided that:</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20.5.1 those plans are subject to the limits set out in Section 4 hereof (Plan Limit);</w:t>
      </w:r>
    </w:p>
    <w:p>
      <w:pPr>
        <w:spacing w:after="0" w:line="112" w:lineRule="exact"/>
        <w:rPr>
          <w:sz w:val="20"/>
          <w:szCs w:val="20"/>
          <w:color w:val="auto"/>
        </w:rPr>
      </w:pPr>
    </w:p>
    <w:p>
      <w:pPr>
        <w:ind w:left="1100" w:right="460" w:hanging="647"/>
        <w:spacing w:after="0" w:line="320" w:lineRule="auto"/>
        <w:rPr>
          <w:sz w:val="20"/>
          <w:szCs w:val="20"/>
          <w:color w:val="auto"/>
        </w:rPr>
      </w:pPr>
      <w:r>
        <w:rPr>
          <w:rFonts w:ascii="Times New Roman" w:cs="Times New Roman" w:eastAsia="Times New Roman" w:hAnsi="Times New Roman"/>
          <w:sz w:val="22"/>
          <w:szCs w:val="22"/>
          <w:color w:val="auto"/>
        </w:rPr>
        <w:t>20.5.2 no individual will be entitled to more Shares or cash under that plan or schedule than the maximum entitlement under the Plan; and</w:t>
      </w:r>
    </w:p>
    <w:p>
      <w:pPr>
        <w:ind w:left="1100" w:hanging="647"/>
        <w:spacing w:after="0" w:line="314" w:lineRule="auto"/>
        <w:rPr>
          <w:sz w:val="20"/>
          <w:szCs w:val="20"/>
          <w:color w:val="auto"/>
        </w:rPr>
      </w:pPr>
      <w:r>
        <w:rPr>
          <w:rFonts w:ascii="Times New Roman" w:cs="Times New Roman" w:eastAsia="Times New Roman" w:hAnsi="Times New Roman"/>
          <w:sz w:val="22"/>
          <w:szCs w:val="22"/>
          <w:color w:val="auto"/>
        </w:rPr>
        <w:t>20.5.3 the provisions of those plans are not considered changes to the Plan that would give rise to shareholder approval under the rules of the Nasdaq Global Select Market, the United States Securities and Exchange Commission or other applicable law.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20.6 Termination of the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 will terminate on the date the Committee decides.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20.7 Consequences of Termination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Plan is terminated, the Committee may decide that:</w:t>
      </w:r>
    </w:p>
    <w:p>
      <w:pPr>
        <w:spacing w:after="0" w:line="166" w:lineRule="exact"/>
        <w:rPr>
          <w:sz w:val="20"/>
          <w:szCs w:val="20"/>
          <w:color w:val="auto"/>
        </w:rPr>
      </w:pPr>
    </w:p>
    <w:p>
      <w:pPr>
        <w:ind w:left="1100" w:right="400" w:hanging="647"/>
        <w:spacing w:after="0" w:line="320" w:lineRule="auto"/>
        <w:rPr>
          <w:sz w:val="20"/>
          <w:szCs w:val="20"/>
          <w:color w:val="auto"/>
        </w:rPr>
      </w:pPr>
      <w:r>
        <w:rPr>
          <w:rFonts w:ascii="Times New Roman" w:cs="Times New Roman" w:eastAsia="Times New Roman" w:hAnsi="Times New Roman"/>
          <w:sz w:val="22"/>
          <w:szCs w:val="22"/>
          <w:color w:val="auto"/>
        </w:rPr>
        <w:t>20.7.1 Contributions will stop at such time as determined by the Committee and, once stopped, Participants will not be entitled to make any further Contributions;</w:t>
      </w:r>
    </w:p>
    <w:p>
      <w:pPr>
        <w:ind w:left="460"/>
        <w:spacing w:after="0"/>
        <w:rPr>
          <w:sz w:val="20"/>
          <w:szCs w:val="20"/>
          <w:color w:val="auto"/>
        </w:rPr>
      </w:pPr>
      <w:r>
        <w:rPr>
          <w:rFonts w:ascii="Times New Roman" w:cs="Times New Roman" w:eastAsia="Times New Roman" w:hAnsi="Times New Roman"/>
          <w:sz w:val="22"/>
          <w:szCs w:val="22"/>
          <w:color w:val="auto"/>
        </w:rPr>
        <w:t>20.7.2 any Contributions already made will be used to purchase Shares on the next expected Exercise Date;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20.7.3 aside from any final purchase under Section 20.7.2 hereof, no further Shares may be purchased under the Plan;</w:t>
      </w:r>
    </w:p>
    <w:p>
      <w:pPr>
        <w:spacing w:after="0" w:line="98" w:lineRule="exact"/>
        <w:rPr>
          <w:sz w:val="20"/>
          <w:szCs w:val="20"/>
          <w:color w:val="auto"/>
        </w:rPr>
      </w:pPr>
    </w:p>
    <w:p>
      <w:pPr>
        <w:ind w:left="1100" w:right="400" w:hanging="647"/>
        <w:spacing w:after="0" w:line="320" w:lineRule="auto"/>
        <w:rPr>
          <w:sz w:val="20"/>
          <w:szCs w:val="20"/>
          <w:color w:val="auto"/>
        </w:rPr>
      </w:pPr>
      <w:r>
        <w:rPr>
          <w:rFonts w:ascii="Times New Roman" w:cs="Times New Roman" w:eastAsia="Times New Roman" w:hAnsi="Times New Roman"/>
          <w:sz w:val="22"/>
          <w:szCs w:val="22"/>
          <w:color w:val="auto"/>
        </w:rPr>
        <w:t>20.7.4 if there is a final purchase under Section 20.7.2 hereof, a final Matching Award may be granted in respect of the Purchased Shares to be purchased by a Participant upon the final Exercise Date;</w:t>
      </w:r>
    </w:p>
    <w:p>
      <w:pPr>
        <w:ind w:left="1100" w:right="280" w:hanging="647"/>
        <w:spacing w:after="0" w:line="320" w:lineRule="auto"/>
        <w:rPr>
          <w:sz w:val="20"/>
          <w:szCs w:val="20"/>
          <w:color w:val="auto"/>
        </w:rPr>
      </w:pPr>
      <w:r>
        <w:rPr>
          <w:rFonts w:ascii="Times New Roman" w:cs="Times New Roman" w:eastAsia="Times New Roman" w:hAnsi="Times New Roman"/>
          <w:sz w:val="22"/>
          <w:szCs w:val="22"/>
          <w:color w:val="auto"/>
        </w:rPr>
        <w:t>20.7.5 the Vesting of some or all outstanding Matching Awards will be accelerated to such date and on such terms as the Committee decides; and</w:t>
      </w:r>
    </w:p>
    <w:p>
      <w:pPr>
        <w:ind w:left="460"/>
        <w:spacing w:after="0"/>
        <w:rPr>
          <w:sz w:val="20"/>
          <w:szCs w:val="20"/>
          <w:color w:val="auto"/>
        </w:rPr>
      </w:pPr>
      <w:r>
        <w:rPr>
          <w:rFonts w:ascii="Times New Roman" w:cs="Times New Roman" w:eastAsia="Times New Roman" w:hAnsi="Times New Roman"/>
          <w:sz w:val="22"/>
          <w:szCs w:val="22"/>
          <w:color w:val="auto"/>
        </w:rPr>
        <w:t>20.7.6 any dividends payable on Plan Shares going forwards will be paid in cash.</w:t>
      </w:r>
    </w:p>
    <w:p>
      <w:pPr>
        <w:spacing w:after="0" w:line="179" w:lineRule="exact"/>
        <w:rPr>
          <w:sz w:val="20"/>
          <w:szCs w:val="20"/>
          <w:color w:val="auto"/>
        </w:rPr>
      </w:pPr>
    </w:p>
    <w:p>
      <w:pPr>
        <w:ind w:right="60"/>
        <w:spacing w:after="0" w:line="322" w:lineRule="auto"/>
        <w:rPr>
          <w:sz w:val="20"/>
          <w:szCs w:val="20"/>
          <w:color w:val="auto"/>
        </w:rPr>
      </w:pPr>
      <w:r>
        <w:rPr>
          <w:rFonts w:ascii="Times New Roman" w:cs="Times New Roman" w:eastAsia="Times New Roman" w:hAnsi="Times New Roman"/>
          <w:sz w:val="22"/>
          <w:szCs w:val="22"/>
          <w:color w:val="auto"/>
        </w:rPr>
        <w:t>Plan Shares will be dealt with as soon as administratively practicable in accordance with the Participant’s instructions, subject to Dealing Restrictions.</w:t>
      </w:r>
    </w:p>
    <w:p>
      <w:pPr>
        <w:spacing w:after="0" w:line="6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Code Section 409A</w:t>
      </w:r>
    </w:p>
    <w:p>
      <w:pPr>
        <w:spacing w:after="0" w:line="183" w:lineRule="exact"/>
        <w:rPr>
          <w:sz w:val="20"/>
          <w:szCs w:val="20"/>
          <w:color w:val="auto"/>
        </w:rPr>
      </w:pPr>
    </w:p>
    <w:p>
      <w:pPr>
        <w:ind w:right="100"/>
        <w:spacing w:after="0" w:line="320" w:lineRule="auto"/>
        <w:rPr>
          <w:sz w:val="20"/>
          <w:szCs w:val="20"/>
          <w:color w:val="auto"/>
        </w:rPr>
      </w:pPr>
      <w:r>
        <w:rPr>
          <w:rFonts w:ascii="Times New Roman" w:cs="Times New Roman" w:eastAsia="Times New Roman" w:hAnsi="Times New Roman"/>
          <w:sz w:val="22"/>
          <w:szCs w:val="22"/>
          <w:color w:val="auto"/>
        </w:rPr>
        <w:t>It is intended that the payments and benefits provided under the Plan and any Award will either be exempt from the application of, or comply with, the requirements of Section 409A of the Code. The Plan and all Subscription Agreements (or similar documents) will be construed in a manner that effects such intent. Nevertheless, the tax treatment of the benefits provided under the</w:t>
      </w:r>
    </w:p>
    <w:p>
      <w:pPr>
        <w:sectPr>
          <w:pgSz w:w="11900" w:h="16838" w:orient="portrait"/>
          <w:cols w:equalWidth="0" w:num="1">
            <w:col w:w="11180"/>
          </w:cols>
          <w:pgMar w:left="320" w:top="1440" w:right="399" w:bottom="1440" w:gutter="0" w:footer="0" w:header="0"/>
        </w:sectPr>
      </w:pPr>
    </w:p>
    <w:bookmarkStart w:id="85" w:name="page86"/>
    <w:bookmarkEnd w:id="85"/>
    <w:p>
      <w:pPr>
        <w:spacing w:after="0" w:line="117" w:lineRule="exact"/>
        <w:rPr>
          <w:sz w:val="20"/>
          <w:szCs w:val="20"/>
          <w:color w:val="auto"/>
        </w:rPr>
      </w:pPr>
    </w:p>
    <w:p>
      <w:pPr>
        <w:spacing w:after="0" w:line="321" w:lineRule="auto"/>
        <w:rPr>
          <w:sz w:val="20"/>
          <w:szCs w:val="20"/>
          <w:color w:val="auto"/>
        </w:rPr>
      </w:pPr>
      <w:r>
        <w:rPr>
          <w:rFonts w:ascii="Times New Roman" w:cs="Times New Roman" w:eastAsia="Times New Roman" w:hAnsi="Times New Roman"/>
          <w:sz w:val="22"/>
          <w:szCs w:val="22"/>
          <w:color w:val="auto"/>
        </w:rPr>
        <w:t>Plan or any Award is not warranted or guaranteed. No Member of the Group, nor their respective directors, officers, employees or advisors (other than in their capacity as a Participant) will be held liable for any Tax-Related Items, interest, penalties or other monetary amounts owed by any Participant or other taxpayer as a result of the Plan or any Award.</w:t>
      </w:r>
    </w:p>
    <w:p>
      <w:pPr>
        <w:spacing w:after="0" w:line="6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Governing Law</w:t>
      </w:r>
    </w:p>
    <w:p>
      <w:pPr>
        <w:spacing w:after="0" w:line="197" w:lineRule="exact"/>
        <w:rPr>
          <w:sz w:val="20"/>
          <w:szCs w:val="20"/>
          <w:color w:val="auto"/>
        </w:rPr>
      </w:pPr>
    </w:p>
    <w:p>
      <w:pPr>
        <w:spacing w:after="0" w:line="335" w:lineRule="auto"/>
        <w:rPr>
          <w:sz w:val="20"/>
          <w:szCs w:val="20"/>
          <w:color w:val="auto"/>
        </w:rPr>
      </w:pPr>
      <w:r>
        <w:rPr>
          <w:rFonts w:ascii="Times New Roman" w:cs="Times New Roman" w:eastAsia="Times New Roman" w:hAnsi="Times New Roman"/>
          <w:sz w:val="22"/>
          <w:szCs w:val="22"/>
          <w:color w:val="auto"/>
        </w:rPr>
        <w:t>To the extent not governed by U.S. federal law, the Plan and all Awards will be construed in accordance with and governed by the laws of the Commonwealth of Virginia, U.S.A.</w:t>
      </w:r>
    </w:p>
    <w:p>
      <w:pPr>
        <w:sectPr>
          <w:pgSz w:w="11900" w:h="16838" w:orient="portrait"/>
          <w:cols w:equalWidth="0" w:num="1">
            <w:col w:w="11220"/>
          </w:cols>
          <w:pgMar w:left="320" w:top="1440" w:right="35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MONDELĒZ INTERNATIONAL, INC.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SEVERANCE PLAN</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FOR KEY EXECUTIVES</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(Effective as of May 20,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OVERVIEW</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1.1 Mondelēz International, Inc., a corporation organized under the laws of the Commonwealth of Virginia, or any successor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establishes this Mondelēz International, Inc. Severance Plan for Key Executives (this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effective as of May 20,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Plan supersedes all prior severance benefit plans or practices of the Employers applicable to Key Executives, other than the applicable change in control severance plans maintained by the Company from time to time. The Plan is maintained for the purpose of providing benefits for a select group of management or highly compensated employees.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PURPOSE</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2.1 This Plan offers severance benefits to Participants under the Plan’s terms and conditions, when the Participant’s employment with the Employer ends under certain specified circumstances through no fault of the Participants.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DEFINITIONS</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with respect to any Employer, all persons with whom the Employer would be considered to be a single employer under Code section 414(b) and all persons with whom the Employer would be considered to be a single employer under Code section 414(c) if the ownership test under Code section 414 were “more than 50%” rather than “at least 80%.”</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xml:space="preserve"> means the Participant’s annual base salary as in effect immediately prior to the Participant’s termination of employment.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Annual Incentive Award Target</w:t>
      </w:r>
      <w:r>
        <w:rPr>
          <w:rFonts w:ascii="Times New Roman" w:cs="Times New Roman" w:eastAsia="Times New Roman" w:hAnsi="Times New Roman"/>
          <w:sz w:val="21"/>
          <w:szCs w:val="21"/>
          <w:color w:val="auto"/>
        </w:rPr>
        <w:t xml:space="preserve"> means the annual incentive award that the Participant would receive for a calendar year under the Company’s Management Incentive Plan or any comparable annual incentive plan (the “</w:t>
      </w:r>
      <w:r>
        <w:rPr>
          <w:rFonts w:ascii="Times New Roman" w:cs="Times New Roman" w:eastAsia="Times New Roman" w:hAnsi="Times New Roman"/>
          <w:sz w:val="21"/>
          <w:szCs w:val="21"/>
          <w:u w:val="single" w:color="auto"/>
          <w:color w:val="auto"/>
        </w:rPr>
        <w:t>Annual Incentive Award</w:t>
      </w:r>
      <w:r>
        <w:rPr>
          <w:rFonts w:ascii="Times New Roman" w:cs="Times New Roman" w:eastAsia="Times New Roman" w:hAnsi="Times New Roman"/>
          <w:sz w:val="21"/>
          <w:szCs w:val="21"/>
          <w:color w:val="auto"/>
        </w:rPr>
        <w:t>”) if the target goals were achieved and if the Participant remained employed by the Employer for the entire calendar year.</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 xml:space="preserve">Board </w:t>
      </w:r>
      <w:r>
        <w:rPr>
          <w:rFonts w:ascii="Times New Roman" w:cs="Times New Roman" w:eastAsia="Times New Roman" w:hAnsi="Times New Roman"/>
          <w:sz w:val="21"/>
          <w:szCs w:val="21"/>
          <w:color w:val="auto"/>
        </w:rPr>
        <w:t>means the Board of Directors of the Company.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2"/>
          <w:szCs w:val="22"/>
          <w:u w:val="single" w:color="auto"/>
          <w:color w:val="auto"/>
        </w:rPr>
        <w:t xml:space="preserve">Cause </w:t>
      </w:r>
      <w:r>
        <w:rPr>
          <w:rFonts w:ascii="Times New Roman" w:cs="Times New Roman" w:eastAsia="Times New Roman" w:hAnsi="Times New Roman"/>
          <w:sz w:val="22"/>
          <w:szCs w:val="22"/>
          <w:color w:val="auto"/>
        </w:rPr>
        <w:t>means one or more of the following which results in the Participant’s termination of employment with the</w:t>
      </w:r>
    </w:p>
    <w:p>
      <w:pPr>
        <w:spacing w:after="0"/>
        <w:rPr>
          <w:sz w:val="20"/>
          <w:szCs w:val="20"/>
          <w:color w:val="auto"/>
        </w:rPr>
      </w:pPr>
      <w:r>
        <w:rPr>
          <w:rFonts w:ascii="Times New Roman" w:cs="Times New Roman" w:eastAsia="Times New Roman" w:hAnsi="Times New Roman"/>
          <w:sz w:val="22"/>
          <w:szCs w:val="22"/>
          <w:color w:val="auto"/>
        </w:rPr>
        <w:t>Employer:</w:t>
      </w:r>
    </w:p>
    <w:p>
      <w:pPr>
        <w:spacing w:after="0" w:line="155" w:lineRule="exact"/>
        <w:rPr>
          <w:sz w:val="20"/>
          <w:szCs w:val="20"/>
          <w:color w:val="auto"/>
        </w:rPr>
      </w:pPr>
    </w:p>
    <w:p>
      <w:pPr>
        <w:ind w:left="1960" w:hanging="656"/>
        <w:spacing w:after="0" w:line="236" w:lineRule="auto"/>
        <w:tabs>
          <w:tab w:leader="none" w:pos="195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failure to substantially perform the Participant’s job’s duties (other than resulting from incapacity due to Disability);</w:t>
      </w:r>
    </w:p>
    <w:p>
      <w:pPr>
        <w:spacing w:after="0" w:line="150" w:lineRule="exact"/>
        <w:rPr>
          <w:rFonts w:ascii="Times New Roman" w:cs="Times New Roman" w:eastAsia="Times New Roman" w:hAnsi="Times New Roman"/>
          <w:sz w:val="22"/>
          <w:szCs w:val="22"/>
          <w:color w:val="auto"/>
        </w:rPr>
      </w:pPr>
    </w:p>
    <w:p>
      <w:pPr>
        <w:ind w:left="1960" w:hanging="656"/>
        <w:spacing w:after="0" w:line="236" w:lineRule="auto"/>
        <w:tabs>
          <w:tab w:leader="none" w:pos="195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negligence, dishonesty, or violation of any reasonable rule or regulation of the Mondelēz Group where the violation results in significant damage to the Mondelēz Group;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other conduct that adversely reflects on the Mondelēz Group in any material respect.</w:t>
      </w:r>
    </w:p>
    <w:p>
      <w:pPr>
        <w:sectPr>
          <w:pgSz w:w="11900" w:h="16838" w:orient="portrait"/>
          <w:cols w:equalWidth="0" w:num="1">
            <w:col w:w="11240"/>
          </w:cols>
          <w:pgMar w:left="320" w:top="126" w:right="339" w:bottom="1440" w:gutter="0" w:footer="0" w:header="0"/>
        </w:sectPr>
      </w:pPr>
    </w:p>
    <w:bookmarkStart w:id="87" w:name="page88"/>
    <w:bookmarkEnd w:id="87"/>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has the meaning set forth in the Mondelēz International, Inc. Change in Control Plan for Key Executives.</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u w:val="single" w:color="auto"/>
          <w:color w:val="auto"/>
        </w:rPr>
        <w:t xml:space="preserve">Code </w:t>
      </w:r>
      <w:r>
        <w:rPr>
          <w:rFonts w:ascii="Times New Roman" w:cs="Times New Roman" w:eastAsia="Times New Roman" w:hAnsi="Times New Roman"/>
          <w:sz w:val="21"/>
          <w:szCs w:val="21"/>
          <w:color w:val="auto"/>
        </w:rPr>
        <w:t>means the Internal Revenue Code of 1986, as amended.</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xml:space="preserve"> means the People and Compensation Committee of the Board, any successor thereto or such other committee or subcommittee as may be designated by the Board to administer the Plan.</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means a Participant is absent from the Participant’s duties with the Employer on a full-time basis for 180 consecutive days as a result of incapacity due to mental or physical illness which is determined to be total and permanent by a physician selected by the Company or its insurers and acceptable to the Participant or the Participant’s legal representative. In such event, the Participant’s employment with the Employer shall terminate effective on the 30th day after receipt of such notice by the Participant, provided that, within the 30 days after such receipt, the Participant shall not have returned to full-time performance of the Participant’s duties.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3.10</w:t>
      </w:r>
      <w:r>
        <w:rPr>
          <w:sz w:val="20"/>
          <w:szCs w:val="20"/>
          <w:color w:val="auto"/>
        </w:rPr>
        <w:tab/>
      </w:r>
      <w:r>
        <w:rPr>
          <w:rFonts w:ascii="Times New Roman" w:cs="Times New Roman" w:eastAsia="Times New Roman" w:hAnsi="Times New Roman"/>
          <w:sz w:val="21"/>
          <w:szCs w:val="21"/>
          <w:u w:val="single" w:color="auto"/>
          <w:color w:val="auto"/>
        </w:rPr>
        <w:t xml:space="preserve">Employer </w:t>
      </w:r>
      <w:r>
        <w:rPr>
          <w:rFonts w:ascii="Times New Roman" w:cs="Times New Roman" w:eastAsia="Times New Roman" w:hAnsi="Times New Roman"/>
          <w:sz w:val="21"/>
          <w:szCs w:val="21"/>
          <w:color w:val="auto"/>
        </w:rPr>
        <w:t>means the Company or any entity in the Mondelēz Group which employs the Participant.</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xml:space="preserve"> means (i) the assignment to the Participant of any duties substantially inconsistent with the Participant’s position, authority, duties or responsibilities or any other action by the Mondelēz Group that results in a material diminution in the Participant’s position, authority, duties or responsibilities, excluding for this purpose an isolated, insubstantial and inadvertent action not taken in bad faith and that is remedied by the Mondelēz Group promptly after receipt of notice thereof given by the Participant; (ii) any material reduction in the Participant’s base salary, Annual Incentive Award or long-term incentive opportunity; or (iii) the Mondelēz Group’s requiring the Participant to be based at any office or location other than any other location that does not extend the Participant’s home to work commute by more than 50 miles.</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u w:val="single" w:color="auto"/>
          <w:color w:val="auto"/>
        </w:rPr>
        <w:t>Key Executive</w:t>
      </w:r>
      <w:r>
        <w:rPr>
          <w:rFonts w:ascii="Times New Roman" w:cs="Times New Roman" w:eastAsia="Times New Roman" w:hAnsi="Times New Roman"/>
          <w:sz w:val="22"/>
          <w:szCs w:val="22"/>
          <w:color w:val="auto"/>
        </w:rPr>
        <w:t xml:space="preserve"> means an employee who, is employed on a regular basis by the Employer and (i) is an officer of the Company under Section 16 of the Securities Exchange Act of 1934, or (ii) is otherwise designated by the Committee as eligible to participate in this Plan.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3.13</w:t>
      </w:r>
      <w:r>
        <w:rPr>
          <w:sz w:val="20"/>
          <w:szCs w:val="20"/>
          <w:color w:val="auto"/>
        </w:rPr>
        <w:tab/>
      </w:r>
      <w:r>
        <w:rPr>
          <w:rFonts w:ascii="Times New Roman" w:cs="Times New Roman" w:eastAsia="Times New Roman" w:hAnsi="Times New Roman"/>
          <w:sz w:val="21"/>
          <w:szCs w:val="21"/>
          <w:u w:val="single" w:color="auto"/>
          <w:color w:val="auto"/>
        </w:rPr>
        <w:t xml:space="preserve">Mondelēz Group </w:t>
      </w:r>
      <w:r>
        <w:rPr>
          <w:rFonts w:ascii="Times New Roman" w:cs="Times New Roman" w:eastAsia="Times New Roman" w:hAnsi="Times New Roman"/>
          <w:sz w:val="21"/>
          <w:szCs w:val="21"/>
          <w:color w:val="auto"/>
        </w:rPr>
        <w:t>means the Company and each of its subsidiaries and Affiliates.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3.14 </w:t>
      </w:r>
      <w:r>
        <w:rPr>
          <w:rFonts w:ascii="Times New Roman" w:cs="Times New Roman" w:eastAsia="Times New Roman" w:hAnsi="Times New Roman"/>
          <w:sz w:val="22"/>
          <w:szCs w:val="22"/>
          <w:u w:val="single" w:color="auto"/>
          <w:color w:val="auto"/>
        </w:rPr>
        <w:t>Non-U.S. Executive</w:t>
      </w:r>
      <w:r>
        <w:rPr>
          <w:rFonts w:ascii="Times New Roman" w:cs="Times New Roman" w:eastAsia="Times New Roman" w:hAnsi="Times New Roman"/>
          <w:sz w:val="22"/>
          <w:szCs w:val="22"/>
          <w:color w:val="auto"/>
        </w:rPr>
        <w:t xml:space="preserve"> means a Key Executive whose designated home country, for purposes of the Employer’s personnel and benefits programs and policies, is other than the United States.</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3.15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means a Key Executive who satisfies each of the eligibility requirements contained in Section 4. Once an individual has received all of the Plan benefits to which the individual is entitled as a Participant, the individual ceases to be considered a Participant.</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3.16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means a release agreement in a form required by the Company. As a condition of receiving Plan benefits, an eligible Participant must sign and return the applicable Release to the Employer as specified in instructions provided with the Release in accordance with the administrative procedures and within the time period specified by the Company, and must not revoke such Release in writing within the time period specified in instructions provided with the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ELIGIBILITY</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Except as set forth in the definition of Participant above, each employee who is a Key Executive on the Effective Date shall be a Participant in the Plan effective as of the Effective Date and each other employee shall become a Participant in the Plan effective as of the date of the employee’s promotion or hire as a Key Executive or designation by the Committee as a Participant.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Duration of Participation</w:t>
      </w:r>
      <w:r>
        <w:rPr>
          <w:rFonts w:ascii="Times New Roman" w:cs="Times New Roman" w:eastAsia="Times New Roman" w:hAnsi="Times New Roman"/>
          <w:sz w:val="22"/>
          <w:szCs w:val="22"/>
          <w:color w:val="auto"/>
        </w:rPr>
        <w:t>. A Participant shall cease to be a Participant in the Plan if (i) the Participant terminates employment with the Employer under circumstances not entitling him or her to separation benefits or (ii) the Participant otherwise ceases to be a Key Executive by role or by action of the Committee. A Participant who is entitled, as a result of ceasing to be a Key Executive of the Employer, to receive benefits under the Plan shall remain a Participant in the Plan until the amounts and benefits payable under the Plan have been paid or provided to the Participant in full.</w:t>
      </w:r>
    </w:p>
    <w:p>
      <w:pPr>
        <w:spacing w:after="0" w:line="13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Qualifying Events</w:t>
      </w:r>
      <w:r>
        <w:rPr>
          <w:rFonts w:ascii="Times New Roman" w:cs="Times New Roman" w:eastAsia="Times New Roman" w:hAnsi="Times New Roman"/>
          <w:sz w:val="21"/>
          <w:szCs w:val="21"/>
          <w:color w:val="auto"/>
        </w:rPr>
        <w:t>. Subject to the terms and conditions of the Plan, a Participant who satisfies the requirements of</w:t>
      </w:r>
    </w:p>
    <w:p>
      <w:pPr>
        <w:spacing w:after="0"/>
        <w:rPr>
          <w:sz w:val="20"/>
          <w:szCs w:val="20"/>
          <w:color w:val="auto"/>
        </w:rPr>
      </w:pPr>
      <w:r>
        <w:rPr>
          <w:rFonts w:ascii="Times New Roman" w:cs="Times New Roman" w:eastAsia="Times New Roman" w:hAnsi="Times New Roman"/>
          <w:sz w:val="21"/>
          <w:szCs w:val="21"/>
          <w:color w:val="auto"/>
        </w:rPr>
        <w:t>Section 4.1 is eligible for the separation benefits provided under this Plan if the Committee determines in its sole discretion that:</w:t>
      </w:r>
    </w:p>
    <w:p>
      <w:pPr>
        <w:spacing w:after="0" w:line="167" w:lineRule="exact"/>
        <w:rPr>
          <w:sz w:val="20"/>
          <w:szCs w:val="20"/>
          <w:color w:val="auto"/>
        </w:rPr>
      </w:pPr>
    </w:p>
    <w:p>
      <w:pPr>
        <w:ind w:left="1940" w:hanging="636"/>
        <w:spacing w:after="0"/>
        <w:tabs>
          <w:tab w:leader="none" w:pos="19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employment with the Employer is involuntarily terminated without Cause;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employment with the Employer is terminated by the Participant for Good Reason.</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In order for a Participant to terminate employment for Good Reason, the Participant must notify the Company of any event purporting to constitute Good Reason within 45 days following the Participant’s knowledge of its existence. If the Company fails to take full corrective action within 30 days of the Participant’s notice, the Participant’s termination of employment within 30 days thereafter will constitute Good Reason for purposes of this Plan.</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Conditions to Receiving Benefits</w:t>
      </w:r>
      <w:r>
        <w:rPr>
          <w:rFonts w:ascii="Times New Roman" w:cs="Times New Roman" w:eastAsia="Times New Roman" w:hAnsi="Times New Roman"/>
          <w:sz w:val="22"/>
          <w:szCs w:val="22"/>
          <w:color w:val="auto"/>
        </w:rPr>
        <w:t>. In order to receive separation benefits provided under this Plan, a Participant must timely sign and return (and not revoke) a valid Release in the form and in accordance with instructions provided by the Company or the Employer, which will, among other things, include a release of all claims arising out of the Participant’s employment relationship with the Mondelēz Group and the termination of that relationship and may include, in the Company’s discretion, restrictive covenants, including those related to non-competition, non-solicitation, and non-disparagement.</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Terminations Making a Participant Ineligible for Separation Benefits</w:t>
      </w:r>
      <w:r>
        <w:rPr>
          <w:rFonts w:ascii="Times New Roman" w:cs="Times New Roman" w:eastAsia="Times New Roman" w:hAnsi="Times New Roman"/>
          <w:sz w:val="22"/>
          <w:szCs w:val="22"/>
          <w:color w:val="auto"/>
        </w:rPr>
        <w:t>. No Participant is eligible for separation benefits provided under this Plan if the Committee, in its sole discretion, determines that:</w:t>
      </w:r>
    </w:p>
    <w:p>
      <w:pPr>
        <w:spacing w:after="0" w:line="150" w:lineRule="exact"/>
        <w:rPr>
          <w:sz w:val="20"/>
          <w:szCs w:val="20"/>
          <w:color w:val="auto"/>
        </w:rPr>
      </w:pPr>
    </w:p>
    <w:p>
      <w:pPr>
        <w:ind w:left="1940" w:hanging="636"/>
        <w:spacing w:after="0"/>
        <w:tabs>
          <w:tab w:leader="none" w:pos="19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terminated his or her employment with the Employer other than for Good Reason;</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Employer terminated the Participant for Cause (as determined by the Committee in its sole discretion);</w:t>
      </w:r>
    </w:p>
    <w:p>
      <w:pPr>
        <w:spacing w:after="0" w:line="190"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employment with Employer is terminated due to death or Disability;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89" w:name="page90"/>
    <w:bookmarkEnd w:id="89"/>
    <w:p>
      <w:pPr>
        <w:jc w:val="both"/>
        <w:ind w:left="1960" w:hanging="656"/>
        <w:spacing w:after="0" w:line="215" w:lineRule="auto"/>
        <w:tabs>
          <w:tab w:leader="none" w:pos="195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received, or is eligible to receive, from the Employer or any Affiliate any payment or benefit pursuant to the terms of any plan, program, policy, arrangement or agreement intended to provide benefits to the Participant in lieu of any severance pay to which the Participant might otherwise be entitled under this Plan regardless of whether the payment is of equal or greater value than the Plan benefits, including, without limitation, under the Mondelēz International, Inc. Change in Control Plan for Key Executives.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PLAN BENEFITS</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Severance Pay</w:t>
      </w:r>
      <w:r>
        <w:rPr>
          <w:rFonts w:ascii="Times New Roman" w:cs="Times New Roman" w:eastAsia="Times New Roman" w:hAnsi="Times New Roman"/>
          <w:sz w:val="22"/>
          <w:szCs w:val="22"/>
          <w:color w:val="auto"/>
        </w:rPr>
        <w:t>. Subject to the terms and conditions of the Plan, each Participant will receive a lump sum cash severance payment equal to the Participant’s Annual Base Salary, payable in accordance with Section 5.8.</w:t>
      </w:r>
    </w:p>
    <w:p>
      <w:pPr>
        <w:spacing w:after="0" w:line="150" w:lineRule="exact"/>
        <w:rPr>
          <w:sz w:val="20"/>
          <w:szCs w:val="20"/>
          <w:color w:val="auto"/>
        </w:rPr>
      </w:pPr>
    </w:p>
    <w:p>
      <w:pPr>
        <w:jc w:val="both"/>
        <w:ind w:firstLine="648"/>
        <w:spacing w:after="0" w:line="20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Payment of Annual Incentive Award</w:t>
      </w:r>
      <w:r>
        <w:rPr>
          <w:rFonts w:ascii="Times New Roman" w:cs="Times New Roman" w:eastAsia="Times New Roman" w:hAnsi="Times New Roman"/>
          <w:sz w:val="22"/>
          <w:szCs w:val="22"/>
          <w:color w:val="auto"/>
        </w:rPr>
        <w:t>. Subject to the terms and conditions of the Plan, if a Participant’s termination occurs after March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but before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termination year, such Participant will be eligible for a pro-rata lump sum cash payment, payable in accordance with Section 5.8, equal to the product of (i) the Participant’s Annual Incentive Award Target and (ii) a fraction, the numerator of which is the number of calendar days in the fiscal year of termination up to and including the Participant’s termination date and the denominator of which is the total number of calendar days in such year. A Participant will not be eligible for any pro-rata Annual Incentive Award for the year of termination if the termination occurs between January 1 and March 31 of the termination year.</w:t>
      </w:r>
    </w:p>
    <w:p>
      <w:pPr>
        <w:spacing w:after="0" w:line="17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In addition, if the termination occurs on or after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but prior to payment of the Annual Incentive Award, Participants shall also be eligible to receive any Annual Incentive Awards for the completed fiscal year immediately preceding the Participant’s termination (or the fiscal year of the Participant’s termination if the termination occurs on December 31st) based on actual performance, and payable at the same time as such Annual Incentive Award is paid to other executives of the Company in the ordinary course (but no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calendar year following the Annual Incentive Award fiscal year).</w:t>
      </w:r>
    </w:p>
    <w:p>
      <w:pPr>
        <w:spacing w:after="0" w:line="9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Health Benefit Stipend</w:t>
      </w:r>
      <w:r>
        <w:rPr>
          <w:rFonts w:ascii="Times New Roman" w:cs="Times New Roman" w:eastAsia="Times New Roman" w:hAnsi="Times New Roman"/>
          <w:sz w:val="22"/>
          <w:szCs w:val="22"/>
          <w:color w:val="auto"/>
        </w:rPr>
        <w:t>. The Employer shall pay to the Participant an additional lump sum cash payment, payable in accordance with Section 5.8, based on the group health insurance plan in which the Participant participated in immediately prior to the Participant’s termination, equal to 12 times the monthly employer portion of the premiums at the applicable rate in effect as of immediately prior to the Participant’s termination date.</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Allowance Continuation and Outplacement</w:t>
      </w:r>
      <w:r>
        <w:rPr>
          <w:rFonts w:ascii="Times New Roman" w:cs="Times New Roman" w:eastAsia="Times New Roman" w:hAnsi="Times New Roman"/>
          <w:sz w:val="22"/>
          <w:szCs w:val="22"/>
          <w:color w:val="auto"/>
        </w:rPr>
        <w:t>. The Employer shall pay a lump sum cash payment, payable in accordance with Section 5.8, equal to one year of financial planning allowance and car allowance as provided to the Participant immediately prior to the termination. The Employer shall also, at its sole expense, provide the Participant with outplacement services through the provider of the Employer’s choice, the scope of which shall be chosen by the Participant within the terms and conditions of the Employer’s outplacement services policy, for a period following the Participant’s termination date of 12 months.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401(k) and Sign-On Bonus</w:t>
      </w:r>
      <w:r>
        <w:rPr>
          <w:rFonts w:ascii="Times New Roman" w:cs="Times New Roman" w:eastAsia="Times New Roman" w:hAnsi="Times New Roman"/>
          <w:sz w:val="22"/>
          <w:szCs w:val="22"/>
          <w:color w:val="auto"/>
        </w:rPr>
        <w:t>. Solely with respect to Participants who participate in the Mondelēz Global LLC Thrift Plan (the “</w:t>
      </w:r>
      <w:r>
        <w:rPr>
          <w:rFonts w:ascii="Times New Roman" w:cs="Times New Roman" w:eastAsia="Times New Roman" w:hAnsi="Times New Roman"/>
          <w:sz w:val="22"/>
          <w:szCs w:val="22"/>
          <w:u w:val="single" w:color="auto"/>
          <w:color w:val="auto"/>
        </w:rPr>
        <w:t>401(k) Plan</w:t>
      </w:r>
      <w:r>
        <w:rPr>
          <w:rFonts w:ascii="Times New Roman" w:cs="Times New Roman" w:eastAsia="Times New Roman" w:hAnsi="Times New Roman"/>
          <w:sz w:val="22"/>
          <w:szCs w:val="22"/>
          <w:color w:val="auto"/>
        </w:rPr>
        <w:t>”) as of immediately prior to the Participant’s termination, the Employer shall pay to the Participant a lump sum cash payment, payable in accordance with Section 5.8, equal to the amount of any employer contributions, plus any accumulated earnings or losses thereon, that the Participant forfeits under the 401(k) Plan due to the Participant’s termination of employment (if any). The amount of the lump sum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90" w:name="page91"/>
    <w:bookmarkEnd w:id="90"/>
    <w:p>
      <w:pPr>
        <w:jc w:val="both"/>
        <w:spacing w:after="0" w:line="226" w:lineRule="auto"/>
        <w:rPr>
          <w:sz w:val="20"/>
          <w:szCs w:val="20"/>
          <w:color w:val="auto"/>
        </w:rPr>
      </w:pPr>
      <w:r>
        <w:rPr>
          <w:rFonts w:ascii="Times New Roman" w:cs="Times New Roman" w:eastAsia="Times New Roman" w:hAnsi="Times New Roman"/>
          <w:sz w:val="21"/>
          <w:szCs w:val="21"/>
          <w:color w:val="auto"/>
        </w:rPr>
        <w:t>calculated based on the balances in the Participant’s 401(k) Plan account, valued as of the close of business on their last day of employment. The foregoing shall not be construed as (i) an amendment to the 401(k) Plan or the forfeiture provisions thereunder,</w:t>
      </w:r>
    </w:p>
    <w:p>
      <w:pPr>
        <w:spacing w:after="0" w:line="1" w:lineRule="exact"/>
        <w:rPr>
          <w:sz w:val="20"/>
          <w:szCs w:val="20"/>
          <w:color w:val="auto"/>
        </w:rPr>
      </w:pPr>
    </w:p>
    <w:p>
      <w:pPr>
        <w:jc w:val="both"/>
        <w:ind w:firstLine="8"/>
        <w:spacing w:after="0" w:line="228" w:lineRule="auto"/>
        <w:tabs>
          <w:tab w:leader="none" w:pos="325"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requirement for the Employer to make additional contributions to the 401(k) Plan, or (iii) a requirement for the distribution of any amounts from the 401(k) Plan. In addition, any repayment obligations of the Participant to the Employer with respect to any sign-on, relocation, or similar bonus previously paid to the Participant shall be deemed waived by the Employer.</w:t>
      </w:r>
    </w:p>
    <w:p>
      <w:pPr>
        <w:spacing w:after="0" w:line="15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outstanding unvested equity award of the Company held by the Participant that was granted at least 181 days prior to the Participant’s termination date that is subject to time-based vesting conditions only shall accelerate on a pro-rated basis based on a fraction, the numerator of which is the number of months (excluding the month of the grant date and including partial months thereafter, rounded up to the next whole month) in applicable vesting period completed through the Participant’s termination date (less all months attributable to previously vested portions of such equity awards) and the denominator of which is the total number of months in such applicable vesting period. In addition, a pro-rated portion of each outstanding unvested equity award of the Company held by the Participant that was granted at least 181 days prior to the Participant’s termination date that is subject to performance-based vesting conditions, based on a fraction, the numerator of which is the number of months that have elapsed in applicable performance period through the Participant’s termination date and the denominator of which is the total number of months in such applicable performance period, shall remain outstanding and eligible to vest subject to the actual performance of the applicable performance-vesting conditions, and shall be payable on the regular payment dates as specified in the applicable award agreement. Further, any outstanding stock options held by the Participant which are exercisable pursuant to their terms (and after application of the foregoing) will remain exercisable until the earlier of (i) the expiration of the original term of the stock option, and (ii) 12 months following the Participant’s termination date. To the extent the Participant qualifies for retirement treatment under the terms of the applicable award agreement for the equity award and such retirement treatment is more favorable than the terms provided herein, the retirement treatment in the applicable award agreement shall apply to the award. For the avoidance of doubt, any settlement of equity awards will be subject to applicable tax withholdings, which may be satisfied in the Employer’s sole discretion through the withholding of shares issuable upon settlement.</w:t>
      </w:r>
    </w:p>
    <w:p>
      <w:pPr>
        <w:spacing w:after="0" w:line="1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2"/>
          <w:szCs w:val="22"/>
          <w:u w:val="single" w:color="auto"/>
          <w:color w:val="auto"/>
        </w:rPr>
        <w:t>Non-U.S. Executives and Offsets</w:t>
      </w:r>
      <w:r>
        <w:rPr>
          <w:rFonts w:ascii="Times New Roman" w:cs="Times New Roman" w:eastAsia="Times New Roman" w:hAnsi="Times New Roman"/>
          <w:sz w:val="22"/>
          <w:szCs w:val="22"/>
          <w:color w:val="auto"/>
        </w:rPr>
        <w:t>. With respect to any Participant who is a Non-U.S. Executive, such Participant</w:t>
      </w:r>
    </w:p>
    <w:p>
      <w:pPr>
        <w:jc w:val="both"/>
        <w:ind w:firstLine="8"/>
        <w:spacing w:after="0" w:line="208" w:lineRule="auto"/>
        <w:tabs>
          <w:tab w:leader="none" w:pos="29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receive the greater of (x) the separation benefits prescribed under Sections 5.1, 5.2, and 5.6, or (y) the comparable separation benefits prescribed under the laws of his or her designated home country or the legally enforceable programs or policies of the Employer in such designated home country (the “</w:t>
      </w:r>
      <w:r>
        <w:rPr>
          <w:rFonts w:ascii="Times New Roman" w:cs="Times New Roman" w:eastAsia="Times New Roman" w:hAnsi="Times New Roman"/>
          <w:sz w:val="22"/>
          <w:szCs w:val="22"/>
          <w:u w:val="single" w:color="auto"/>
          <w:color w:val="auto"/>
        </w:rPr>
        <w:t>Local Benefits</w:t>
      </w:r>
      <w:r>
        <w:rPr>
          <w:rFonts w:ascii="Times New Roman" w:cs="Times New Roman" w:eastAsia="Times New Roman" w:hAnsi="Times New Roman"/>
          <w:sz w:val="22"/>
          <w:szCs w:val="22"/>
          <w:color w:val="auto"/>
        </w:rPr>
        <w:t>”), determined on an aggregate basis by the Company; provided, however, that there shall be no duplication of benefits, and (ii) shall not receive the separation benefits prescribed under Sections 5.3, 5.4, and 5.5 and shall instead receive any comparable Local Benefits (if any), as determined by the Company. Further, the Employer reserves the right to offset the Plan benefits described in Sections 5.1 through 5.6 above by (i) any amounts the Participant owes the Employer or an Affiliate to the extent allowable under applicable federal, state, or local law, and (ii) any severance or termination benefits payable under any other programs, policies, or agreements with the Employer or an Affiliate or under any federal, state, or local law, including without limitation, the Worker Adjustment and Retraining Notification Act and any Local Benefits.</w:t>
      </w:r>
    </w:p>
    <w:p>
      <w:pPr>
        <w:spacing w:after="0" w:line="16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Form and Timing of Benefit Payments</w:t>
      </w:r>
      <w:r>
        <w:rPr>
          <w:rFonts w:ascii="Times New Roman" w:cs="Times New Roman" w:eastAsia="Times New Roman" w:hAnsi="Times New Roman"/>
          <w:sz w:val="22"/>
          <w:szCs w:val="22"/>
          <w:color w:val="auto"/>
        </w:rPr>
        <w:t>. Except to the extent required under Section 9(d), the severance pay under Section 5.1 through Section 5.5 above will be paid to the Participant in a lump sum, less applicable withholdings and deductions, within sixty (60) days following the effective date of the Release (including the expiration of any revocation period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91" w:name="page92"/>
    <w:bookmarkEnd w:id="91"/>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If a Participant dies before receiving all payments due under this Plan, any remaining payments will be paid in a lump sum to the Participant’s designated (or if none, default) beneficiary or beneficiaries pursuant to the Mondelēz Global LLC company-paid group life insurance program.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ADMINISTRATION</w:t>
      </w:r>
    </w:p>
    <w:p>
      <w:pPr>
        <w:spacing w:after="0" w:line="179" w:lineRule="exact"/>
        <w:rPr>
          <w:sz w:val="20"/>
          <w:szCs w:val="20"/>
          <w:color w:val="auto"/>
        </w:rPr>
      </w:pPr>
    </w:p>
    <w:p>
      <w:pPr>
        <w:jc w:val="both"/>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The Plan shall be administered by the Committee in its sole and absolute discretion, and all determinations by the Committee shall be final, binding and conclusive on all parties and be given the maximum possible deference allowed by law. The Committee shall have the following discretionary authority, powers, rights and duties in addition to those vested in it elsewhere in the Plan:</w:t>
      </w:r>
    </w:p>
    <w:p>
      <w:pPr>
        <w:spacing w:after="0" w:line="152" w:lineRule="exact"/>
        <w:rPr>
          <w:sz w:val="20"/>
          <w:szCs w:val="20"/>
          <w:color w:val="auto"/>
        </w:rPr>
      </w:pPr>
    </w:p>
    <w:p>
      <w:pPr>
        <w:ind w:left="1960" w:hanging="656"/>
        <w:spacing w:after="0" w:line="236" w:lineRule="auto"/>
        <w:tabs>
          <w:tab w:leader="none" w:pos="195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adopt such rules of procedure and regulations as, in its opinion, may be necessary for the proper and efficient administration of the Plan and as are consistent with the provisions of the Plan;</w:t>
      </w:r>
    </w:p>
    <w:p>
      <w:pPr>
        <w:spacing w:after="0" w:line="150" w:lineRule="exact"/>
        <w:rPr>
          <w:rFonts w:ascii="Times New Roman" w:cs="Times New Roman" w:eastAsia="Times New Roman" w:hAnsi="Times New Roman"/>
          <w:sz w:val="22"/>
          <w:szCs w:val="22"/>
          <w:color w:val="auto"/>
        </w:rPr>
      </w:pPr>
    </w:p>
    <w:p>
      <w:pPr>
        <w:ind w:left="1960" w:hanging="656"/>
        <w:spacing w:after="0" w:line="236" w:lineRule="auto"/>
        <w:tabs>
          <w:tab w:leader="none" w:pos="195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enforce the Plan in accordance with its terms and with such applicable rules and regulations as may be adopted by the Committee; and</w:t>
      </w:r>
    </w:p>
    <w:p>
      <w:pPr>
        <w:spacing w:after="0" w:line="150" w:lineRule="exact"/>
        <w:rPr>
          <w:rFonts w:ascii="Times New Roman" w:cs="Times New Roman" w:eastAsia="Times New Roman" w:hAnsi="Times New Roman"/>
          <w:sz w:val="22"/>
          <w:szCs w:val="22"/>
          <w:color w:val="auto"/>
        </w:rPr>
      </w:pPr>
    </w:p>
    <w:p>
      <w:pPr>
        <w:jc w:val="both"/>
        <w:ind w:left="1960" w:hanging="656"/>
        <w:spacing w:after="0" w:line="220" w:lineRule="auto"/>
        <w:tabs>
          <w:tab w:leader="none" w:pos="195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conclusively all questions arising under the Plan, including the power to determine the eligibility of Participants and the rights of Participants and other persons entitled to benefits under the Plan and their respective benefits, to make factual findings and to remedy ambiguities, inconsistencies or omissions of whatever kind.</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Committee’s Decision Final</w:t>
      </w:r>
      <w:r>
        <w:rPr>
          <w:rFonts w:ascii="Times New Roman" w:cs="Times New Roman" w:eastAsia="Times New Roman" w:hAnsi="Times New Roman"/>
          <w:sz w:val="22"/>
          <w:szCs w:val="22"/>
          <w:color w:val="auto"/>
        </w:rPr>
        <w:t>. Any interpretation of the Plan and any decision on any matter within the discretion of the Committee made by the Committee is binding on all persons. A misstatement or other mistake of fact will be corrected when it becomes known, and the Committee will make such adjustment as it considers equitable and practicable. In the event of an overpayment of benefits, the Committee will take such action, if any, as it deems necessary or appropriate under the circumstances to recoup or otherwise recover such overpayment, including without limitation, by notice and request for reimbursement from the Participant or other person to whom or on whose behalf such overpayment was made, or by deducting the amount of any such overpayment from future benefits owed with respect to such Participant (or the Participant’s beneficiary) from the Plan.</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Drafting Errors</w:t>
      </w:r>
      <w:r>
        <w:rPr>
          <w:rFonts w:ascii="Times New Roman" w:cs="Times New Roman" w:eastAsia="Times New Roman" w:hAnsi="Times New Roman"/>
          <w:sz w:val="22"/>
          <w:szCs w:val="22"/>
          <w:color w:val="auto"/>
        </w:rPr>
        <w:t>. If, due to errors in drafting, any Plan provision does not accurately reflect its intended meaning, as demonstrated by consistent interpretations or other evidence of intent, or as determined by the Committee in its sole and exclusive judgment, such provision will be considered ambiguous and will be interpreted by the Committee. The Committee may amend the Plan retroactively to reflect the intended meaning of such provision. This subsection may not be invoked by any person to require the Plan to be interpreted in a manner that is inconsistent with its interpretation by the Committee.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Plan Expenses</w:t>
      </w:r>
      <w:r>
        <w:rPr>
          <w:rFonts w:ascii="Times New Roman" w:cs="Times New Roman" w:eastAsia="Times New Roman" w:hAnsi="Times New Roman"/>
          <w:sz w:val="22"/>
          <w:szCs w:val="22"/>
          <w:color w:val="auto"/>
        </w:rPr>
        <w:t>. The expenses of administering this Plan, including the payment of benefits, will be paid by the Employers out of general assets.</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Prohibition Against Assignment or Alienation of Benefits</w:t>
      </w:r>
      <w:r>
        <w:rPr>
          <w:rFonts w:ascii="Times New Roman" w:cs="Times New Roman" w:eastAsia="Times New Roman" w:hAnsi="Times New Roman"/>
          <w:sz w:val="22"/>
          <w:szCs w:val="22"/>
          <w:color w:val="auto"/>
        </w:rPr>
        <w:t>. Except as required by applicable law, no benefits provided under this Plan are subject to assignment or alienation by the Participant or subject to attachment by creditors.</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Amendment or Termination of the Plan</w:t>
      </w:r>
      <w:r>
        <w:rPr>
          <w:rFonts w:ascii="Times New Roman" w:cs="Times New Roman" w:eastAsia="Times New Roman" w:hAnsi="Times New Roman"/>
          <w:sz w:val="22"/>
          <w:szCs w:val="22"/>
          <w:color w:val="auto"/>
        </w:rPr>
        <w:t>. The Company reserves the right to change or end the Plan at any time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92" w:name="page93"/>
    <w:bookmarkEnd w:id="92"/>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No Employment Rights</w:t>
      </w:r>
      <w:r>
        <w:rPr>
          <w:rFonts w:ascii="Times New Roman" w:cs="Times New Roman" w:eastAsia="Times New Roman" w:hAnsi="Times New Roman"/>
          <w:sz w:val="22"/>
          <w:szCs w:val="22"/>
          <w:color w:val="auto"/>
        </w:rPr>
        <w:t>. Nothing in this Plan is intended to give any employee of the Mondelēz Group any right to continued employment or any right to any pension or other benefit or allowance after termination of employment with the Mondelēz Group. No employee will, because of this Plan, become entitled to any offer of relocation, lateral transfer, downgrade with pay protection, or any other term of employment.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Plan is Unfunded</w:t>
      </w:r>
      <w:r>
        <w:rPr>
          <w:rFonts w:ascii="Times New Roman" w:cs="Times New Roman" w:eastAsia="Times New Roman" w:hAnsi="Times New Roman"/>
          <w:sz w:val="22"/>
          <w:szCs w:val="22"/>
          <w:color w:val="auto"/>
        </w:rPr>
        <w:t>. This Plan is intended to be an unfunded employee welfare benefit plan, as defined in Section 3(1), Subtitle A of Title I of the Employee Retirement Income Security Act of 1974 (“ERISA”) for the purpose of providing benefits for a select group of management or highly compensated employees.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CLAIMS PROCEDURE</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Claim Procedure</w:t>
      </w:r>
      <w:r>
        <w:rPr>
          <w:rFonts w:ascii="Times New Roman" w:cs="Times New Roman" w:eastAsia="Times New Roman" w:hAnsi="Times New Roman"/>
          <w:sz w:val="22"/>
          <w:szCs w:val="22"/>
          <w:color w:val="auto"/>
        </w:rPr>
        <w:t>. Any person who believes that he or she is being denied a benefit to which he or she is entitled (“</w:t>
      </w:r>
      <w:r>
        <w:rPr>
          <w:rFonts w:ascii="Times New Roman" w:cs="Times New Roman" w:eastAsia="Times New Roman" w:hAnsi="Times New Roman"/>
          <w:sz w:val="22"/>
          <w:szCs w:val="22"/>
          <w:u w:val="single" w:color="auto"/>
          <w:color w:val="auto"/>
        </w:rPr>
        <w:t>Claimant</w:t>
      </w:r>
      <w:r>
        <w:rPr>
          <w:rFonts w:ascii="Times New Roman" w:cs="Times New Roman" w:eastAsia="Times New Roman" w:hAnsi="Times New Roman"/>
          <w:sz w:val="22"/>
          <w:szCs w:val="22"/>
          <w:color w:val="auto"/>
        </w:rPr>
        <w:t>”) may file a request for such benefit in accordance with procedures established by the Committee, explaining the basis for the claim. Notwithstanding anything in the Plan to the contrary, a claim must be filed within one year from the date such claim first accrues or the Claimant will be forever barred from pursuing such claim. A claim will be considered to have accrued on the later of (1) the date the Claimant’s first receives payment of a benefit under the Plan or (2) the date the employee terminated employment from the Mondelēz Group.</w:t>
      </w:r>
    </w:p>
    <w:p>
      <w:pPr>
        <w:spacing w:after="0" w:line="152" w:lineRule="exact"/>
        <w:rPr>
          <w:sz w:val="20"/>
          <w:szCs w:val="20"/>
          <w:color w:val="auto"/>
        </w:rPr>
      </w:pPr>
    </w:p>
    <w:p>
      <w:pPr>
        <w:jc w:val="both"/>
        <w:ind w:left="1960" w:hanging="656"/>
        <w:spacing w:after="0" w:line="213" w:lineRule="auto"/>
        <w:tabs>
          <w:tab w:leader="none" w:pos="195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 Decision</w:t>
      </w:r>
      <w:r>
        <w:rPr>
          <w:rFonts w:ascii="Times New Roman" w:cs="Times New Roman" w:eastAsia="Times New Roman" w:hAnsi="Times New Roman"/>
          <w:sz w:val="22"/>
          <w:szCs w:val="22"/>
          <w:color w:val="auto"/>
        </w:rPr>
        <w:t>. Once a claim has been received, the Claimant will be advised that a reply will be provided within a reasonable period of time, but not later than 90 days. However, the reply period may be extended for an additional 90 days for reasonable cause. If the reply period is extended, the Claimant will be advised in writing during the initial 90-day period indicating the special circumstances requiring an extension and the date by which the benefit determination is expected to be rendered. If the claim is denied in whole or in part, a written opinion will be rendered, using language calculated to be understood by the Claimant, explaining:</w:t>
      </w:r>
    </w:p>
    <w:p>
      <w:pPr>
        <w:spacing w:after="0" w:line="15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references to pertinent Plan provisions on which the denial is based;</w:t>
      </w:r>
    </w:p>
    <w:p>
      <w:pPr>
        <w:spacing w:after="0" w:line="179" w:lineRule="exact"/>
        <w:rPr>
          <w:rFonts w:ascii="Times New Roman" w:cs="Times New Roman" w:eastAsia="Times New Roman" w:hAnsi="Times New Roman"/>
          <w:sz w:val="22"/>
          <w:szCs w:val="22"/>
          <w:color w:val="auto"/>
        </w:rPr>
      </w:pPr>
    </w:p>
    <w:p>
      <w:pPr>
        <w:ind w:left="2600" w:hanging="648"/>
        <w:spacing w:after="0" w:line="236" w:lineRule="auto"/>
        <w:tabs>
          <w:tab w:leader="none" w:pos="26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Claimant to perfect the claim and an explanation as to why such material or such information is necessary;</w:t>
      </w:r>
    </w:p>
    <w:p>
      <w:pPr>
        <w:spacing w:after="0" w:line="150" w:lineRule="exact"/>
        <w:rPr>
          <w:rFonts w:ascii="Times New Roman" w:cs="Times New Roman" w:eastAsia="Times New Roman" w:hAnsi="Times New Roman"/>
          <w:sz w:val="22"/>
          <w:szCs w:val="22"/>
          <w:color w:val="auto"/>
        </w:rPr>
      </w:pPr>
    </w:p>
    <w:p>
      <w:pPr>
        <w:jc w:val="both"/>
        <w:ind w:left="2600" w:hanging="648"/>
        <w:spacing w:after="0" w:line="225" w:lineRule="auto"/>
        <w:tabs>
          <w:tab w:leader="none" w:pos="258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information as to the steps to be taken if the Claimant wishes to submit the claim for review, including a statement of the Claimant’s right to bring a civil action under Section 502(a) of ERISA following an adverse benefit determination on review; and</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time limits for requesting a review of the denial and for the actual review of the denial.</w:t>
      </w:r>
    </w:p>
    <w:p>
      <w:pPr>
        <w:spacing w:after="0" w:line="179" w:lineRule="exact"/>
        <w:rPr>
          <w:rFonts w:ascii="Times New Roman" w:cs="Times New Roman" w:eastAsia="Times New Roman" w:hAnsi="Times New Roman"/>
          <w:sz w:val="22"/>
          <w:szCs w:val="22"/>
          <w:color w:val="auto"/>
        </w:rPr>
      </w:pPr>
    </w:p>
    <w:p>
      <w:pPr>
        <w:jc w:val="both"/>
        <w:ind w:left="1960" w:hanging="656"/>
        <w:spacing w:after="0" w:line="220" w:lineRule="auto"/>
        <w:tabs>
          <w:tab w:leader="none" w:pos="19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Request For Review</w:t>
      </w:r>
      <w:r>
        <w:rPr>
          <w:rFonts w:ascii="Times New Roman" w:cs="Times New Roman" w:eastAsia="Times New Roman" w:hAnsi="Times New Roman"/>
          <w:sz w:val="22"/>
          <w:szCs w:val="22"/>
          <w:color w:val="auto"/>
        </w:rPr>
        <w:t>. Within 60 days after the Claimant has received the written opinion described above, the Claimant may request in writing that the Committee review the prior determination. The Claimant or his or her duly authorized representative may submit written comments, documents, records or other information relating to the denied claim,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93" w:name="page94"/>
    <w:bookmarkEnd w:id="93"/>
    <w:p>
      <w:pPr>
        <w:jc w:val="both"/>
        <w:ind w:left="840"/>
        <w:spacing w:after="0" w:line="210" w:lineRule="auto"/>
        <w:rPr>
          <w:sz w:val="20"/>
          <w:szCs w:val="20"/>
          <w:color w:val="auto"/>
        </w:rPr>
      </w:pPr>
      <w:r>
        <w:rPr>
          <w:rFonts w:ascii="Times New Roman" w:cs="Times New Roman" w:eastAsia="Times New Roman" w:hAnsi="Times New Roman"/>
          <w:sz w:val="22"/>
          <w:szCs w:val="22"/>
          <w:color w:val="auto"/>
        </w:rPr>
        <w:t>information will be considered in the review under this paragraph without regard to whether such information was submitted or considered in the initial benefit determination. The Claimant or his or her duly authorized representative will be provided, upon request and free of charge, reasonable access to, and copies of, all documents, records and other information which (1) was relied upon in making the initial claims decision, (2) was submitted, considered or generated in the course of the initial claims decision, without regard to whether such instrument was actually relied upon in making the decision or (3) demonstrates compliance with the administrative processes and safeguards designed to ensure and to verify that benefit claims determinations are made in accordance with governing Plan documents and that, where appropriate, the Plan provisions have been applied consistently with respect to similarly situated claimants. If the Claimant does not request a review of the initial determination within such 60-day period, he or she will be barred and estopped from challenging such determination.</w:t>
      </w:r>
    </w:p>
    <w:p>
      <w:pPr>
        <w:spacing w:after="0" w:line="157" w:lineRule="exact"/>
        <w:rPr>
          <w:sz w:val="20"/>
          <w:szCs w:val="20"/>
          <w:color w:val="auto"/>
        </w:rPr>
      </w:pPr>
    </w:p>
    <w:p>
      <w:pPr>
        <w:jc w:val="both"/>
        <w:ind w:left="840" w:hanging="656"/>
        <w:spacing w:after="0" w:line="219" w:lineRule="auto"/>
        <w:tabs>
          <w:tab w:leader="none" w:pos="837"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Review On Appeal</w:t>
      </w:r>
      <w:r>
        <w:rPr>
          <w:rFonts w:ascii="Times New Roman" w:cs="Times New Roman" w:eastAsia="Times New Roman" w:hAnsi="Times New Roman"/>
          <w:sz w:val="21"/>
          <w:szCs w:val="21"/>
          <w:color w:val="auto"/>
        </w:rPr>
        <w:t>. Within a reasonable period of time, and not later than 60 days, after the Committee has received a request for review, it will review the prior determination. If special circumstances require that the 60-day time period be extended, the Committee will notify the Claimant within the initial 60-day period indicating the special circumstances requiring an extension and the date by which to expect a decision on review, which will be as soon as possible but not later than 120 days after receipt of the request for review. In the event that the determination period on review is extended due to a Claimant’s failure to submit information necessary to decide a claim, the period for making the benefit determination on review will not take into account the period beginning on the date on which notification of extension is sent to the Claimant and ending on the date on which the Claimant responds to the request for additional information. The Committee has discretionary authority to determine a Claimant’s eligibility for benefits and to interpret the terms of the Plan. Benefits under the Plan will be paid only if the Committee decides in its discretion that the Claimant is entitled to such benefits. The decision of the Committee is final and non-reviewable, unless found to be arbitrary and capricious by a court of competent review. Such decision will be binding upon the Employer and the Claimant. If an adverse benefit determination on review is made, a written opinion, using language calculated to be understood by the Claimant, will be rendered explaining:</w:t>
      </w:r>
    </w:p>
    <w:p>
      <w:pPr>
        <w:spacing w:after="0" w:line="150" w:lineRule="exact"/>
        <w:rPr>
          <w:rFonts w:ascii="Times New Roman" w:cs="Times New Roman" w:eastAsia="Times New Roman" w:hAnsi="Times New Roman"/>
          <w:sz w:val="21"/>
          <w:szCs w:val="21"/>
          <w:color w:val="auto"/>
        </w:rPr>
      </w:pPr>
    </w:p>
    <w:p>
      <w:pPr>
        <w:ind w:left="1460" w:hanging="628"/>
        <w:spacing w:after="0"/>
        <w:tabs>
          <w:tab w:leader="none" w:pos="146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179"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references to pertinent Plan provisions on which the denial is based;</w:t>
      </w:r>
    </w:p>
    <w:p>
      <w:pPr>
        <w:spacing w:after="0" w:line="179" w:lineRule="exact"/>
        <w:rPr>
          <w:rFonts w:ascii="Times New Roman" w:cs="Times New Roman" w:eastAsia="Times New Roman" w:hAnsi="Times New Roman"/>
          <w:sz w:val="22"/>
          <w:szCs w:val="22"/>
          <w:color w:val="auto"/>
        </w:rPr>
      </w:pPr>
    </w:p>
    <w:p>
      <w:pPr>
        <w:jc w:val="both"/>
        <w:ind w:left="1480" w:hanging="648"/>
        <w:spacing w:after="0" w:line="215" w:lineRule="auto"/>
        <w:tabs>
          <w:tab w:leader="none" w:pos="148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Claimant is entitled to receive, upon request and free of charge, reasonable access to, and copies of, all documents, records and other information which (1) was relied upon in making the decision, (2) was submitted, considered or generated in the course of making the decision, without regard to whether such instrument was actually relied upon in making the decision, or (3) demonstrates compliance with the administrative processes and safeguards designed to ensure and to verify that benefit claims determinations are made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120"/>
          </w:cols>
          <w:pgMar w:left="1440" w:top="1395" w:right="339" w:bottom="1440" w:gutter="0" w:footer="0" w:header="0"/>
        </w:sectPr>
      </w:pPr>
    </w:p>
    <w:bookmarkStart w:id="94" w:name="page95"/>
    <w:bookmarkEnd w:id="94"/>
    <w:p>
      <w:pPr>
        <w:ind w:left="2600"/>
        <w:spacing w:after="0" w:line="236" w:lineRule="auto"/>
        <w:rPr>
          <w:sz w:val="20"/>
          <w:szCs w:val="20"/>
          <w:color w:val="auto"/>
        </w:rPr>
      </w:pPr>
      <w:r>
        <w:rPr>
          <w:rFonts w:ascii="Times New Roman" w:cs="Times New Roman" w:eastAsia="Times New Roman" w:hAnsi="Times New Roman"/>
          <w:sz w:val="22"/>
          <w:szCs w:val="22"/>
          <w:color w:val="auto"/>
        </w:rPr>
        <w:t>governing Plan documents, and that, where appropriate, the Plan provisions have been applied consistently with respect to similarly situated claimants; and</w:t>
      </w:r>
    </w:p>
    <w:p>
      <w:pPr>
        <w:spacing w:after="0" w:line="150" w:lineRule="exact"/>
        <w:rPr>
          <w:sz w:val="20"/>
          <w:szCs w:val="20"/>
          <w:color w:val="auto"/>
        </w:rPr>
      </w:pPr>
    </w:p>
    <w:p>
      <w:pPr>
        <w:ind w:left="2600" w:hanging="648"/>
        <w:spacing w:after="0" w:line="236" w:lineRule="auto"/>
        <w:tabs>
          <w:tab w:leader="none" w:pos="258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of the Claimant’s right to bring a civil action under Section 502(a) of ERISA following the adverse benefit determination on such review.</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Time Limitation</w:t>
      </w:r>
      <w:r>
        <w:rPr>
          <w:rFonts w:ascii="Times New Roman" w:cs="Times New Roman" w:eastAsia="Times New Roman" w:hAnsi="Times New Roman"/>
          <w:sz w:val="22"/>
          <w:szCs w:val="22"/>
          <w:color w:val="auto"/>
        </w:rPr>
        <w:t>. The Claimant may not bring an action at law or in equity to recover under the Plan until 60 days after the Claimant has received the written decision regarding the Claimant’s request for review under the claims procedure. Further, the Claimant may not bring any action at all unless it is filed within two years following Claimant’s receipt of the written decision by the final claims reviewer under the claims procedure.</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Venue for Litigation</w:t>
      </w:r>
      <w:r>
        <w:rPr>
          <w:rFonts w:ascii="Times New Roman" w:cs="Times New Roman" w:eastAsia="Times New Roman" w:hAnsi="Times New Roman"/>
          <w:sz w:val="22"/>
          <w:szCs w:val="22"/>
          <w:color w:val="auto"/>
        </w:rPr>
        <w:t>. In light of the fact that the Company is headquartered in Chicago, Illinois and the Company’s establishment and maintenance of, and the Committee’s administration of, this Plan in Illinois, any cause of action brought by a Claimant, employee, Participant, former employee, former Participant or any beneficiary of such an individual involving benefits under the Plan must be filed and conducted exclusively in the federal courts in the Northern District of Illinois.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LEGAL PROCESS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Service of Process</w:t>
      </w:r>
      <w:r>
        <w:rPr>
          <w:rFonts w:ascii="Times New Roman" w:cs="Times New Roman" w:eastAsia="Times New Roman" w:hAnsi="Times New Roman"/>
          <w:sz w:val="21"/>
          <w:szCs w:val="21"/>
          <w:color w:val="auto"/>
        </w:rPr>
        <w:t>. The agent on whom legal process for a suit should be served is: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Secretary of the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Mondelēz International,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905 West Fulton Street, Suite 200</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Chicago, Illinois 60607</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Applicable State Law</w:t>
      </w:r>
      <w:r>
        <w:rPr>
          <w:rFonts w:ascii="Times New Roman" w:cs="Times New Roman" w:eastAsia="Times New Roman" w:hAnsi="Times New Roman"/>
          <w:sz w:val="22"/>
          <w:szCs w:val="22"/>
          <w:color w:val="auto"/>
        </w:rPr>
        <w:t>. To the extent that State law does not preempt ERISA or any other Federal laws, this Plan will be administered, construed and enforced according to the laws of the State of Illinois.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COORDINATION WITH CODE SECTION 409A</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Plan is intended to provide benefits that are exempt from or otherwise compliant with Code Section 409A, and the Plan is to be interpreted and administered in a manner consistent with this intent. Each payment made under the Plan shall be deemed to be a separate payment for purposes of Code Section 409A. Accordingly, notwithstanding any provision of the Plan to the contrary:</w:t>
      </w:r>
    </w:p>
    <w:p>
      <w:pPr>
        <w:spacing w:after="0" w:line="152" w:lineRule="exact"/>
        <w:rPr>
          <w:sz w:val="20"/>
          <w:szCs w:val="20"/>
          <w:color w:val="auto"/>
        </w:rPr>
      </w:pPr>
    </w:p>
    <w:p>
      <w:pPr>
        <w:ind w:left="1960" w:hanging="656"/>
        <w:spacing w:after="0" w:line="236" w:lineRule="auto"/>
        <w:tabs>
          <w:tab w:leader="none" w:pos="195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pay will be provided under the Plan solely in the event of a Participant’s involuntary separation from service (within the meaning of Treas. Reg. §1.409A-1(n)).</w:t>
      </w:r>
    </w:p>
    <w:p>
      <w:pPr>
        <w:spacing w:after="0" w:line="150" w:lineRule="exact"/>
        <w:rPr>
          <w:rFonts w:ascii="Times New Roman" w:cs="Times New Roman" w:eastAsia="Times New Roman" w:hAnsi="Times New Roman"/>
          <w:sz w:val="22"/>
          <w:szCs w:val="22"/>
          <w:color w:val="auto"/>
        </w:rPr>
      </w:pPr>
    </w:p>
    <w:p>
      <w:pPr>
        <w:jc w:val="both"/>
        <w:ind w:left="1960" w:right="20" w:hanging="656"/>
        <w:spacing w:after="0" w:line="225" w:lineRule="auto"/>
        <w:tabs>
          <w:tab w:leader="none" w:pos="195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Plan is subject to Code Section 409A and if the sixty (60) day period during which a payment may be made to a Participant following the return of the Participant’s completed Release spans two calendar years, the payment will be made in the later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95" w:name="page96"/>
    <w:bookmarkEnd w:id="95"/>
    <w:p>
      <w:pPr>
        <w:jc w:val="both"/>
        <w:ind w:left="1960" w:hanging="656"/>
        <w:spacing w:after="0" w:line="217" w:lineRule="auto"/>
        <w:tabs>
          <w:tab w:leader="none" w:pos="195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reimbursements required to be made to a Participant that is not excepted from Code Section 409A shall be made to the Participant no later than the end of the Participant’s taxable year following the taxable year during which the expense being reimbursed was incurred. The maximum amount of any such reimbursements provided to a Participant in any calendar year shall not be increased or decreased to reflect the amount of such reimbursements provided in a prior or subsequent calendar year.</w:t>
      </w:r>
    </w:p>
    <w:p>
      <w:pPr>
        <w:spacing w:after="0" w:line="152" w:lineRule="exact"/>
        <w:rPr>
          <w:rFonts w:ascii="Times New Roman" w:cs="Times New Roman" w:eastAsia="Times New Roman" w:hAnsi="Times New Roman"/>
          <w:sz w:val="22"/>
          <w:szCs w:val="22"/>
          <w:color w:val="auto"/>
        </w:rPr>
      </w:pPr>
    </w:p>
    <w:p>
      <w:pPr>
        <w:jc w:val="both"/>
        <w:ind w:left="1960" w:hanging="656"/>
        <w:spacing w:after="0" w:line="211" w:lineRule="auto"/>
        <w:tabs>
          <w:tab w:leader="none" w:pos="195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is a “specified employee” within the meaning of Section 409A of the Code, then to the extent required under Section 409A of the Code, (i) any payments described in Section 5 that the Company determines constitute the payment of nonqualified deferred compensation, within the meaning of Section 409A of the Code, shall be delayed and become payable within five days after the six-month anniversary of the Participant’s termination of employment and (ii) any benefits provided under Section 5 that the Company determines constitute the payment of nonqualified deferred compensation, within the meaning of Section 409A of the Code, shall be provided at the Participant’s sole cost during the six-month period after the date of the Participant’s termination of employment, and within five days after the expiration of such six-month period the Company shall reimburse the Participant for the portion of such costs payable by the Company pursuant to Section 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CHANGE IN CONTROL PROVISIONS</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In the event of a Change in Control, no severance benefits shall be provided under this Plan if the Participant is eligible to receive any benefits under the Mondelēz International, Inc. Change in Control Plan for Key Executives, Mondelēz International, Inc. Change in Control Plan for Other Executives, or Mondelēz International, Inc. Change in Control Plan for U.S. Non-Executive Salaried Employees.</w:t>
      </w:r>
    </w:p>
    <w:p>
      <w:pPr>
        <w:spacing w:after="0" w:line="17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Executed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MONDELĒZ INTERNATIONAL,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37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Executive Vice President and Chief People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52"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52"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5"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03" w:lineRule="auto"/>
        <w:rPr>
          <w:sz w:val="20"/>
          <w:szCs w:val="20"/>
          <w:color w:val="auto"/>
        </w:rPr>
      </w:pPr>
      <w:r>
        <w:rPr>
          <w:rFonts w:ascii="Arial" w:cs="Arial" w:eastAsia="Arial" w:hAnsi="Arial"/>
          <w:sz w:val="18"/>
          <w:szCs w:val="18"/>
          <w:color w:val="auto"/>
        </w:rPr>
        <w:t>Executive Vice President and</w:t>
      </w: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0"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June 30, 2025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29, 2025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June 30, 2025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29, 2025</w:t>
      </w:r>
    </w:p>
    <w:p>
      <w:pPr>
        <w:spacing w:after="0" w:line="32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3"/>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amp;"/>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1)"/>
      <w:numFmt w:val="decimal"/>
      <w:start w:val="2"/>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lvl w:ilvl="1">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lvl w:ilvl="1">
      <w:lvlJc w:val="left"/>
      <w:lvlText w:val="\endash "/>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1"/>
    </w:lvl>
    <w:lvl w:ilvl="1">
      <w:lvlJc w:val="left"/>
      <w:lvlText w:val="•"/>
      <w:numFmt w:val="bullet"/>
      <w:start w:val="1"/>
    </w:lvl>
  </w:abstractNum>
  <w:abstractNum w:abstractNumId="21">
    <w:nsid w:val="2A487CB0"/>
    <w:multiLevelType w:val="hybridMultilevel"/>
    <w:lvl w:ilvl="0">
      <w:lvlJc w:val="left"/>
      <w:lvlText w:val="(%1)"/>
      <w:numFmt w:val="decimal"/>
      <w:start w:val="1"/>
    </w:lvl>
    <w:lvl w:ilvl="1">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decimal"/>
      <w:start w:val="591"/>
    </w:lvl>
  </w:abstractNum>
  <w:abstractNum w:abstractNumId="24">
    <w:nsid w:val="2CD89A32"/>
    <w:multiLevelType w:val="hybridMultilevel"/>
    <w:lvl w:ilvl="0">
      <w:lvlJc w:val="left"/>
      <w:lvlText w:val="(%1)"/>
      <w:numFmt w:val="decimal"/>
      <w:start w:val="862"/>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1"/>
      <w:numFmt w:val="decimal"/>
      <w:start w:val="101"/>
    </w:lvl>
  </w:abstractNum>
  <w:abstractNum w:abstractNumId="29">
    <w:nsid w:val="6DE91B18"/>
    <w:multiLevelType w:val="hybridMultilevel"/>
    <w:lvl w:ilvl="0">
      <w:lvlJc w:val="left"/>
      <w:lvlText w:val="%1"/>
      <w:numFmt w:val="decimal"/>
      <w:start w:val="104"/>
    </w:lvl>
    <w:lvl w:ilvl="1">
      <w:lvlJc w:val="left"/>
      <w:lvlText w:val="+"/>
      <w:numFmt w:val="bullet"/>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lowerRoman"/>
      <w:start w:val="1"/>
    </w:lvl>
  </w:abstractNum>
  <w:abstractNum w:abstractNumId="32">
    <w:nsid w:val="32FFF902"/>
    <w:multiLevelType w:val="hybridMultilevel"/>
    <w:lvl w:ilvl="0">
      <w:lvlJc w:val="left"/>
      <w:lvlText w:val="(%1)"/>
      <w:numFmt w:val="lowerRoman"/>
      <w:start w:val="2"/>
    </w:lvl>
  </w:abstractNum>
  <w:abstractNum w:abstractNumId="33">
    <w:nsid w:val="684A481A"/>
    <w:multiLevelType w:val="hybridMultilevel"/>
    <w:lvl w:ilvl="0">
      <w:lvlJc w:val="left"/>
      <w:lvlText w:val="(%1)"/>
      <w:numFmt w:val="lowerRoman"/>
      <w:start w:val="1"/>
    </w:lvl>
  </w:abstractNum>
  <w:abstractNum w:abstractNumId="34">
    <w:nsid w:val="579478FE"/>
    <w:multiLevelType w:val="hybridMultilevel"/>
    <w:lvl w:ilvl="0">
      <w:lvlJc w:val="left"/>
      <w:lvlText w:val="(%1)"/>
      <w:numFmt w:val="lowerRoman"/>
      <w:start w:val="1"/>
    </w:lvl>
  </w:abstractNum>
  <w:abstractNum w:abstractNumId="35">
    <w:nsid w:val="749ABB43"/>
    <w:multiLevelType w:val="hybridMultilevel"/>
    <w:lvl w:ilvl="0">
      <w:lvlJc w:val="left"/>
      <w:lvlText w:val="(%1)"/>
      <w:numFmt w:val="lowerRoman"/>
      <w:start w:val="1"/>
    </w:lvl>
  </w:abstractNum>
  <w:abstractNum w:abstractNumId="36">
    <w:nsid w:val="3DC240FB"/>
    <w:multiLevelType w:val="hybridMultilevel"/>
    <w:lvl w:ilvl="0">
      <w:lvlJc w:val="left"/>
      <w:lvlText w:val="%1."/>
      <w:numFmt w:val="decimal"/>
      <w:start w:val="2"/>
    </w:lvl>
  </w:abstractNum>
  <w:abstractNum w:abstractNumId="37">
    <w:nsid w:val="1BA026FA"/>
    <w:multiLevelType w:val="hybridMultilevel"/>
    <w:lvl w:ilvl="0">
      <w:lvlJc w:val="left"/>
      <w:lvlText w:val="%1."/>
      <w:numFmt w:val="decimal"/>
      <w:start w:val="3"/>
    </w:lvl>
  </w:abstractNum>
  <w:abstractNum w:abstractNumId="38">
    <w:nsid w:val="79A1DEAA"/>
    <w:multiLevelType w:val="hybridMultilevel"/>
    <w:lvl w:ilvl="0">
      <w:lvlJc w:val="left"/>
      <w:lvlText w:val="(%1)"/>
      <w:numFmt w:val="lowerRoman"/>
      <w:start w:val="1"/>
    </w:lvl>
  </w:abstractNum>
  <w:abstractNum w:abstractNumId="39">
    <w:nsid w:val="75C6C33A"/>
    <w:multiLevelType w:val="hybridMultilevel"/>
    <w:lvl w:ilvl="0">
      <w:lvlJc w:val="left"/>
      <w:lvlText w:val="(%1)"/>
      <w:numFmt w:val="lowerRoman"/>
      <w:start w:val="1"/>
    </w:lvl>
  </w:abstractNum>
  <w:abstractNum w:abstractNumId="40">
    <w:nsid w:val="12E685FB"/>
    <w:multiLevelType w:val="hybridMultilevel"/>
    <w:lvl w:ilvl="0">
      <w:lvlJc w:val="left"/>
      <w:lvlText w:val="%1."/>
      <w:numFmt w:val="decimal"/>
      <w:start w:val="4"/>
    </w:lvl>
  </w:abstractNum>
  <w:abstractNum w:abstractNumId="41">
    <w:nsid w:val="70C6A529"/>
    <w:multiLevelType w:val="hybridMultilevel"/>
    <w:lvl w:ilvl="0">
      <w:lvlJc w:val="left"/>
      <w:lvlText w:val="%1."/>
      <w:numFmt w:val="decimal"/>
      <w:start w:val="5"/>
    </w:lvl>
  </w:abstractNum>
  <w:abstractNum w:abstractNumId="42">
    <w:nsid w:val="520EEDD1"/>
    <w:multiLevelType w:val="hybridMultilevel"/>
    <w:lvl w:ilvl="0">
      <w:lvlJc w:val="left"/>
      <w:lvlText w:val="%1."/>
      <w:numFmt w:val="decimal"/>
      <w:start w:val="6"/>
    </w:lvl>
  </w:abstractNum>
  <w:abstractNum w:abstractNumId="43">
    <w:nsid w:val="374A3FE6"/>
    <w:multiLevelType w:val="hybridMultilevel"/>
    <w:lvl w:ilvl="0">
      <w:lvlJc w:val="left"/>
      <w:lvlText w:val="%1."/>
      <w:numFmt w:val="decimal"/>
      <w:start w:val="7"/>
    </w:lvl>
  </w:abstractNum>
  <w:abstractNum w:abstractNumId="44">
    <w:nsid w:val="4F4EF005"/>
    <w:multiLevelType w:val="hybridMultilevel"/>
    <w:lvl w:ilvl="0">
      <w:lvlJc w:val="left"/>
      <w:lvlText w:val="%1."/>
      <w:numFmt w:val="decimal"/>
      <w:start w:val="8"/>
    </w:lvl>
  </w:abstractNum>
  <w:abstractNum w:abstractNumId="45">
    <w:nsid w:val="23F9C13C"/>
    <w:multiLevelType w:val="hybridMultilevel"/>
    <w:lvl w:ilvl="0">
      <w:lvlJc w:val="left"/>
      <w:lvlText w:val="%1."/>
      <w:numFmt w:val="decimal"/>
      <w:start w:val="9"/>
    </w:lvl>
  </w:abstractNum>
  <w:abstractNum w:abstractNumId="46">
    <w:nsid w:val="649BB77C"/>
    <w:multiLevelType w:val="hybridMultilevel"/>
    <w:lvl w:ilvl="0">
      <w:lvlJc w:val="left"/>
      <w:lvlText w:val="%1."/>
      <w:numFmt w:val="decimal"/>
      <w:start w:val="15"/>
    </w:lvl>
  </w:abstractNum>
  <w:abstractNum w:abstractNumId="47">
    <w:nsid w:val="275AC794"/>
    <w:multiLevelType w:val="hybridMultilevel"/>
    <w:lvl w:ilvl="0">
      <w:lvlJc w:val="left"/>
      <w:lvlText w:val="%1."/>
      <w:numFmt w:val="decimal"/>
      <w:start w:val="17"/>
    </w:lvl>
  </w:abstractNum>
  <w:abstractNum w:abstractNumId="48">
    <w:nsid w:val="39386575"/>
    <w:multiLevelType w:val="hybridMultilevel"/>
    <w:lvl w:ilvl="0">
      <w:lvlJc w:val="left"/>
      <w:lvlText w:val="%1."/>
      <w:numFmt w:val="decimal"/>
      <w:start w:val="20"/>
    </w:lvl>
  </w:abstractNum>
  <w:abstractNum w:abstractNumId="49">
    <w:nsid w:val="1CF10FD8"/>
    <w:multiLevelType w:val="hybridMultilevel"/>
    <w:lvl w:ilvl="0">
      <w:lvlJc w:val="left"/>
      <w:lvlText w:val="(%1)"/>
      <w:numFmt w:val="lowerRoman"/>
      <w:start w:val="1"/>
    </w:lvl>
  </w:abstractNum>
  <w:abstractNum w:abstractNumId="50">
    <w:nsid w:val="180115BE"/>
    <w:multiLevelType w:val="hybridMultilevel"/>
    <w:lvl w:ilvl="0">
      <w:lvlJc w:val="left"/>
      <w:lvlText w:val="(%1)"/>
      <w:numFmt w:val="lowerLetter"/>
      <w:start w:val="1"/>
    </w:lvl>
  </w:abstractNum>
  <w:abstractNum w:abstractNumId="51">
    <w:nsid w:val="235BA861"/>
    <w:multiLevelType w:val="hybridMultilevel"/>
    <w:lvl w:ilvl="0">
      <w:lvlJc w:val="left"/>
      <w:lvlText w:val="(%1)"/>
      <w:numFmt w:val="lowerLetter"/>
      <w:start w:val="1"/>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lowerLetter"/>
      <w:start w:val="4"/>
    </w:lvl>
  </w:abstractNum>
  <w:abstractNum w:abstractNumId="54">
    <w:nsid w:val="15B5AF5C"/>
    <w:multiLevelType w:val="hybridMultilevel"/>
    <w:lvl w:ilvl="0">
      <w:lvlJc w:val="left"/>
      <w:lvlText w:val="(%1)"/>
      <w:numFmt w:val="lowerRoman"/>
      <w:start w:val="2"/>
    </w:lvl>
  </w:abstractNum>
  <w:abstractNum w:abstractNumId="55">
    <w:nsid w:val="741226BB"/>
    <w:multiLevelType w:val="hybridMultilevel"/>
    <w:lvl w:ilvl="0">
      <w:lvlJc w:val="left"/>
      <w:lvlText w:val="(%1)"/>
      <w:numFmt w:val="lowerRoman"/>
      <w:start w:val="1"/>
    </w:lvl>
  </w:abstractNum>
  <w:abstractNum w:abstractNumId="56">
    <w:nsid w:val="D34B6A8"/>
    <w:multiLevelType w:val="hybridMultilevel"/>
    <w:lvl w:ilvl="0">
      <w:lvlJc w:val="left"/>
      <w:lvlText w:val="(%1)"/>
      <w:numFmt w:val="lowerLetter"/>
      <w:start w:val="1"/>
    </w:lvl>
  </w:abstractNum>
  <w:abstractNum w:abstractNumId="57">
    <w:nsid w:val="10233C99"/>
    <w:multiLevelType w:val="hybridMultilevel"/>
    <w:lvl w:ilvl="0">
      <w:lvlJc w:val="left"/>
      <w:lvlText w:val="(%1)"/>
      <w:numFmt w:val="lowerLetter"/>
      <w:start w:val="1"/>
    </w:lvl>
    <w:lvl w:ilvl="1">
      <w:lvlJc w:val="left"/>
      <w:lvlText w:val="(%2)"/>
      <w:numFmt w:val="lowerRoman"/>
      <w:start w:val="1"/>
    </w:lvl>
  </w:abstractNum>
  <w:abstractNum w:abstractNumId="58">
    <w:nsid w:val="3F6AB60F"/>
    <w:multiLevelType w:val="hybridMultilevel"/>
    <w:lvl w:ilvl="0">
      <w:lvlJc w:val="left"/>
      <w:lvlText w:val="(%1)"/>
      <w:numFmt w:val="lowerLetter"/>
      <w:start w:val="3"/>
    </w:lvl>
    <w:lvl w:ilvl="1">
      <w:lvlJc w:val="left"/>
      <w:lvlText w:val="(%2)"/>
      <w:numFmt w:val="lowerRoman"/>
      <w:start w:val="1"/>
    </w:lvl>
  </w:abstractNum>
  <w:abstractNum w:abstractNumId="59">
    <w:nsid w:val="61574095"/>
    <w:multiLevelType w:val="hybridMultilevel"/>
    <w:lvl w:ilvl="0">
      <w:lvlJc w:val="left"/>
      <w:lvlText w:val="(%1)"/>
      <w:numFmt w:val="lowerRoman"/>
      <w:start w:val="4"/>
    </w:lvl>
  </w:abstractNum>
  <w:abstractNum w:abstractNumId="60">
    <w:nsid w:val="7E0C57B1"/>
    <w:multiLevelType w:val="hybridMultilevel"/>
    <w:lvl w:ilvl="0">
      <w:lvlJc w:val="left"/>
      <w:lvlText w:val="(%1)"/>
      <w:numFmt w:val="lowerLetter"/>
      <w:start w:val="1"/>
    </w:lvl>
  </w:abstractNum>
  <w:abstractNum w:abstractNumId="61">
    <w:nsid w:val="77AE35EB"/>
    <w:multiLevelType w:val="hybridMultilevel"/>
    <w:lvl w:ilvl="0">
      <w:lvlJc w:val="left"/>
      <w:lvlText w:val="(%1)"/>
      <w:numFmt w:val="lowerLetter"/>
      <w:start w:val="3"/>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2025-07-29T15:35:43Z</dcterms:created>
  <dcterms:modified xsi:type="dcterms:W3CDTF">2025-07-29T15:35:43Z</dcterms:modified>
</cp:coreProperties>
</file>