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MONDELĒZ INTERNATIONAL,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1-16483</w:t>
            </w:r>
          </w:p>
        </w:tc>
        <w:tc>
          <w:tcPr>
            <w:tcW w:w="26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52-2284372</w:t>
            </w:r>
          </w:p>
        </w:tc>
      </w:tr>
      <w:tr>
        <w:trPr>
          <w:trHeight w:val="204"/>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78"/>
        </w:trPr>
        <w:tc>
          <w:tcPr>
            <w:tcW w:w="282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905 West Fulton Market, Suite 200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Chicago, IL 60607</w:t>
            </w:r>
          </w:p>
        </w:tc>
        <w:tc>
          <w:tcPr>
            <w:tcW w:w="2640" w:type="dxa"/>
            <w:vAlign w:val="bottom"/>
          </w:tcPr>
          <w:p>
            <w:pPr>
              <w:spacing w:after="0"/>
              <w:rPr>
                <w:sz w:val="24"/>
                <w:szCs w:val="24"/>
                <w:color w:val="auto"/>
              </w:rPr>
            </w:pPr>
          </w:p>
        </w:tc>
      </w:tr>
      <w:tr>
        <w:trPr>
          <w:trHeight w:val="258"/>
        </w:trPr>
        <w:tc>
          <w:tcPr>
            <w:tcW w:w="2820" w:type="dxa"/>
            <w:vAlign w:val="bottom"/>
          </w:tcPr>
          <w:p>
            <w:pPr>
              <w:spacing w:after="0"/>
              <w:rPr>
                <w:sz w:val="22"/>
                <w:szCs w:val="22"/>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640" w:type="dxa"/>
            <w:vAlign w:val="bottom"/>
          </w:tcPr>
          <w:p>
            <w:pPr>
              <w:spacing w:after="0"/>
              <w:rPr>
                <w:sz w:val="22"/>
                <w:szCs w:val="22"/>
                <w:color w:val="auto"/>
              </w:rPr>
            </w:pPr>
          </w:p>
        </w:tc>
      </w:tr>
      <w:tr>
        <w:trPr>
          <w:trHeight w:val="284"/>
        </w:trPr>
        <w:tc>
          <w:tcPr>
            <w:tcW w:w="2820" w:type="dxa"/>
            <w:vAlign w:val="bottom"/>
          </w:tcPr>
          <w:p>
            <w:pPr>
              <w:spacing w:after="0"/>
              <w:rPr>
                <w:sz w:val="24"/>
                <w:szCs w:val="24"/>
                <w:color w:val="auto"/>
              </w:rPr>
            </w:pPr>
          </w:p>
        </w:tc>
        <w:tc>
          <w:tcPr>
            <w:tcW w:w="4660" w:type="dxa"/>
            <w:vAlign w:val="bottom"/>
          </w:tcPr>
          <w:p>
            <w:pPr>
              <w:jc w:val="right"/>
              <w:ind w:right="1713"/>
              <w:spacing w:after="0"/>
              <w:rPr>
                <w:sz w:val="20"/>
                <w:szCs w:val="20"/>
                <w:color w:val="auto"/>
              </w:rPr>
            </w:pPr>
            <w:r>
              <w:rPr>
                <w:rFonts w:ascii="Times New Roman" w:cs="Times New Roman" w:eastAsia="Times New Roman" w:hAnsi="Times New Roman"/>
                <w:sz w:val="18"/>
                <w:szCs w:val="18"/>
                <w:b w:val="1"/>
                <w:bCs w:val="1"/>
                <w:color w:val="auto"/>
              </w:rPr>
              <w:t>(847) 943-4000</w:t>
            </w:r>
          </w:p>
        </w:tc>
        <w:tc>
          <w:tcPr>
            <w:tcW w:w="2640" w:type="dxa"/>
            <w:vAlign w:val="bottom"/>
          </w:tcPr>
          <w:p>
            <w:pPr>
              <w:spacing w:after="0"/>
              <w:rPr>
                <w:sz w:val="24"/>
                <w:szCs w:val="24"/>
                <w:color w:val="auto"/>
              </w:rPr>
            </w:pPr>
          </w:p>
        </w:tc>
      </w:tr>
      <w:tr>
        <w:trPr>
          <w:trHeight w:val="270"/>
        </w:trPr>
        <w:tc>
          <w:tcPr>
            <w:tcW w:w="2820" w:type="dxa"/>
            <w:vAlign w:val="bottom"/>
          </w:tcPr>
          <w:p>
            <w:pPr>
              <w:spacing w:after="0"/>
              <w:rPr>
                <w:sz w:val="23"/>
                <w:szCs w:val="23"/>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640" w:type="dxa"/>
            <w:vAlign w:val="bottom"/>
          </w:tcPr>
          <w:p>
            <w:pPr>
              <w:spacing w:after="0"/>
              <w:rPr>
                <w:sz w:val="23"/>
                <w:szCs w:val="23"/>
                <w:color w:val="auto"/>
              </w:rPr>
            </w:pPr>
          </w:p>
        </w:tc>
      </w:tr>
      <w:tr>
        <w:trPr>
          <w:trHeight w:val="445"/>
        </w:trPr>
        <w:tc>
          <w:tcPr>
            <w:tcW w:w="2820" w:type="dxa"/>
            <w:vAlign w:val="bottom"/>
          </w:tcPr>
          <w:p>
            <w:pPr>
              <w:spacing w:after="0"/>
              <w:rPr>
                <w:sz w:val="24"/>
                <w:szCs w:val="24"/>
                <w:color w:val="auto"/>
              </w:rPr>
            </w:pPr>
          </w:p>
        </w:tc>
        <w:tc>
          <w:tcPr>
            <w:tcW w:w="466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2640" w:type="dxa"/>
            <w:vAlign w:val="bottom"/>
          </w:tcPr>
          <w:p>
            <w:pPr>
              <w:spacing w:after="0"/>
              <w:rPr>
                <w:sz w:val="24"/>
                <w:szCs w:val="24"/>
                <w:color w:val="auto"/>
              </w:rPr>
            </w:pPr>
          </w:p>
        </w:tc>
      </w:tr>
    </w:tbl>
    <w:p>
      <w:pPr>
        <w:spacing w:after="0" w:line="17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29"/>
        </w:trPr>
        <w:tc>
          <w:tcPr>
            <w:tcW w:w="7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1"/>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no par value</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MDLZ</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1.625% Notes due 2027</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MDLZ27</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0.250% Notes due 2028</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MDLZ28</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0.750% Notes due 2033</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MDLZ33</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2.375%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4.500%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MDLZ35A</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1.375% Notes due 2041</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MDLZ41</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3.875% Notes due 2045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ind w:right="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of 1934 (17 CFR 240.12b-2).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On May 20, 2026, we held our annual meeting of shareholders. A total of 1,146,124,295 shares of our Class A Common Stock, or 89.3% of our outstanding shares of Class A Common Stock, were represented at the annual meeting. The final voting results for each of the matters submitted to a shareholder vote at the annual meeting are set forth below:</w:t>
      </w:r>
    </w:p>
    <w:p>
      <w:pPr>
        <w:spacing w:after="0" w:line="258" w:lineRule="exact"/>
        <w:rPr>
          <w:sz w:val="20"/>
          <w:szCs w:val="20"/>
          <w:color w:val="auto"/>
        </w:rPr>
      </w:pPr>
    </w:p>
    <w:p>
      <w:pPr>
        <w:ind w:left="680" w:right="40" w:hanging="344"/>
        <w:spacing w:after="0" w:line="182" w:lineRule="auto"/>
        <w:tabs>
          <w:tab w:leader="none" w:pos="680" w:val="left"/>
        </w:tabs>
        <w:numPr>
          <w:ilvl w:val="0"/>
          <w:numId w:val="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shareholders elected 10 directors to each serve a one-year term until our 2027 annual meeting of shareholders or until his or her successor has been duly chosen and qualified, based on the following voting results: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14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61"/>
        </w:trPr>
        <w:tc>
          <w:tcPr>
            <w:tcW w:w="2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63"/>
        </w:trPr>
        <w:tc>
          <w:tcPr>
            <w:tcW w:w="2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 Ertharin Cousin</w:t>
            </w:r>
          </w:p>
        </w:tc>
        <w:tc>
          <w:tcPr>
            <w:tcW w:w="21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1,029,957,512</w:t>
            </w:r>
          </w:p>
        </w:tc>
        <w:tc>
          <w:tcPr>
            <w:tcW w:w="2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6,002,252</w:t>
            </w:r>
          </w:p>
        </w:tc>
        <w:tc>
          <w:tcPr>
            <w:tcW w:w="236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2,947,310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 Cees ‘t Hart</w:t>
            </w:r>
          </w:p>
        </w:tc>
        <w:tc>
          <w:tcPr>
            <w:tcW w:w="2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1,028,848,075</w:t>
            </w: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7,695,695</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2,363,304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2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 Nancy McKinstry</w:t>
            </w:r>
          </w:p>
        </w:tc>
        <w:tc>
          <w:tcPr>
            <w:tcW w:w="21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1,031,447,065</w:t>
            </w:r>
          </w:p>
        </w:tc>
        <w:tc>
          <w:tcPr>
            <w:tcW w:w="2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4,593,682</w:t>
            </w:r>
          </w:p>
        </w:tc>
        <w:tc>
          <w:tcPr>
            <w:tcW w:w="236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2,866,328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 Brian J. McNamara</w:t>
            </w:r>
          </w:p>
        </w:tc>
        <w:tc>
          <w:tcPr>
            <w:tcW w:w="2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1,027,837,826</w:t>
            </w: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8,744,309</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2,324,939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4"/>
        </w:trPr>
        <w:tc>
          <w:tcPr>
            <w:tcW w:w="2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 Jorge S. Mesquita</w:t>
            </w:r>
          </w:p>
        </w:tc>
        <w:tc>
          <w:tcPr>
            <w:tcW w:w="21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1,012,374,300</w:t>
            </w:r>
          </w:p>
        </w:tc>
        <w:tc>
          <w:tcPr>
            <w:tcW w:w="2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24,206,705</w:t>
            </w:r>
          </w:p>
        </w:tc>
        <w:tc>
          <w:tcPr>
            <w:tcW w:w="236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2,326,069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 Jane Hamilton Nielsen</w:t>
            </w:r>
          </w:p>
        </w:tc>
        <w:tc>
          <w:tcPr>
            <w:tcW w:w="2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1,023,693,845</w:t>
            </w: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12,356,128</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2,857,102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Pr>
          <w:p>
            <w:pPr>
              <w:spacing w:after="0"/>
              <w:rPr>
                <w:sz w:val="21"/>
                <w:szCs w:val="21"/>
                <w:color w:val="auto"/>
              </w:rPr>
            </w:pPr>
          </w:p>
        </w:tc>
      </w:tr>
      <w:tr>
        <w:trPr>
          <w:trHeight w:val="41"/>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2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 Paula A. Price</w:t>
            </w:r>
          </w:p>
        </w:tc>
        <w:tc>
          <w:tcPr>
            <w:tcW w:w="21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1,026,703,401</w:t>
            </w:r>
          </w:p>
        </w:tc>
        <w:tc>
          <w:tcPr>
            <w:tcW w:w="2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9,872,676</w:t>
            </w:r>
          </w:p>
        </w:tc>
        <w:tc>
          <w:tcPr>
            <w:tcW w:w="236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2,330,998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 Patrick T. Siewert</w:t>
            </w:r>
          </w:p>
        </w:tc>
        <w:tc>
          <w:tcPr>
            <w:tcW w:w="2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1,004,404,801</w:t>
            </w: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32,163,089</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2,339,184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2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 Michael A. Todman</w:t>
            </w:r>
          </w:p>
        </w:tc>
        <w:tc>
          <w:tcPr>
            <w:tcW w:w="21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1,021,622,532</w:t>
            </w:r>
          </w:p>
        </w:tc>
        <w:tc>
          <w:tcPr>
            <w:tcW w:w="2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14,330,818</w:t>
            </w:r>
          </w:p>
        </w:tc>
        <w:tc>
          <w:tcPr>
            <w:tcW w:w="2360" w:type="dxa"/>
            <w:vAlign w:val="bottom"/>
            <w:tcBorders>
              <w:bottom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2,953,724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 Dirk Van de Put</w:t>
            </w:r>
          </w:p>
        </w:tc>
        <w:tc>
          <w:tcPr>
            <w:tcW w:w="2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988,320,371</w:t>
            </w: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48,198,717</w:t>
            </w:r>
          </w:p>
        </w:tc>
        <w:tc>
          <w:tcPr>
            <w:tcW w:w="2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2,387,986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107,217,219</w:t>
            </w:r>
          </w:p>
        </w:tc>
        <w:tc>
          <w:tcPr>
            <w:tcW w:w="240" w:type="dxa"/>
            <w:vAlign w:val="bottom"/>
          </w:tcPr>
          <w:p>
            <w:pPr>
              <w:spacing w:after="0"/>
              <w:rPr>
                <w:sz w:val="21"/>
                <w:szCs w:val="21"/>
                <w:color w:val="auto"/>
              </w:rPr>
            </w:pPr>
          </w:p>
        </w:tc>
      </w:tr>
    </w:tbl>
    <w:p>
      <w:pPr>
        <w:spacing w:after="0" w:line="144" w:lineRule="exact"/>
        <w:rPr>
          <w:sz w:val="20"/>
          <w:szCs w:val="20"/>
          <w:color w:val="auto"/>
        </w:rPr>
      </w:pPr>
    </w:p>
    <w:p>
      <w:pPr>
        <w:ind w:left="700" w:hanging="3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approved on an advisory basis our named executive officer compensation, based on the following voting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8"/>
        </w:trPr>
        <w:tc>
          <w:tcPr>
            <w:tcW w:w="20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990,330,206</w:t>
            </w: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43,420,217</w:t>
            </w:r>
          </w:p>
        </w:tc>
        <w:tc>
          <w:tcPr>
            <w:tcW w:w="8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5,156,652</w:t>
            </w:r>
          </w:p>
        </w:tc>
        <w:tc>
          <w:tcPr>
            <w:tcW w:w="86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107,217,219</w:t>
            </w:r>
          </w:p>
        </w:tc>
      </w:tr>
      <w:tr>
        <w:trPr>
          <w:trHeight w:val="22"/>
        </w:trPr>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bl>
    <w:p>
      <w:pPr>
        <w:spacing w:after="0" w:line="360" w:lineRule="exact"/>
        <w:rPr>
          <w:sz w:val="20"/>
          <w:szCs w:val="20"/>
          <w:color w:val="auto"/>
        </w:rPr>
      </w:pPr>
    </w:p>
    <w:p>
      <w:pPr>
        <w:ind w:left="700" w:right="20" w:hanging="350"/>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ratified the selection of PricewaterhouseCoopers LLP as our independent auditors for the fiscal year ending December 31, 2026, based on the following voting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8"/>
        </w:trPr>
        <w:tc>
          <w:tcPr>
            <w:tcW w:w="21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1,083,957,147</w:t>
            </w: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59,350,643</w:t>
            </w: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2,816,503</w:t>
            </w:r>
          </w:p>
        </w:tc>
        <w:tc>
          <w:tcPr>
            <w:tcW w:w="8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2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bl>
    <w:p>
      <w:pPr>
        <w:spacing w:after="0" w:line="360" w:lineRule="exact"/>
        <w:rPr>
          <w:sz w:val="20"/>
          <w:szCs w:val="20"/>
          <w:color w:val="auto"/>
        </w:rPr>
      </w:pPr>
    </w:p>
    <w:p>
      <w:pPr>
        <w:ind w:left="700" w:right="300" w:hanging="350"/>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did not approve a shareholder proposal requesting a report on objective evaluation of plastic packaging polices, based on the following voting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8"/>
        </w:trPr>
        <w:tc>
          <w:tcPr>
            <w:tcW w:w="20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16,578,062</w:t>
            </w: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1,009,810,767</w:t>
            </w:r>
          </w:p>
        </w:tc>
        <w:tc>
          <w:tcPr>
            <w:tcW w:w="8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12,518,246</w:t>
            </w:r>
          </w:p>
        </w:tc>
        <w:tc>
          <w:tcPr>
            <w:tcW w:w="86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107,217,219</w:t>
            </w:r>
          </w:p>
        </w:tc>
      </w:tr>
      <w:tr>
        <w:trPr>
          <w:trHeight w:val="22"/>
        </w:trPr>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bl>
    <w:p>
      <w:pPr>
        <w:spacing w:after="0" w:line="346" w:lineRule="exact"/>
        <w:rPr>
          <w:sz w:val="20"/>
          <w:szCs w:val="20"/>
          <w:color w:val="auto"/>
        </w:rPr>
      </w:pPr>
    </w:p>
    <w:p>
      <w:pPr>
        <w:ind w:left="700" w:right="260" w:hanging="350"/>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did not approve a shareholder proposal requesting adoption of an independent board chairman policy, based on the following voting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8"/>
        </w:trPr>
        <w:tc>
          <w:tcPr>
            <w:tcW w:w="2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321,607,861</w:t>
            </w:r>
          </w:p>
        </w:tc>
        <w:tc>
          <w:tcPr>
            <w:tcW w:w="9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709,687,695</w:t>
            </w:r>
          </w:p>
        </w:tc>
        <w:tc>
          <w:tcPr>
            <w:tcW w:w="8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7,611,518</w:t>
            </w:r>
          </w:p>
        </w:tc>
        <w:tc>
          <w:tcPr>
            <w:tcW w:w="8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107,217,219</w:t>
            </w:r>
          </w:p>
        </w:tc>
      </w:tr>
      <w:tr>
        <w:trPr>
          <w:trHeight w:val="22"/>
        </w:trPr>
        <w:tc>
          <w:tcPr>
            <w:tcW w:w="2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1812925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3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Laura Stein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Stein</w:t>
            </w:r>
          </w:p>
        </w:tc>
        <w:tc>
          <w:tcPr>
            <w:tcW w:w="0" w:type="dxa"/>
            <w:vAlign w:val="bottom"/>
          </w:tcPr>
          <w:p>
            <w:pPr>
              <w:spacing w:after="0"/>
              <w:rPr>
                <w:sz w:val="1"/>
                <w:szCs w:val="1"/>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Corporate &amp; Legal Affairs, General</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Counsel and Corporate Secretary</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2026-05-26T15:14:06Z</dcterms:created>
  <dcterms:modified xsi:type="dcterms:W3CDTF">2026-05-26T15:14:06Z</dcterms:modified>
</cp:coreProperties>
</file>