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UNITED STATES</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128"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SCHEDULE 14A INFORMATION</w:t>
      </w:r>
    </w:p>
    <w:p>
      <w:pPr>
        <w:spacing w:after="0" w:line="185" w:lineRule="exact"/>
        <w:rPr>
          <w:sz w:val="24"/>
          <w:szCs w:val="24"/>
          <w:color w:val="auto"/>
        </w:rPr>
      </w:pPr>
    </w:p>
    <w:p>
      <w:pPr>
        <w:jc w:val="center"/>
        <w:ind w:right="-179"/>
        <w:spacing w:after="0"/>
        <w:rPr>
          <w:sz w:val="20"/>
          <w:szCs w:val="20"/>
          <w:color w:val="auto"/>
        </w:rPr>
      </w:pPr>
      <w:r>
        <w:rPr>
          <w:rFonts w:ascii="Arial" w:cs="Arial" w:eastAsia="Arial" w:hAnsi="Arial"/>
          <w:sz w:val="17"/>
          <w:szCs w:val="17"/>
          <w:color w:val="auto"/>
        </w:rPr>
        <w:t>Proxy Statement Pursuant to Section 14(a) of</w:t>
      </w:r>
    </w:p>
    <w:p>
      <w:pPr>
        <w:jc w:val="center"/>
        <w:ind w:right="-179"/>
        <w:spacing w:after="0"/>
        <w:tabs>
          <w:tab w:leader="none" w:pos="22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2"/>
          <w:szCs w:val="12"/>
          <w:color w:val="auto"/>
        </w:rPr>
        <w:t>)</w:t>
      </w:r>
    </w:p>
    <w:p>
      <w:pPr>
        <w:spacing w:after="0" w:line="108" w:lineRule="exact"/>
        <w:rPr>
          <w:sz w:val="24"/>
          <w:szCs w:val="24"/>
          <w:color w:val="auto"/>
        </w:rPr>
      </w:pPr>
    </w:p>
    <w:p>
      <w:pPr>
        <w:spacing w:after="0" w:line="196" w:lineRule="exact"/>
        <w:tabs>
          <w:tab w:leader="none" w:pos="184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47" w:lineRule="exact"/>
        <w:rPr>
          <w:sz w:val="24"/>
          <w:szCs w:val="24"/>
          <w:color w:val="auto"/>
        </w:rPr>
      </w:pPr>
    </w:p>
    <w:p>
      <w:pPr>
        <w:spacing w:after="0" w:line="196" w:lineRule="exact"/>
        <w:tabs>
          <w:tab w:leader="none" w:pos="3200" w:val="left"/>
        </w:tabs>
        <w:rPr>
          <w:sz w:val="20"/>
          <w:szCs w:val="20"/>
          <w:color w:val="auto"/>
        </w:rPr>
      </w:pPr>
      <w:r>
        <w:rPr>
          <w:rFonts w:ascii="Arial" w:cs="Arial" w:eastAsia="Arial" w:hAnsi="Arial"/>
          <w:sz w:val="17"/>
          <w:szCs w:val="17"/>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4" w:lineRule="exact"/>
        <w:rPr>
          <w:sz w:val="24"/>
          <w:szCs w:val="24"/>
          <w:color w:val="auto"/>
        </w:rPr>
      </w:pPr>
    </w:p>
    <w:p>
      <w:pPr>
        <w:ind w:left="460" w:hanging="45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85" w:lineRule="exact"/>
        <w:rPr>
          <w:rFonts w:ascii="MS PGothic" w:cs="MS PGothic" w:eastAsia="MS PGothic" w:hAnsi="MS PGothic"/>
          <w:sz w:val="17"/>
          <w:szCs w:val="17"/>
          <w:color w:val="auto"/>
        </w:rPr>
      </w:pPr>
    </w:p>
    <w:p>
      <w:pPr>
        <w:ind w:right="4920" w:firstLine="2"/>
        <w:spacing w:after="0" w:line="250" w:lineRule="exact"/>
        <w:tabs>
          <w:tab w:leader="none" w:pos="44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Confidential, for Use of the Commission Only (as permitted by Rule 14a-6(e)(2))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64" w:lineRule="exact"/>
        <w:rPr>
          <w:rFonts w:ascii="MS PGothic" w:cs="MS PGothic" w:eastAsia="MS PGothic" w:hAnsi="MS PGothic"/>
          <w:sz w:val="17"/>
          <w:szCs w:val="17"/>
          <w:color w:val="auto"/>
        </w:rPr>
      </w:pPr>
    </w:p>
    <w:p>
      <w:pPr>
        <w:ind w:left="460" w:hanging="45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85" w:lineRule="exact"/>
        <w:rPr>
          <w:rFonts w:ascii="MS PGothic" w:cs="MS PGothic" w:eastAsia="MS PGothic" w:hAnsi="MS PGothic"/>
          <w:sz w:val="17"/>
          <w:szCs w:val="17"/>
          <w:color w:val="auto"/>
        </w:rPr>
      </w:pPr>
    </w:p>
    <w:p>
      <w:pPr>
        <w:ind w:left="460" w:hanging="458"/>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108" w:lineRule="exact"/>
        <w:rPr>
          <w:sz w:val="24"/>
          <w:szCs w:val="24"/>
          <w:color w:val="auto"/>
        </w:rPr>
      </w:pPr>
    </w:p>
    <w:p>
      <w:pPr>
        <w:jc w:val="center"/>
        <w:ind w:right="-179"/>
        <w:spacing w:after="0"/>
        <w:rPr>
          <w:sz w:val="20"/>
          <w:szCs w:val="20"/>
          <w:color w:val="auto"/>
        </w:rPr>
      </w:pPr>
      <w:r>
        <w:rPr>
          <w:rFonts w:ascii="Arial" w:cs="Arial" w:eastAsia="Arial" w:hAnsi="Arial"/>
          <w:sz w:val="41"/>
          <w:szCs w:val="41"/>
          <w:b w:val="1"/>
          <w:bCs w:val="1"/>
          <w:color w:val="auto"/>
        </w:rPr>
        <w:t>Kraft Foods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58420</wp:posOffset>
            </wp:positionV>
            <wp:extent cx="72536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93"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2536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253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196"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73" w:lineRule="exact"/>
        <w:rPr>
          <w:sz w:val="24"/>
          <w:szCs w:val="24"/>
          <w:color w:val="auto"/>
        </w:rPr>
      </w:pPr>
    </w:p>
    <w:p>
      <w:pPr>
        <w:ind w:left="460" w:hanging="458"/>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9" w:lineRule="exact"/>
        <w:rPr>
          <w:sz w:val="24"/>
          <w:szCs w:val="24"/>
          <w:color w:val="auto"/>
        </w:rPr>
      </w:pPr>
    </w:p>
    <w:p>
      <w:pPr>
        <w:ind w:left="460" w:hanging="458"/>
        <w:spacing w:after="0"/>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9" w:lineRule="exact"/>
        <w:rPr>
          <w:rFonts w:ascii="MS PGothic" w:cs="MS PGothic" w:eastAsia="MS PGothic" w:hAnsi="MS PGothic"/>
          <w:sz w:val="17"/>
          <w:szCs w:val="17"/>
          <w:color w:val="auto"/>
        </w:rPr>
      </w:pPr>
    </w:p>
    <w:p>
      <w:pPr>
        <w:ind w:left="900" w:hanging="450"/>
        <w:spacing w:after="0"/>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65" w:lineRule="exact"/>
        <w:rPr>
          <w:rFonts w:ascii="Arial" w:cs="Arial" w:eastAsia="Arial" w:hAnsi="Arial"/>
          <w:sz w:val="17"/>
          <w:szCs w:val="17"/>
          <w:color w:val="auto"/>
        </w:rPr>
      </w:pPr>
    </w:p>
    <w:p>
      <w:pPr>
        <w:ind w:left="900" w:hanging="450"/>
        <w:spacing w:after="0"/>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52" w:lineRule="exact"/>
        <w:rPr>
          <w:rFonts w:ascii="Arial" w:cs="Arial" w:eastAsia="Arial" w:hAnsi="Arial"/>
          <w:sz w:val="17"/>
          <w:szCs w:val="17"/>
          <w:color w:val="auto"/>
        </w:rPr>
      </w:pPr>
    </w:p>
    <w:p>
      <w:pPr>
        <w:ind w:left="900" w:hanging="450"/>
        <w:spacing w:after="0" w:line="241" w:lineRule="auto"/>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59" w:lineRule="exact"/>
        <w:rPr>
          <w:rFonts w:ascii="Arial" w:cs="Arial" w:eastAsia="Arial" w:hAnsi="Arial"/>
          <w:sz w:val="17"/>
          <w:szCs w:val="17"/>
          <w:color w:val="auto"/>
        </w:rPr>
      </w:pPr>
    </w:p>
    <w:p>
      <w:pPr>
        <w:ind w:left="900" w:hanging="450"/>
        <w:spacing w:after="0"/>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65" w:lineRule="exact"/>
        <w:rPr>
          <w:rFonts w:ascii="Arial" w:cs="Arial" w:eastAsia="Arial" w:hAnsi="Arial"/>
          <w:sz w:val="17"/>
          <w:szCs w:val="17"/>
          <w:color w:val="auto"/>
        </w:rPr>
      </w:pPr>
    </w:p>
    <w:p>
      <w:pPr>
        <w:ind w:left="900" w:hanging="450"/>
        <w:spacing w:after="0"/>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52" w:lineRule="exact"/>
        <w:rPr>
          <w:rFonts w:ascii="Arial" w:cs="Arial" w:eastAsia="Arial" w:hAnsi="Arial"/>
          <w:sz w:val="17"/>
          <w:szCs w:val="17"/>
          <w:color w:val="auto"/>
        </w:rPr>
      </w:pPr>
    </w:p>
    <w:p>
      <w:pPr>
        <w:ind w:left="460" w:hanging="458"/>
        <w:spacing w:after="0"/>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9" w:lineRule="exact"/>
        <w:rPr>
          <w:rFonts w:ascii="MS PGothic" w:cs="MS PGothic" w:eastAsia="MS PGothic" w:hAnsi="MS PGothic"/>
          <w:sz w:val="17"/>
          <w:szCs w:val="17"/>
          <w:color w:val="auto"/>
        </w:rPr>
      </w:pPr>
    </w:p>
    <w:p>
      <w:pPr>
        <w:ind w:left="460" w:right="240" w:hanging="458"/>
        <w:spacing w:after="0" w:line="235" w:lineRule="auto"/>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900" w:hanging="450"/>
        <w:spacing w:after="0"/>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65" w:lineRule="exact"/>
        <w:rPr>
          <w:rFonts w:ascii="Arial" w:cs="Arial" w:eastAsia="Arial" w:hAnsi="Arial"/>
          <w:sz w:val="17"/>
          <w:szCs w:val="17"/>
          <w:color w:val="auto"/>
        </w:rPr>
      </w:pPr>
    </w:p>
    <w:p>
      <w:pPr>
        <w:ind w:left="900" w:hanging="450"/>
        <w:spacing w:after="0"/>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65" w:lineRule="exact"/>
        <w:rPr>
          <w:rFonts w:ascii="Arial" w:cs="Arial" w:eastAsia="Arial" w:hAnsi="Arial"/>
          <w:sz w:val="17"/>
          <w:szCs w:val="17"/>
          <w:color w:val="auto"/>
        </w:rPr>
      </w:pPr>
    </w:p>
    <w:p>
      <w:pPr>
        <w:ind w:left="900" w:hanging="450"/>
        <w:spacing w:after="0"/>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52" w:lineRule="exact"/>
        <w:rPr>
          <w:rFonts w:ascii="Arial" w:cs="Arial" w:eastAsia="Arial" w:hAnsi="Arial"/>
          <w:sz w:val="17"/>
          <w:szCs w:val="17"/>
          <w:color w:val="auto"/>
        </w:rPr>
      </w:pPr>
    </w:p>
    <w:p>
      <w:pPr>
        <w:ind w:left="900" w:hanging="450"/>
        <w:spacing w:after="0"/>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220980</wp:posOffset>
            </wp:positionH>
            <wp:positionV relativeFrom="paragraph">
              <wp:posOffset>-2667635</wp:posOffset>
            </wp:positionV>
            <wp:extent cx="7034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453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-2383790</wp:posOffset>
            </wp:positionV>
            <wp:extent cx="7034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453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-1969135</wp:posOffset>
            </wp:positionV>
            <wp:extent cx="703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453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-1677035</wp:posOffset>
            </wp:positionV>
            <wp:extent cx="7034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453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-1392555</wp:posOffset>
            </wp:positionV>
            <wp:extent cx="7034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453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-726440</wp:posOffset>
            </wp:positionV>
            <wp:extent cx="7034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453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-434340</wp:posOffset>
            </wp:positionV>
            <wp:extent cx="7034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3453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-149860</wp:posOffset>
            </wp:positionV>
            <wp:extent cx="7034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34530" cy="825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142240</wp:posOffset>
            </wp:positionV>
            <wp:extent cx="7034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4530" cy="8255"/>
                    </a:xfrm>
                    <a:prstGeom prst="rect">
                      <a:avLst/>
                    </a:prstGeom>
                    <a:noFill/>
                  </pic:spPr>
                </pic:pic>
              </a:graphicData>
            </a:graphic>
          </wp:anchor>
        </w:drawing>
      </w:r>
    </w:p>
    <w:p>
      <w:pPr>
        <w:sectPr>
          <w:pgSz w:w="11900" w:h="16838" w:orient="portrait"/>
          <w:cols w:equalWidth="0" w:num="1">
            <w:col w:w="11240"/>
          </w:cols>
          <w:pgMar w:left="240" w:top="226" w:right="41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2909570</wp:posOffset>
            </wp:positionH>
            <wp:positionV relativeFrom="paragraph">
              <wp:posOffset>194310</wp:posOffset>
            </wp:positionV>
            <wp:extent cx="1445895" cy="4794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5895" cy="47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40" w:type="dxa"/>
            <w:vAlign w:val="bottom"/>
          </w:tcPr>
          <w:p>
            <w:pPr>
              <w:spacing w:after="0"/>
              <w:rPr>
                <w:sz w:val="20"/>
                <w:szCs w:val="20"/>
                <w:color w:val="auto"/>
              </w:rPr>
            </w:pPr>
            <w:r>
              <w:rPr>
                <w:rFonts w:ascii="Arial" w:cs="Arial" w:eastAsia="Arial" w:hAnsi="Arial"/>
                <w:sz w:val="17"/>
                <w:szCs w:val="17"/>
                <w:color w:val="auto"/>
              </w:rPr>
              <w:t>IRENE B. ROSENFELD</w:t>
            </w:r>
          </w:p>
        </w:tc>
        <w:tc>
          <w:tcPr>
            <w:tcW w:w="5000" w:type="dxa"/>
            <w:vAlign w:val="bottom"/>
          </w:tcPr>
          <w:p>
            <w:pPr>
              <w:ind w:left="2660"/>
              <w:spacing w:after="0"/>
              <w:rPr>
                <w:sz w:val="20"/>
                <w:szCs w:val="20"/>
                <w:color w:val="auto"/>
              </w:rPr>
            </w:pPr>
            <w:r>
              <w:rPr>
                <w:rFonts w:ascii="Arial" w:cs="Arial" w:eastAsia="Arial" w:hAnsi="Arial"/>
                <w:sz w:val="17"/>
                <w:szCs w:val="17"/>
                <w:color w:val="auto"/>
              </w:rPr>
              <w:t>THREE LAKES DRIVE</w:t>
            </w:r>
          </w:p>
        </w:tc>
        <w:tc>
          <w:tcPr>
            <w:tcW w:w="0" w:type="dxa"/>
            <w:vAlign w:val="bottom"/>
          </w:tcPr>
          <w:p>
            <w:pPr>
              <w:spacing w:after="0"/>
              <w:rPr>
                <w:sz w:val="1"/>
                <w:szCs w:val="1"/>
                <w:color w:val="auto"/>
              </w:rPr>
            </w:pPr>
          </w:p>
        </w:tc>
      </w:tr>
      <w:tr>
        <w:trPr>
          <w:trHeight w:val="192"/>
        </w:trPr>
        <w:tc>
          <w:tcPr>
            <w:tcW w:w="5240" w:type="dxa"/>
            <w:vAlign w:val="bottom"/>
          </w:tcPr>
          <w:p>
            <w:pPr>
              <w:spacing w:after="0" w:line="192" w:lineRule="exact"/>
              <w:rPr>
                <w:sz w:val="20"/>
                <w:szCs w:val="20"/>
                <w:color w:val="auto"/>
              </w:rPr>
            </w:pPr>
            <w:r>
              <w:rPr>
                <w:rFonts w:ascii="Arial" w:cs="Arial" w:eastAsia="Arial" w:hAnsi="Arial"/>
                <w:sz w:val="17"/>
                <w:szCs w:val="17"/>
                <w:color w:val="auto"/>
              </w:rPr>
              <w:t>CHAIRMAN OF THE BOARD AND</w:t>
            </w:r>
          </w:p>
        </w:tc>
        <w:tc>
          <w:tcPr>
            <w:tcW w:w="5000" w:type="dxa"/>
            <w:vAlign w:val="bottom"/>
          </w:tcPr>
          <w:p>
            <w:pPr>
              <w:ind w:left="2660"/>
              <w:spacing w:after="0" w:line="192" w:lineRule="exact"/>
              <w:rPr>
                <w:sz w:val="20"/>
                <w:szCs w:val="20"/>
                <w:color w:val="auto"/>
              </w:rPr>
            </w:pPr>
            <w:r>
              <w:rPr>
                <w:rFonts w:ascii="Arial" w:cs="Arial" w:eastAsia="Arial" w:hAnsi="Arial"/>
                <w:sz w:val="17"/>
                <w:szCs w:val="17"/>
                <w:color w:val="auto"/>
                <w:w w:val="96"/>
              </w:rPr>
              <w:t>NORTHFIELD, ILLINOIS 60093</w:t>
            </w:r>
          </w:p>
        </w:tc>
        <w:tc>
          <w:tcPr>
            <w:tcW w:w="0" w:type="dxa"/>
            <w:vAlign w:val="bottom"/>
          </w:tcPr>
          <w:p>
            <w:pPr>
              <w:spacing w:after="0"/>
              <w:rPr>
                <w:sz w:val="1"/>
                <w:szCs w:val="1"/>
                <w:color w:val="auto"/>
              </w:rPr>
            </w:pPr>
          </w:p>
        </w:tc>
      </w:tr>
      <w:tr>
        <w:trPr>
          <w:trHeight w:val="200"/>
        </w:trPr>
        <w:tc>
          <w:tcPr>
            <w:tcW w:w="5240" w:type="dxa"/>
            <w:vAlign w:val="bottom"/>
          </w:tcPr>
          <w:p>
            <w:pPr>
              <w:spacing w:after="0"/>
              <w:rPr>
                <w:sz w:val="20"/>
                <w:szCs w:val="20"/>
                <w:color w:val="auto"/>
              </w:rPr>
            </w:pPr>
            <w:r>
              <w:rPr>
                <w:rFonts w:ascii="Arial" w:cs="Arial" w:eastAsia="Arial" w:hAnsi="Arial"/>
                <w:sz w:val="17"/>
                <w:szCs w:val="17"/>
                <w:color w:val="auto"/>
              </w:rPr>
              <w:t>CHIEF EXECUTIVE OFFICER</w:t>
            </w:r>
          </w:p>
        </w:tc>
        <w:tc>
          <w:tcPr>
            <w:tcW w:w="5000" w:type="dxa"/>
            <w:vAlign w:val="bottom"/>
            <w:vMerge w:val="restart"/>
          </w:tcPr>
          <w:p>
            <w:pPr>
              <w:ind w:left="2660"/>
              <w:spacing w:after="0"/>
              <w:rPr>
                <w:sz w:val="20"/>
                <w:szCs w:val="20"/>
                <w:color w:val="auto"/>
              </w:rPr>
            </w:pPr>
            <w:r>
              <w:rPr>
                <w:rFonts w:ascii="Arial" w:cs="Arial" w:eastAsia="Arial" w:hAnsi="Arial"/>
                <w:sz w:val="17"/>
                <w:szCs w:val="17"/>
                <w:color w:val="auto"/>
              </w:rPr>
              <w:t>April 2, 2012</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5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5240" w:type="dxa"/>
            <w:vAlign w:val="bottom"/>
          </w:tcPr>
          <w:p>
            <w:pPr>
              <w:spacing w:after="0"/>
              <w:rPr>
                <w:sz w:val="20"/>
                <w:szCs w:val="20"/>
                <w:color w:val="auto"/>
              </w:rPr>
            </w:pPr>
            <w:r>
              <w:rPr>
                <w:rFonts w:ascii="Arial" w:cs="Arial" w:eastAsia="Arial" w:hAnsi="Arial"/>
                <w:sz w:val="17"/>
                <w:szCs w:val="17"/>
                <w:color w:val="auto"/>
              </w:rPr>
              <w:t>Dear Fellow Shareholder:</w:t>
            </w: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I am pleased to invite you to our 2012 Annual Meeting of Shareholders. We will hold the Annual Meeting at 9:00 a.m. CDT on Wednesday, May 23, 2012, at the North Shore Center for the Performing Arts in Skokie, Illinois. The Center will open to shareholders at 8:00 a.m. CDT.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We have prepared the following materials for the meeting:</w:t>
      </w:r>
    </w:p>
    <w:p>
      <w:pPr>
        <w:spacing w:after="0" w:line="73" w:lineRule="exact"/>
        <w:rPr>
          <w:sz w:val="20"/>
          <w:szCs w:val="20"/>
          <w:color w:val="auto"/>
        </w:rPr>
      </w:pPr>
    </w:p>
    <w:p>
      <w:pPr>
        <w:ind w:left="880" w:hanging="315"/>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Notice of Annual Meeting of Shareholders;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Proxy Statement describing the proposals to be voted on at the Annual Meeting;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letter to shareholders highlighting our 2011 financial and business performance.</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are once again mailing to our shareholders a Notice of Internet Availability of Proxy Materials containing instructions on how to access these materials and vote online. We believe electronic delivery expedites the receipt of materials, while lowering costs and reducing the environmental impact of our Annual Meeting. If you receive a Notice of Internet Availability of Proxy Materials by mail, you will not receive paper copies of these materials unless you specifically request them. You may request paper copies to be sent to you in the mail by following the instructions on the Notice.</w:t>
      </w:r>
    </w:p>
    <w:p>
      <w:pPr>
        <w:spacing w:after="0" w:line="146"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Whether or not you plan to attend the Annual Meeting, your vote is important and I encourage you to vote promptly. The Notice contains instructions on how to vote via the Internet or by calling a toll-free number. If you receive paper copies of the proxy materials by mail, you may also vote by signing, dating and mailing your proxy card or voting instruction form. You may also vote in person at the Annual Meeting.</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Please register in advance if you would like to attend the Annual Meeting. The Proxy Statement contains advance registration instructions.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On behalf of the Board of Directors, thank you for your continued interest and support.</w:t>
      </w:r>
    </w:p>
    <w:p>
      <w:pPr>
        <w:spacing w:after="0" w:line="15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215265</wp:posOffset>
            </wp:positionV>
            <wp:extent cx="2347595" cy="495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47595" cy="495300"/>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2"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KRAFT FOODS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Lakes Drive</w:t>
      </w:r>
    </w:p>
    <w:p>
      <w:pPr>
        <w:jc w:val="center"/>
        <w:spacing w:after="0"/>
        <w:rPr>
          <w:sz w:val="20"/>
          <w:szCs w:val="20"/>
          <w:color w:val="auto"/>
        </w:rPr>
      </w:pPr>
      <w:r>
        <w:rPr>
          <w:rFonts w:ascii="Arial" w:cs="Arial" w:eastAsia="Arial" w:hAnsi="Arial"/>
          <w:sz w:val="17"/>
          <w:szCs w:val="17"/>
          <w:b w:val="1"/>
          <w:bCs w:val="1"/>
          <w:color w:val="auto"/>
        </w:rPr>
        <w:t>Northfield, Illinois 60093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174625</wp:posOffset>
            </wp:positionV>
            <wp:extent cx="15189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2012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191135</wp:posOffset>
            </wp:positionV>
            <wp:extent cx="15189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9:00 a.m. CDT on Wednesday, May 23, 2012.</w:t>
      </w:r>
    </w:p>
    <w:p>
      <w:pPr>
        <w:spacing w:after="0"/>
        <w:rPr>
          <w:sz w:val="20"/>
          <w:szCs w:val="20"/>
          <w:color w:val="auto"/>
        </w:rPr>
      </w:pPr>
      <w:r>
        <w:rPr>
          <w:rFonts w:ascii="Arial" w:cs="Arial" w:eastAsia="Arial" w:hAnsi="Arial"/>
          <w:sz w:val="17"/>
          <w:szCs w:val="17"/>
          <w:color w:val="auto"/>
        </w:rPr>
        <w:t>TIME AND DATE:</w:t>
      </w:r>
    </w:p>
    <w:p>
      <w:pPr>
        <w:spacing w:after="0" w:line="159"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North Shore Center for the Performing Arts in Skokie</w:t>
      </w:r>
    </w:p>
    <w:p>
      <w:pPr>
        <w:spacing w:after="0"/>
        <w:rPr>
          <w:sz w:val="20"/>
          <w:szCs w:val="20"/>
          <w:color w:val="auto"/>
        </w:rPr>
      </w:pPr>
      <w:r>
        <w:rPr>
          <w:rFonts w:ascii="Arial" w:cs="Arial" w:eastAsia="Arial" w:hAnsi="Arial"/>
          <w:sz w:val="17"/>
          <w:szCs w:val="17"/>
          <w:color w:val="auto"/>
        </w:rPr>
        <w:t>PLACE:</w:t>
      </w:r>
    </w:p>
    <w:p>
      <w:pPr>
        <w:spacing w:after="0" w:line="6"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9501 Skokie Boulevard</w:t>
      </w:r>
    </w:p>
    <w:p>
      <w:pPr>
        <w:ind w:left="4340"/>
        <w:spacing w:after="0"/>
        <w:rPr>
          <w:sz w:val="20"/>
          <w:szCs w:val="20"/>
          <w:color w:val="auto"/>
        </w:rPr>
      </w:pPr>
      <w:r>
        <w:rPr>
          <w:rFonts w:ascii="Arial" w:cs="Arial" w:eastAsia="Arial" w:hAnsi="Arial"/>
          <w:sz w:val="17"/>
          <w:szCs w:val="17"/>
          <w:color w:val="auto"/>
        </w:rPr>
        <w:t>Skokie, Illinois 60077</w:t>
      </w:r>
    </w:p>
    <w:p>
      <w:pPr>
        <w:spacing w:after="0" w:line="146" w:lineRule="exact"/>
        <w:rPr>
          <w:sz w:val="20"/>
          <w:szCs w:val="20"/>
          <w:color w:val="auto"/>
        </w:rPr>
      </w:pPr>
    </w:p>
    <w:p>
      <w:pPr>
        <w:ind w:left="4780" w:hanging="441"/>
        <w:spacing w:after="0"/>
        <w:tabs>
          <w:tab w:leader="none" w:pos="47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elect the 11 directors named in the Proxy Statement;</w:t>
      </w:r>
    </w:p>
    <w:p>
      <w:pPr>
        <w:spacing w:after="0"/>
        <w:rPr>
          <w:sz w:val="20"/>
          <w:szCs w:val="20"/>
          <w:color w:val="auto"/>
        </w:rPr>
      </w:pPr>
      <w:r>
        <w:rPr>
          <w:rFonts w:ascii="Arial" w:cs="Arial" w:eastAsia="Arial" w:hAnsi="Arial"/>
          <w:sz w:val="17"/>
          <w:szCs w:val="17"/>
          <w:color w:val="auto"/>
        </w:rPr>
        <w:t>ITEMS OF BUSINESS:</w:t>
      </w:r>
    </w:p>
    <w:p>
      <w:pPr>
        <w:spacing w:after="0" w:line="201" w:lineRule="exact"/>
        <w:rPr>
          <w:sz w:val="20"/>
          <w:szCs w:val="20"/>
          <w:color w:val="auto"/>
        </w:rPr>
      </w:pPr>
    </w:p>
    <w:p>
      <w:pPr>
        <w:ind w:left="4780" w:hanging="441"/>
        <w:spacing w:after="0"/>
        <w:tabs>
          <w:tab w:leader="none" w:pos="4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hold an advisory vote to approve executive compensation;</w:t>
      </w:r>
    </w:p>
    <w:p>
      <w:pPr>
        <w:sectPr>
          <w:pgSz w:w="11900" w:h="16838" w:orient="portrait"/>
          <w:cols w:equalWidth="0" w:num="1">
            <w:col w:w="11420"/>
          </w:cols>
          <w:pgMar w:left="240" w:top="4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WHO MAY VOTE:</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auto"/>
        </w:rPr>
        <w:t>DATE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April 2, 2012</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441" w:right="740" w:hanging="441"/>
        <w:spacing w:after="0" w:line="241" w:lineRule="auto"/>
        <w:tabs>
          <w:tab w:leader="none" w:pos="441"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vote on a company proposal to amend the Amended and Restated Articles of Incorporation to change the company name;</w:t>
      </w:r>
    </w:p>
    <w:p>
      <w:pPr>
        <w:spacing w:after="0" w:line="183" w:lineRule="exact"/>
        <w:rPr>
          <w:rFonts w:ascii="Arial" w:cs="Arial" w:eastAsia="Arial" w:hAnsi="Arial"/>
          <w:sz w:val="17"/>
          <w:szCs w:val="17"/>
          <w:color w:val="auto"/>
        </w:rPr>
      </w:pPr>
    </w:p>
    <w:p>
      <w:pPr>
        <w:ind w:left="441" w:hanging="441"/>
        <w:spacing w:after="0" w:line="241" w:lineRule="auto"/>
        <w:tabs>
          <w:tab w:leader="none" w:pos="441"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ratify the selection of PricewaterhouseCoopers LLP as our independent auditors for the fiscal year ending December 31, 2012;</w:t>
      </w:r>
    </w:p>
    <w:p>
      <w:pPr>
        <w:spacing w:after="0" w:line="183" w:lineRule="exact"/>
        <w:rPr>
          <w:rFonts w:ascii="Arial" w:cs="Arial" w:eastAsia="Arial" w:hAnsi="Arial"/>
          <w:sz w:val="17"/>
          <w:szCs w:val="17"/>
          <w:color w:val="auto"/>
        </w:rPr>
      </w:pPr>
    </w:p>
    <w:p>
      <w:pPr>
        <w:ind w:left="441" w:hanging="441"/>
        <w:spacing w:after="0"/>
        <w:tabs>
          <w:tab w:leader="none" w:pos="441"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vote on three shareholder proposals if properly presented at the meeting; and</w:t>
      </w:r>
    </w:p>
    <w:p>
      <w:pPr>
        <w:spacing w:after="0" w:line="188" w:lineRule="exact"/>
        <w:rPr>
          <w:rFonts w:ascii="Arial" w:cs="Arial" w:eastAsia="Arial" w:hAnsi="Arial"/>
          <w:sz w:val="17"/>
          <w:szCs w:val="17"/>
          <w:color w:val="auto"/>
        </w:rPr>
      </w:pPr>
    </w:p>
    <w:p>
      <w:pPr>
        <w:ind w:left="441" w:hanging="441"/>
        <w:spacing w:after="0"/>
        <w:tabs>
          <w:tab w:leader="none" w:pos="441"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transact any other business properly presented at the meeting.</w:t>
      </w:r>
    </w:p>
    <w:p>
      <w:pPr>
        <w:spacing w:after="0" w:line="188" w:lineRule="exact"/>
        <w:rPr>
          <w:sz w:val="20"/>
          <w:szCs w:val="20"/>
          <w:color w:val="auto"/>
        </w:rPr>
      </w:pPr>
    </w:p>
    <w:p>
      <w:pPr>
        <w:ind w:left="1"/>
        <w:spacing w:after="0"/>
        <w:rPr>
          <w:sz w:val="20"/>
          <w:szCs w:val="20"/>
          <w:color w:val="auto"/>
        </w:rPr>
      </w:pPr>
      <w:r>
        <w:rPr>
          <w:rFonts w:ascii="Arial" w:cs="Arial" w:eastAsia="Arial" w:hAnsi="Arial"/>
          <w:sz w:val="17"/>
          <w:szCs w:val="17"/>
          <w:color w:val="auto"/>
        </w:rPr>
        <w:t>Shareholders of record at the close of business on March 15, 2012.</w:t>
      </w:r>
    </w:p>
    <w:p>
      <w:pPr>
        <w:spacing w:after="0" w:line="355" w:lineRule="exact"/>
        <w:rPr>
          <w:sz w:val="20"/>
          <w:szCs w:val="20"/>
          <w:color w:val="auto"/>
        </w:rPr>
      </w:pPr>
    </w:p>
    <w:p>
      <w:pPr>
        <w:ind w:left="1" w:right="120"/>
        <w:spacing w:after="0" w:line="238" w:lineRule="auto"/>
        <w:rPr>
          <w:sz w:val="20"/>
          <w:szCs w:val="20"/>
          <w:color w:val="auto"/>
        </w:rPr>
      </w:pPr>
      <w:r>
        <w:rPr>
          <w:rFonts w:ascii="Arial" w:cs="Arial" w:eastAsia="Arial" w:hAnsi="Arial"/>
          <w:sz w:val="17"/>
          <w:szCs w:val="17"/>
          <w:color w:val="auto"/>
        </w:rPr>
        <w:t>We mailed our Notice of Internet Availability of Proxy Materials on or about April 5, 2012. For shareholders who previously elected to receive a paper copy of the proxy materials, we mailed the Proxy Statement, our Annual Report on Form 10-K for the year ended December 31, 2011, our letter to shareholders and the proxy card on or about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90805</wp:posOffset>
            </wp:positionV>
            <wp:extent cx="2444750" cy="365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44750" cy="36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721"/>
        <w:spacing w:after="0"/>
        <w:rPr>
          <w:sz w:val="20"/>
          <w:szCs w:val="20"/>
          <w:color w:val="auto"/>
        </w:rPr>
      </w:pPr>
      <w:r>
        <w:rPr>
          <w:rFonts w:ascii="Arial" w:cs="Arial" w:eastAsia="Arial" w:hAnsi="Arial"/>
          <w:sz w:val="17"/>
          <w:szCs w:val="17"/>
          <w:color w:val="auto"/>
        </w:rPr>
        <w:t>Carol J. Ward</w:t>
      </w:r>
    </w:p>
    <w:p>
      <w:pPr>
        <w:ind w:left="1721"/>
        <w:spacing w:after="0"/>
        <w:rPr>
          <w:sz w:val="20"/>
          <w:szCs w:val="20"/>
          <w:color w:val="auto"/>
        </w:rPr>
      </w:pPr>
      <w:r>
        <w:rPr>
          <w:rFonts w:ascii="Arial" w:cs="Arial" w:eastAsia="Arial" w:hAnsi="Arial"/>
          <w:sz w:val="17"/>
          <w:szCs w:val="17"/>
          <w:color w:val="auto"/>
        </w:rPr>
        <w:t>Vice President and Corporate Secretary</w:t>
      </w:r>
    </w:p>
    <w:p>
      <w:pPr>
        <w:spacing w:after="0" w:line="545" w:lineRule="exact"/>
        <w:rPr>
          <w:sz w:val="20"/>
          <w:szCs w:val="20"/>
          <w:color w:val="auto"/>
        </w:rPr>
      </w:pPr>
    </w:p>
    <w:p>
      <w:pPr>
        <w:sectPr>
          <w:pgSz w:w="11900" w:h="16838" w:orient="portrait"/>
          <w:cols w:equalWidth="0" w:num="2">
            <w:col w:w="3619" w:space="720"/>
            <w:col w:w="7081"/>
          </w:cols>
          <w:pgMar w:left="240" w:top="443" w:right="23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IMPORTANT NOTICE REGARDING THE AVAILABILITY OF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7261860" cy="828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860" cy="828675"/>
                    </a:xfrm>
                    <a:prstGeom prst="rect">
                      <a:avLst/>
                    </a:prstGeom>
                    <a:noFill/>
                  </pic:spPr>
                </pic:pic>
              </a:graphicData>
            </a:graphic>
          </wp:anchor>
        </w:drawing>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MATERIALS FOR THE ANNUAL MEETING OF SHAREHOLDERS</w:t>
      </w:r>
    </w:p>
    <w:p>
      <w:pPr>
        <w:jc w:val="center"/>
        <w:ind w:right="-19"/>
        <w:spacing w:after="0"/>
        <w:rPr>
          <w:sz w:val="20"/>
          <w:szCs w:val="20"/>
          <w:color w:val="auto"/>
        </w:rPr>
      </w:pPr>
      <w:r>
        <w:rPr>
          <w:rFonts w:ascii="Arial" w:cs="Arial" w:eastAsia="Arial" w:hAnsi="Arial"/>
          <w:sz w:val="17"/>
          <w:szCs w:val="17"/>
          <w:b w:val="1"/>
          <w:bCs w:val="1"/>
          <w:color w:val="auto"/>
        </w:rPr>
        <w:t>TO BE HELD ON MAY 23, 2012</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Kraft Foods Inc.’s Proxy Statement and Annual Report on Form 10-K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xml:space="preserve">are available at </w:t>
      </w:r>
      <w:r>
        <w:rPr>
          <w:rFonts w:ascii="Arial" w:cs="Arial" w:eastAsia="Arial" w:hAnsi="Arial"/>
          <w:sz w:val="17"/>
          <w:szCs w:val="17"/>
          <w:i w:val="1"/>
          <w:iCs w:val="1"/>
          <w:u w:val="single" w:color="auto"/>
          <w:color w:val="auto"/>
        </w:rPr>
        <w:t>http://materials.proxyvote.com/50075N</w:t>
      </w:r>
      <w:r>
        <w:rPr>
          <w:rFonts w:ascii="Arial" w:cs="Arial" w:eastAsia="Arial" w:hAnsi="Arial"/>
          <w:sz w:val="17"/>
          <w:szCs w:val="17"/>
          <w:i w:val="1"/>
          <w:iCs w:val="1"/>
          <w:color w:val="auto"/>
        </w:rPr>
        <w:t>.</w:t>
      </w:r>
    </w:p>
    <w:p>
      <w:pPr>
        <w:sectPr>
          <w:pgSz w:w="11900" w:h="16838" w:orient="portrait"/>
          <w:cols w:equalWidth="0" w:num="1">
            <w:col w:w="11420"/>
          </w:cols>
          <w:pgMar w:left="240" w:top="443" w:right="239" w:bottom="1440" w:gutter="0" w:footer="0" w:header="0"/>
          <w:type w:val="continuous"/>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320" w:type="dxa"/>
            <w:vAlign w:val="bottom"/>
            <w:gridSpan w:val="8"/>
          </w:tcPr>
          <w:p>
            <w:pPr>
              <w:ind w:left="120"/>
              <w:spacing w:after="0"/>
              <w:rPr>
                <w:sz w:val="20"/>
                <w:szCs w:val="20"/>
                <w:color w:val="auto"/>
              </w:rPr>
            </w:pPr>
            <w:r>
              <w:rPr>
                <w:rFonts w:ascii="Arial" w:cs="Arial" w:eastAsia="Arial" w:hAnsi="Arial"/>
                <w:sz w:val="17"/>
                <w:szCs w:val="17"/>
                <w:b w:val="1"/>
                <w:bCs w:val="1"/>
                <w:color w:val="auto"/>
              </w:rPr>
              <w:t>TABLE OF CONTENTS</w:t>
            </w:r>
          </w:p>
        </w:tc>
        <w:tc>
          <w:tcPr>
            <w:tcW w:w="300" w:type="dxa"/>
            <w:vAlign w:val="bottom"/>
          </w:tcPr>
          <w:p>
            <w:pPr>
              <w:spacing w:after="0"/>
              <w:rPr>
                <w:sz w:val="19"/>
                <w:szCs w:val="19"/>
                <w:color w:val="auto"/>
              </w:rPr>
            </w:pPr>
          </w:p>
        </w:tc>
      </w:tr>
      <w:tr>
        <w:trPr>
          <w:trHeight w:val="321"/>
        </w:trPr>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Page</w:t>
            </w:r>
          </w:p>
        </w:tc>
      </w:tr>
      <w:tr>
        <w:trPr>
          <w:trHeight w:val="249"/>
        </w:trPr>
        <w:tc>
          <w:tcPr>
            <w:tcW w:w="11020" w:type="dxa"/>
            <w:vAlign w:val="bottom"/>
            <w:gridSpan w:val="43"/>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PROXY STATEMENT SUMMARY</w:t>
              </w:r>
            </w:hyperlink>
          </w:p>
        </w:tc>
        <w:tc>
          <w:tcPr>
            <w:tcW w:w="3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4"/>
        </w:trPr>
        <w:tc>
          <w:tcPr>
            <w:tcW w:w="2780" w:type="dxa"/>
            <w:vAlign w:val="bottom"/>
            <w:tcBorders>
              <w:bottom w:val="single" w:sz="8" w:color="0000EE"/>
            </w:tcBorders>
            <w:gridSpan w:val="15"/>
          </w:tcPr>
          <w:p>
            <w:pPr>
              <w:spacing w:after="0"/>
              <w:rPr>
                <w:rFonts w:ascii="Arial" w:cs="Arial" w:eastAsia="Arial" w:hAnsi="Arial"/>
                <w:sz w:val="17"/>
                <w:szCs w:val="17"/>
                <w:color w:val="0000EE"/>
                <w:w w:val="97"/>
              </w:rPr>
            </w:pPr>
            <w:hyperlink w:anchor="page8">
              <w:r>
                <w:rPr>
                  <w:rFonts w:ascii="Arial" w:cs="Arial" w:eastAsia="Arial" w:hAnsi="Arial"/>
                  <w:sz w:val="17"/>
                  <w:szCs w:val="17"/>
                  <w:color w:val="0000EE"/>
                  <w:w w:val="97"/>
                </w:rPr>
                <w:t>ITEM 1. ELECTION OF DIRECTORS</w:t>
              </w:r>
            </w:hyperlink>
          </w:p>
        </w:tc>
        <w:tc>
          <w:tcPr>
            <w:tcW w:w="8240" w:type="dxa"/>
            <w:vAlign w:val="bottom"/>
            <w:gridSpan w:val="28"/>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172"/>
        </w:trPr>
        <w:tc>
          <w:tcPr>
            <w:tcW w:w="420" w:type="dxa"/>
            <w:vAlign w:val="bottom"/>
          </w:tcPr>
          <w:p>
            <w:pPr>
              <w:spacing w:after="0"/>
              <w:rPr>
                <w:sz w:val="14"/>
                <w:szCs w:val="14"/>
                <w:color w:val="auto"/>
              </w:rPr>
            </w:pPr>
          </w:p>
        </w:tc>
        <w:tc>
          <w:tcPr>
            <w:tcW w:w="2440" w:type="dxa"/>
            <w:vAlign w:val="bottom"/>
            <w:tcBorders>
              <w:bottom w:val="single" w:sz="8" w:color="0000EE"/>
            </w:tcBorders>
            <w:gridSpan w:val="16"/>
          </w:tcPr>
          <w:p>
            <w:pPr>
              <w:spacing w:after="0" w:line="172" w:lineRule="exact"/>
              <w:rPr>
                <w:rFonts w:ascii="Arial" w:cs="Arial" w:eastAsia="Arial" w:hAnsi="Arial"/>
                <w:sz w:val="17"/>
                <w:szCs w:val="17"/>
                <w:color w:val="0000EE"/>
                <w:w w:val="97"/>
              </w:rPr>
            </w:pPr>
            <w:hyperlink w:anchor="page8">
              <w:r>
                <w:rPr>
                  <w:rFonts w:ascii="Arial" w:cs="Arial" w:eastAsia="Arial" w:hAnsi="Arial"/>
                  <w:sz w:val="17"/>
                  <w:szCs w:val="17"/>
                  <w:color w:val="0000EE"/>
                  <w:w w:val="97"/>
                </w:rPr>
                <w:t>Process for Nominating Directors</w:t>
              </w:r>
            </w:hyperlink>
          </w:p>
        </w:tc>
        <w:tc>
          <w:tcPr>
            <w:tcW w:w="8160" w:type="dxa"/>
            <w:vAlign w:val="bottom"/>
            <w:gridSpan w:val="26"/>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3</w:t>
            </w:r>
          </w:p>
        </w:tc>
      </w:tr>
      <w:tr>
        <w:trPr>
          <w:trHeight w:val="172"/>
        </w:trPr>
        <w:tc>
          <w:tcPr>
            <w:tcW w:w="420" w:type="dxa"/>
            <w:vAlign w:val="bottom"/>
          </w:tcPr>
          <w:p>
            <w:pPr>
              <w:spacing w:after="0"/>
              <w:rPr>
                <w:sz w:val="14"/>
                <w:szCs w:val="14"/>
                <w:color w:val="auto"/>
              </w:rPr>
            </w:pPr>
          </w:p>
        </w:tc>
        <w:tc>
          <w:tcPr>
            <w:tcW w:w="10600" w:type="dxa"/>
            <w:vAlign w:val="bottom"/>
            <w:gridSpan w:val="42"/>
          </w:tcPr>
          <w:p>
            <w:pPr>
              <w:spacing w:after="0" w:line="172" w:lineRule="exact"/>
              <w:rPr>
                <w:rFonts w:ascii="Arial" w:cs="Arial" w:eastAsia="Arial" w:hAnsi="Arial"/>
                <w:sz w:val="17"/>
                <w:szCs w:val="17"/>
                <w:color w:val="0000EE"/>
              </w:rPr>
            </w:pPr>
            <w:hyperlink w:anchor="page10">
              <w:r>
                <w:rPr>
                  <w:rFonts w:ascii="Arial" w:cs="Arial" w:eastAsia="Arial" w:hAnsi="Arial"/>
                  <w:sz w:val="17"/>
                  <w:szCs w:val="17"/>
                  <w:color w:val="0000EE"/>
                </w:rPr>
                <w:t>Director Nominees</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5</w:t>
            </w:r>
          </w:p>
        </w:tc>
      </w:tr>
      <w:tr>
        <w:trPr>
          <w:trHeight w:val="20"/>
        </w:trPr>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4"/>
        </w:trPr>
        <w:tc>
          <w:tcPr>
            <w:tcW w:w="2280" w:type="dxa"/>
            <w:vAlign w:val="bottom"/>
            <w:tcBorders>
              <w:bottom w:val="single" w:sz="8" w:color="0000EE"/>
            </w:tcBorders>
            <w:gridSpan w:val="10"/>
          </w:tcPr>
          <w:p>
            <w:pPr>
              <w:spacing w:after="0"/>
              <w:rPr>
                <w:rFonts w:ascii="Arial" w:cs="Arial" w:eastAsia="Arial" w:hAnsi="Arial"/>
                <w:sz w:val="17"/>
                <w:szCs w:val="17"/>
                <w:color w:val="0000EE"/>
                <w:w w:val="96"/>
              </w:rPr>
            </w:pPr>
            <w:hyperlink w:anchor="page18">
              <w:r>
                <w:rPr>
                  <w:rFonts w:ascii="Arial" w:cs="Arial" w:eastAsia="Arial" w:hAnsi="Arial"/>
                  <w:sz w:val="17"/>
                  <w:szCs w:val="17"/>
                  <w:color w:val="0000EE"/>
                  <w:w w:val="96"/>
                </w:rPr>
                <w:t>CORPORATE GOVERNANCE</w:t>
              </w:r>
            </w:hyperlink>
          </w:p>
        </w:tc>
        <w:tc>
          <w:tcPr>
            <w:tcW w:w="8740" w:type="dxa"/>
            <w:vAlign w:val="bottom"/>
            <w:gridSpan w:val="33"/>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172"/>
        </w:trPr>
        <w:tc>
          <w:tcPr>
            <w:tcW w:w="420" w:type="dxa"/>
            <w:vAlign w:val="bottom"/>
          </w:tcPr>
          <w:p>
            <w:pPr>
              <w:spacing w:after="0"/>
              <w:rPr>
                <w:sz w:val="14"/>
                <w:szCs w:val="14"/>
                <w:color w:val="auto"/>
              </w:rPr>
            </w:pPr>
          </w:p>
        </w:tc>
        <w:tc>
          <w:tcPr>
            <w:tcW w:w="3440" w:type="dxa"/>
            <w:vAlign w:val="bottom"/>
            <w:tcBorders>
              <w:bottom w:val="single" w:sz="8" w:color="0000EE"/>
            </w:tcBorders>
            <w:gridSpan w:val="27"/>
          </w:tcPr>
          <w:p>
            <w:pPr>
              <w:spacing w:after="0" w:line="172" w:lineRule="exact"/>
              <w:rPr>
                <w:rFonts w:ascii="Arial" w:cs="Arial" w:eastAsia="Arial" w:hAnsi="Arial"/>
                <w:sz w:val="17"/>
                <w:szCs w:val="17"/>
                <w:color w:val="0000EE"/>
                <w:w w:val="97"/>
              </w:rPr>
            </w:pPr>
            <w:hyperlink w:anchor="page18">
              <w:r>
                <w:rPr>
                  <w:rFonts w:ascii="Arial" w:cs="Arial" w:eastAsia="Arial" w:hAnsi="Arial"/>
                  <w:sz w:val="17"/>
                  <w:szCs w:val="17"/>
                  <w:color w:val="0000EE"/>
                  <w:w w:val="97"/>
                </w:rPr>
                <w:t>Governance Guidelines and Codes of Conduct</w:t>
              </w:r>
            </w:hyperlink>
          </w:p>
        </w:tc>
        <w:tc>
          <w:tcPr>
            <w:tcW w:w="7160" w:type="dxa"/>
            <w:vAlign w:val="bottom"/>
            <w:gridSpan w:val="15"/>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13</w:t>
            </w:r>
          </w:p>
        </w:tc>
      </w:tr>
      <w:tr>
        <w:trPr>
          <w:trHeight w:val="172"/>
        </w:trPr>
        <w:tc>
          <w:tcPr>
            <w:tcW w:w="420" w:type="dxa"/>
            <w:vAlign w:val="bottom"/>
          </w:tcPr>
          <w:p>
            <w:pPr>
              <w:spacing w:after="0"/>
              <w:rPr>
                <w:sz w:val="14"/>
                <w:szCs w:val="14"/>
                <w:color w:val="auto"/>
              </w:rPr>
            </w:pPr>
          </w:p>
        </w:tc>
        <w:tc>
          <w:tcPr>
            <w:tcW w:w="10600" w:type="dxa"/>
            <w:vAlign w:val="bottom"/>
            <w:gridSpan w:val="42"/>
          </w:tcPr>
          <w:p>
            <w:pPr>
              <w:spacing w:after="0" w:line="172" w:lineRule="exact"/>
              <w:rPr>
                <w:rFonts w:ascii="Arial" w:cs="Arial" w:eastAsia="Arial" w:hAnsi="Arial"/>
                <w:sz w:val="17"/>
                <w:szCs w:val="17"/>
                <w:color w:val="0000EE"/>
              </w:rPr>
            </w:pPr>
            <w:hyperlink w:anchor="page19">
              <w:r>
                <w:rPr>
                  <w:rFonts w:ascii="Arial" w:cs="Arial" w:eastAsia="Arial" w:hAnsi="Arial"/>
                  <w:sz w:val="17"/>
                  <w:szCs w:val="17"/>
                  <w:color w:val="0000EE"/>
                </w:rPr>
                <w:t>Key Corporate Governance Practices</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14</w:t>
            </w:r>
          </w:p>
        </w:tc>
      </w:tr>
      <w:tr>
        <w:trPr>
          <w:trHeight w:val="172"/>
        </w:trPr>
        <w:tc>
          <w:tcPr>
            <w:tcW w:w="420" w:type="dxa"/>
            <w:vAlign w:val="bottom"/>
          </w:tcPr>
          <w:p>
            <w:pPr>
              <w:spacing w:after="0"/>
              <w:rPr>
                <w:sz w:val="14"/>
                <w:szCs w:val="14"/>
                <w:color w:val="auto"/>
              </w:rPr>
            </w:pPr>
          </w:p>
        </w:tc>
        <w:tc>
          <w:tcPr>
            <w:tcW w:w="2740" w:type="dxa"/>
            <w:vAlign w:val="bottom"/>
            <w:tcBorders>
              <w:top w:val="single" w:sz="8" w:color="0000EE"/>
            </w:tcBorders>
            <w:gridSpan w:val="21"/>
          </w:tcPr>
          <w:p>
            <w:pPr>
              <w:spacing w:after="0" w:line="172" w:lineRule="exact"/>
              <w:rPr>
                <w:rFonts w:ascii="Arial" w:cs="Arial" w:eastAsia="Arial" w:hAnsi="Arial"/>
                <w:sz w:val="17"/>
                <w:szCs w:val="17"/>
                <w:color w:val="0000EE"/>
              </w:rPr>
            </w:pPr>
            <w:hyperlink w:anchor="page20">
              <w:r>
                <w:rPr>
                  <w:rFonts w:ascii="Arial" w:cs="Arial" w:eastAsia="Arial" w:hAnsi="Arial"/>
                  <w:sz w:val="17"/>
                  <w:szCs w:val="17"/>
                  <w:color w:val="0000EE"/>
                </w:rPr>
                <w:t>Board Leadership Structure</w:t>
              </w:r>
            </w:hyperlink>
          </w:p>
        </w:tc>
        <w:tc>
          <w:tcPr>
            <w:tcW w:w="7860" w:type="dxa"/>
            <w:vAlign w:val="bottom"/>
            <w:gridSpan w:val="21"/>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15</w:t>
            </w:r>
          </w:p>
        </w:tc>
      </w:tr>
      <w:tr>
        <w:trPr>
          <w:trHeight w:val="172"/>
        </w:trPr>
        <w:tc>
          <w:tcPr>
            <w:tcW w:w="420" w:type="dxa"/>
            <w:vAlign w:val="bottom"/>
          </w:tcPr>
          <w:p>
            <w:pPr>
              <w:spacing w:after="0"/>
              <w:rPr>
                <w:sz w:val="14"/>
                <w:szCs w:val="14"/>
                <w:color w:val="auto"/>
              </w:rPr>
            </w:pPr>
          </w:p>
        </w:tc>
        <w:tc>
          <w:tcPr>
            <w:tcW w:w="1680" w:type="dxa"/>
            <w:vAlign w:val="bottom"/>
            <w:tcBorders>
              <w:top w:val="single" w:sz="8" w:color="0000EE"/>
              <w:bottom w:val="single" w:sz="8" w:color="0000EE"/>
            </w:tcBorders>
            <w:gridSpan w:val="8"/>
          </w:tcPr>
          <w:p>
            <w:pPr>
              <w:spacing w:after="0" w:line="172" w:lineRule="exact"/>
              <w:rPr>
                <w:rFonts w:ascii="Arial" w:cs="Arial" w:eastAsia="Arial" w:hAnsi="Arial"/>
                <w:sz w:val="17"/>
                <w:szCs w:val="17"/>
                <w:color w:val="0000EE"/>
                <w:w w:val="96"/>
              </w:rPr>
            </w:pPr>
            <w:hyperlink w:anchor="page21">
              <w:r>
                <w:rPr>
                  <w:rFonts w:ascii="Arial" w:cs="Arial" w:eastAsia="Arial" w:hAnsi="Arial"/>
                  <w:sz w:val="17"/>
                  <w:szCs w:val="17"/>
                  <w:color w:val="0000EE"/>
                  <w:w w:val="96"/>
                </w:rPr>
                <w:t>Director Independence</w:t>
              </w:r>
            </w:hyperlink>
          </w:p>
        </w:tc>
        <w:tc>
          <w:tcPr>
            <w:tcW w:w="400" w:type="dxa"/>
            <w:vAlign w:val="bottom"/>
            <w:tcBorders>
              <w:top w:val="single" w:sz="8" w:color="0000EE"/>
            </w:tcBorders>
            <w:gridSpan w:val="3"/>
          </w:tcPr>
          <w:p>
            <w:pPr>
              <w:spacing w:after="0"/>
              <w:rPr>
                <w:sz w:val="14"/>
                <w:szCs w:val="14"/>
                <w:color w:val="auto"/>
              </w:rPr>
            </w:pPr>
          </w:p>
        </w:tc>
        <w:tc>
          <w:tcPr>
            <w:tcW w:w="8520" w:type="dxa"/>
            <w:vAlign w:val="bottom"/>
            <w:gridSpan w:val="31"/>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16</w:t>
            </w:r>
          </w:p>
        </w:tc>
      </w:tr>
      <w:tr>
        <w:trPr>
          <w:trHeight w:val="172"/>
        </w:trPr>
        <w:tc>
          <w:tcPr>
            <w:tcW w:w="420" w:type="dxa"/>
            <w:vAlign w:val="bottom"/>
          </w:tcPr>
          <w:p>
            <w:pPr>
              <w:spacing w:after="0"/>
              <w:rPr>
                <w:sz w:val="14"/>
                <w:szCs w:val="14"/>
                <w:color w:val="auto"/>
              </w:rPr>
            </w:pPr>
          </w:p>
        </w:tc>
        <w:tc>
          <w:tcPr>
            <w:tcW w:w="2280" w:type="dxa"/>
            <w:vAlign w:val="bottom"/>
            <w:tcBorders>
              <w:bottom w:val="single" w:sz="8" w:color="0000EE"/>
            </w:tcBorders>
            <w:gridSpan w:val="12"/>
          </w:tcPr>
          <w:p>
            <w:pPr>
              <w:spacing w:after="0" w:line="172" w:lineRule="exact"/>
              <w:rPr>
                <w:rFonts w:ascii="Arial" w:cs="Arial" w:eastAsia="Arial" w:hAnsi="Arial"/>
                <w:sz w:val="17"/>
                <w:szCs w:val="17"/>
                <w:color w:val="0000EE"/>
                <w:w w:val="96"/>
              </w:rPr>
            </w:pPr>
            <w:hyperlink w:anchor="page21">
              <w:r>
                <w:rPr>
                  <w:rFonts w:ascii="Arial" w:cs="Arial" w:eastAsia="Arial" w:hAnsi="Arial"/>
                  <w:sz w:val="17"/>
                  <w:szCs w:val="17"/>
                  <w:color w:val="0000EE"/>
                  <w:w w:val="96"/>
                </w:rPr>
                <w:t>Oversight of Risk Management</w:t>
              </w:r>
            </w:hyperlink>
          </w:p>
        </w:tc>
        <w:tc>
          <w:tcPr>
            <w:tcW w:w="8320" w:type="dxa"/>
            <w:vAlign w:val="bottom"/>
            <w:gridSpan w:val="30"/>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16</w:t>
            </w:r>
          </w:p>
        </w:tc>
      </w:tr>
      <w:tr>
        <w:trPr>
          <w:trHeight w:val="172"/>
        </w:trPr>
        <w:tc>
          <w:tcPr>
            <w:tcW w:w="420" w:type="dxa"/>
            <w:vAlign w:val="bottom"/>
          </w:tcPr>
          <w:p>
            <w:pPr>
              <w:spacing w:after="0"/>
              <w:rPr>
                <w:sz w:val="14"/>
                <w:szCs w:val="14"/>
                <w:color w:val="auto"/>
              </w:rPr>
            </w:pPr>
          </w:p>
        </w:tc>
        <w:tc>
          <w:tcPr>
            <w:tcW w:w="3340" w:type="dxa"/>
            <w:vAlign w:val="bottom"/>
            <w:tcBorders>
              <w:bottom w:val="single" w:sz="8" w:color="0000EE"/>
            </w:tcBorders>
            <w:gridSpan w:val="26"/>
          </w:tcPr>
          <w:p>
            <w:pPr>
              <w:spacing w:after="0" w:line="172" w:lineRule="exact"/>
              <w:rPr>
                <w:rFonts w:ascii="Arial" w:cs="Arial" w:eastAsia="Arial" w:hAnsi="Arial"/>
                <w:sz w:val="17"/>
                <w:szCs w:val="17"/>
                <w:color w:val="0000EE"/>
                <w:w w:val="97"/>
              </w:rPr>
            </w:pPr>
            <w:hyperlink w:anchor="page22">
              <w:r>
                <w:rPr>
                  <w:rFonts w:ascii="Arial" w:cs="Arial" w:eastAsia="Arial" w:hAnsi="Arial"/>
                  <w:sz w:val="17"/>
                  <w:szCs w:val="17"/>
                  <w:color w:val="0000EE"/>
                  <w:w w:val="97"/>
                </w:rPr>
                <w:t>Review of Transactions with Related Persons</w:t>
              </w:r>
            </w:hyperlink>
          </w:p>
        </w:tc>
        <w:tc>
          <w:tcPr>
            <w:tcW w:w="7260" w:type="dxa"/>
            <w:vAlign w:val="bottom"/>
            <w:gridSpan w:val="16"/>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17</w:t>
            </w:r>
          </w:p>
        </w:tc>
      </w:tr>
      <w:tr>
        <w:trPr>
          <w:trHeight w:val="172"/>
        </w:trPr>
        <w:tc>
          <w:tcPr>
            <w:tcW w:w="420" w:type="dxa"/>
            <w:vAlign w:val="bottom"/>
          </w:tcPr>
          <w:p>
            <w:pPr>
              <w:spacing w:after="0"/>
              <w:rPr>
                <w:sz w:val="14"/>
                <w:szCs w:val="14"/>
                <w:color w:val="auto"/>
              </w:rPr>
            </w:pPr>
          </w:p>
        </w:tc>
        <w:tc>
          <w:tcPr>
            <w:tcW w:w="4280" w:type="dxa"/>
            <w:vAlign w:val="bottom"/>
            <w:tcBorders>
              <w:bottom w:val="single" w:sz="8" w:color="0000EE"/>
            </w:tcBorders>
            <w:gridSpan w:val="34"/>
          </w:tcPr>
          <w:p>
            <w:pPr>
              <w:spacing w:after="0" w:line="172" w:lineRule="exact"/>
              <w:rPr>
                <w:rFonts w:ascii="Arial" w:cs="Arial" w:eastAsia="Arial" w:hAnsi="Arial"/>
                <w:sz w:val="17"/>
                <w:szCs w:val="17"/>
                <w:color w:val="0000EE"/>
                <w:w w:val="97"/>
              </w:rPr>
            </w:pPr>
            <w:hyperlink w:anchor="page23">
              <w:r>
                <w:rPr>
                  <w:rFonts w:ascii="Arial" w:cs="Arial" w:eastAsia="Arial" w:hAnsi="Arial"/>
                  <w:sz w:val="17"/>
                  <w:szCs w:val="17"/>
                  <w:color w:val="0000EE"/>
                  <w:w w:val="97"/>
                </w:rPr>
                <w:t>Section 16(a) Beneficial Ownership Reporting Compliance</w:t>
              </w:r>
            </w:hyperlink>
          </w:p>
        </w:tc>
        <w:tc>
          <w:tcPr>
            <w:tcW w:w="6320" w:type="dxa"/>
            <w:vAlign w:val="bottom"/>
            <w:gridSpan w:val="8"/>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18</w:t>
            </w:r>
          </w:p>
        </w:tc>
      </w:tr>
      <w:tr>
        <w:trPr>
          <w:trHeight w:val="172"/>
        </w:trPr>
        <w:tc>
          <w:tcPr>
            <w:tcW w:w="420" w:type="dxa"/>
            <w:vAlign w:val="bottom"/>
          </w:tcPr>
          <w:p>
            <w:pPr>
              <w:spacing w:after="0"/>
              <w:rPr>
                <w:sz w:val="14"/>
                <w:szCs w:val="14"/>
                <w:color w:val="auto"/>
              </w:rPr>
            </w:pPr>
          </w:p>
        </w:tc>
        <w:tc>
          <w:tcPr>
            <w:tcW w:w="2340" w:type="dxa"/>
            <w:vAlign w:val="bottom"/>
            <w:tcBorders>
              <w:bottom w:val="single" w:sz="8" w:color="0000EE"/>
            </w:tcBorders>
            <w:gridSpan w:val="13"/>
          </w:tcPr>
          <w:p>
            <w:pPr>
              <w:spacing w:after="0" w:line="172" w:lineRule="exact"/>
              <w:rPr>
                <w:rFonts w:ascii="Arial" w:cs="Arial" w:eastAsia="Arial" w:hAnsi="Arial"/>
                <w:sz w:val="17"/>
                <w:szCs w:val="17"/>
                <w:color w:val="0000EE"/>
                <w:w w:val="96"/>
              </w:rPr>
            </w:pPr>
            <w:hyperlink w:anchor="page23">
              <w:r>
                <w:rPr>
                  <w:rFonts w:ascii="Arial" w:cs="Arial" w:eastAsia="Arial" w:hAnsi="Arial"/>
                  <w:sz w:val="17"/>
                  <w:szCs w:val="17"/>
                  <w:color w:val="0000EE"/>
                  <w:w w:val="96"/>
                </w:rPr>
                <w:t>Communications with the Board</w:t>
              </w:r>
            </w:hyperlink>
          </w:p>
        </w:tc>
        <w:tc>
          <w:tcPr>
            <w:tcW w:w="8260" w:type="dxa"/>
            <w:vAlign w:val="bottom"/>
            <w:gridSpan w:val="29"/>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18</w:t>
            </w:r>
          </w:p>
        </w:tc>
      </w:tr>
      <w:tr>
        <w:trPr>
          <w:trHeight w:val="274"/>
        </w:trPr>
        <w:tc>
          <w:tcPr>
            <w:tcW w:w="3320" w:type="dxa"/>
            <w:vAlign w:val="bottom"/>
            <w:tcBorders>
              <w:bottom w:val="single" w:sz="8" w:color="0000EE"/>
            </w:tcBorders>
            <w:gridSpan w:val="24"/>
          </w:tcPr>
          <w:p>
            <w:pPr>
              <w:spacing w:after="0"/>
              <w:rPr>
                <w:rFonts w:ascii="Arial" w:cs="Arial" w:eastAsia="Arial" w:hAnsi="Arial"/>
                <w:sz w:val="17"/>
                <w:szCs w:val="17"/>
                <w:color w:val="0000EE"/>
                <w:w w:val="97"/>
              </w:rPr>
            </w:pPr>
            <w:hyperlink w:anchor="page24">
              <w:r>
                <w:rPr>
                  <w:rFonts w:ascii="Arial" w:cs="Arial" w:eastAsia="Arial" w:hAnsi="Arial"/>
                  <w:sz w:val="17"/>
                  <w:szCs w:val="17"/>
                  <w:color w:val="0000EE"/>
                  <w:w w:val="97"/>
                </w:rPr>
                <w:t>BOARD COMMITTEES AND MEMBERSHIP</w:t>
              </w:r>
            </w:hyperlink>
          </w:p>
        </w:tc>
        <w:tc>
          <w:tcPr>
            <w:tcW w:w="7700" w:type="dxa"/>
            <w:vAlign w:val="bottom"/>
            <w:gridSpan w:val="19"/>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172"/>
        </w:trPr>
        <w:tc>
          <w:tcPr>
            <w:tcW w:w="420" w:type="dxa"/>
            <w:vAlign w:val="bottom"/>
          </w:tcPr>
          <w:p>
            <w:pPr>
              <w:spacing w:after="0"/>
              <w:rPr>
                <w:sz w:val="14"/>
                <w:szCs w:val="14"/>
                <w:color w:val="auto"/>
              </w:rPr>
            </w:pPr>
          </w:p>
        </w:tc>
        <w:tc>
          <w:tcPr>
            <w:tcW w:w="2360" w:type="dxa"/>
            <w:vAlign w:val="bottom"/>
            <w:tcBorders>
              <w:bottom w:val="single" w:sz="8" w:color="0000EE"/>
            </w:tcBorders>
            <w:gridSpan w:val="14"/>
          </w:tcPr>
          <w:p>
            <w:pPr>
              <w:spacing w:after="0" w:line="172" w:lineRule="exact"/>
              <w:rPr>
                <w:rFonts w:ascii="Arial" w:cs="Arial" w:eastAsia="Arial" w:hAnsi="Arial"/>
                <w:sz w:val="17"/>
                <w:szCs w:val="17"/>
                <w:color w:val="0000EE"/>
                <w:w w:val="96"/>
              </w:rPr>
            </w:pPr>
            <w:hyperlink w:anchor="page24">
              <w:r>
                <w:rPr>
                  <w:rFonts w:ascii="Arial" w:cs="Arial" w:eastAsia="Arial" w:hAnsi="Arial"/>
                  <w:sz w:val="17"/>
                  <w:szCs w:val="17"/>
                  <w:color w:val="0000EE"/>
                  <w:w w:val="96"/>
                </w:rPr>
                <w:t>Current Committee Membership</w:t>
              </w:r>
            </w:hyperlink>
          </w:p>
        </w:tc>
        <w:tc>
          <w:tcPr>
            <w:tcW w:w="8240" w:type="dxa"/>
            <w:vAlign w:val="bottom"/>
            <w:gridSpan w:val="28"/>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19</w:t>
            </w:r>
          </w:p>
        </w:tc>
      </w:tr>
      <w:tr>
        <w:trPr>
          <w:trHeight w:val="172"/>
        </w:trPr>
        <w:tc>
          <w:tcPr>
            <w:tcW w:w="420" w:type="dxa"/>
            <w:vAlign w:val="bottom"/>
          </w:tcPr>
          <w:p>
            <w:pPr>
              <w:spacing w:after="0"/>
              <w:rPr>
                <w:sz w:val="14"/>
                <w:szCs w:val="14"/>
                <w:color w:val="auto"/>
              </w:rPr>
            </w:pPr>
          </w:p>
        </w:tc>
        <w:tc>
          <w:tcPr>
            <w:tcW w:w="1500" w:type="dxa"/>
            <w:vAlign w:val="bottom"/>
            <w:tcBorders>
              <w:bottom w:val="single" w:sz="8" w:color="0000EE"/>
            </w:tcBorders>
            <w:gridSpan w:val="6"/>
          </w:tcPr>
          <w:p>
            <w:pPr>
              <w:spacing w:after="0" w:line="172" w:lineRule="exact"/>
              <w:rPr>
                <w:rFonts w:ascii="Arial" w:cs="Arial" w:eastAsia="Arial" w:hAnsi="Arial"/>
                <w:sz w:val="17"/>
                <w:szCs w:val="17"/>
                <w:color w:val="0000EE"/>
                <w:w w:val="97"/>
              </w:rPr>
            </w:pPr>
            <w:hyperlink w:anchor="page24">
              <w:r>
                <w:rPr>
                  <w:rFonts w:ascii="Arial" w:cs="Arial" w:eastAsia="Arial" w:hAnsi="Arial"/>
                  <w:sz w:val="17"/>
                  <w:szCs w:val="17"/>
                  <w:color w:val="0000EE"/>
                  <w:w w:val="97"/>
                </w:rPr>
                <w:t>Meeting Attendance</w:t>
              </w:r>
            </w:hyperlink>
          </w:p>
        </w:tc>
        <w:tc>
          <w:tcPr>
            <w:tcW w:w="9100" w:type="dxa"/>
            <w:vAlign w:val="bottom"/>
            <w:gridSpan w:val="36"/>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19</w:t>
            </w:r>
          </w:p>
        </w:tc>
      </w:tr>
      <w:tr>
        <w:trPr>
          <w:trHeight w:val="172"/>
        </w:trPr>
        <w:tc>
          <w:tcPr>
            <w:tcW w:w="420" w:type="dxa"/>
            <w:vAlign w:val="bottom"/>
          </w:tcPr>
          <w:p>
            <w:pPr>
              <w:spacing w:after="0"/>
              <w:rPr>
                <w:sz w:val="14"/>
                <w:szCs w:val="14"/>
                <w:color w:val="auto"/>
              </w:rPr>
            </w:pPr>
          </w:p>
        </w:tc>
        <w:tc>
          <w:tcPr>
            <w:tcW w:w="4840" w:type="dxa"/>
            <w:vAlign w:val="bottom"/>
            <w:tcBorders>
              <w:bottom w:val="single" w:sz="8" w:color="0000EE"/>
            </w:tcBorders>
            <w:gridSpan w:val="35"/>
          </w:tcPr>
          <w:p>
            <w:pPr>
              <w:spacing w:after="0" w:line="172" w:lineRule="exact"/>
              <w:rPr>
                <w:rFonts w:ascii="Arial" w:cs="Arial" w:eastAsia="Arial" w:hAnsi="Arial"/>
                <w:sz w:val="17"/>
                <w:szCs w:val="17"/>
                <w:color w:val="0000EE"/>
                <w:w w:val="97"/>
              </w:rPr>
            </w:pPr>
            <w:hyperlink w:anchor="page24">
              <w:r>
                <w:rPr>
                  <w:rFonts w:ascii="Arial" w:cs="Arial" w:eastAsia="Arial" w:hAnsi="Arial"/>
                  <w:sz w:val="17"/>
                  <w:szCs w:val="17"/>
                  <w:color w:val="0000EE"/>
                  <w:w w:val="97"/>
                </w:rPr>
                <w:t>Special Committees Related to Strategic Alternatives and Spin-off</w:t>
              </w:r>
            </w:hyperlink>
          </w:p>
        </w:tc>
        <w:tc>
          <w:tcPr>
            <w:tcW w:w="5760" w:type="dxa"/>
            <w:vAlign w:val="bottom"/>
            <w:gridSpan w:val="7"/>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19</w:t>
            </w:r>
          </w:p>
        </w:tc>
      </w:tr>
      <w:tr>
        <w:trPr>
          <w:trHeight w:val="172"/>
        </w:trPr>
        <w:tc>
          <w:tcPr>
            <w:tcW w:w="420" w:type="dxa"/>
            <w:vAlign w:val="bottom"/>
          </w:tcPr>
          <w:p>
            <w:pPr>
              <w:spacing w:after="0"/>
              <w:rPr>
                <w:sz w:val="14"/>
                <w:szCs w:val="14"/>
                <w:color w:val="auto"/>
              </w:rPr>
            </w:pPr>
          </w:p>
        </w:tc>
        <w:tc>
          <w:tcPr>
            <w:tcW w:w="10600" w:type="dxa"/>
            <w:vAlign w:val="bottom"/>
            <w:gridSpan w:val="42"/>
          </w:tcPr>
          <w:p>
            <w:pPr>
              <w:spacing w:after="0" w:line="172" w:lineRule="exact"/>
              <w:rPr>
                <w:rFonts w:ascii="Arial" w:cs="Arial" w:eastAsia="Arial" w:hAnsi="Arial"/>
                <w:sz w:val="17"/>
                <w:szCs w:val="17"/>
                <w:color w:val="0000EE"/>
              </w:rPr>
            </w:pPr>
            <w:hyperlink w:anchor="page24">
              <w:r>
                <w:rPr>
                  <w:rFonts w:ascii="Arial" w:cs="Arial" w:eastAsia="Arial" w:hAnsi="Arial"/>
                  <w:sz w:val="17"/>
                  <w:szCs w:val="17"/>
                  <w:color w:val="0000EE"/>
                </w:rPr>
                <w:t>Audit Committee</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19</w:t>
            </w:r>
          </w:p>
        </w:tc>
      </w:tr>
      <w:tr>
        <w:trPr>
          <w:trHeight w:val="20"/>
        </w:trPr>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2"/>
        </w:trPr>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0" w:type="dxa"/>
            <w:vAlign w:val="bottom"/>
            <w:gridSpan w:val="41"/>
          </w:tcPr>
          <w:p>
            <w:pPr>
              <w:spacing w:after="0" w:line="172" w:lineRule="exact"/>
              <w:rPr>
                <w:rFonts w:ascii="Arial" w:cs="Arial" w:eastAsia="Arial" w:hAnsi="Arial"/>
                <w:sz w:val="17"/>
                <w:szCs w:val="17"/>
                <w:color w:val="0000EE"/>
              </w:rPr>
            </w:pPr>
            <w:hyperlink w:anchor="page25">
              <w:r>
                <w:rPr>
                  <w:rFonts w:ascii="Arial" w:cs="Arial" w:eastAsia="Arial" w:hAnsi="Arial"/>
                  <w:sz w:val="17"/>
                  <w:szCs w:val="17"/>
                  <w:color w:val="0000EE"/>
                </w:rPr>
                <w:t>Audit Committee Report for the Year Ended December 31, 2011</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20</w:t>
            </w:r>
          </w:p>
        </w:tc>
      </w:tr>
      <w:tr>
        <w:trPr>
          <w:trHeight w:val="172"/>
        </w:trPr>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Borders>
              <w:top w:val="single" w:sz="8" w:color="0000EE"/>
              <w:bottom w:val="single" w:sz="8" w:color="0000EE"/>
            </w:tcBorders>
            <w:gridSpan w:val="9"/>
          </w:tcPr>
          <w:p>
            <w:pPr>
              <w:spacing w:after="0" w:line="172" w:lineRule="exact"/>
              <w:rPr>
                <w:rFonts w:ascii="Arial" w:cs="Arial" w:eastAsia="Arial" w:hAnsi="Arial"/>
                <w:sz w:val="17"/>
                <w:szCs w:val="17"/>
                <w:color w:val="0000EE"/>
                <w:w w:val="97"/>
              </w:rPr>
            </w:pPr>
            <w:hyperlink w:anchor="page27">
              <w:r>
                <w:rPr>
                  <w:rFonts w:ascii="Arial" w:cs="Arial" w:eastAsia="Arial" w:hAnsi="Arial"/>
                  <w:sz w:val="17"/>
                  <w:szCs w:val="17"/>
                  <w:color w:val="0000EE"/>
                  <w:w w:val="97"/>
                </w:rPr>
                <w:t>Pre-Approval Policies</w:t>
              </w:r>
            </w:hyperlink>
          </w:p>
        </w:tc>
        <w:tc>
          <w:tcPr>
            <w:tcW w:w="3100" w:type="dxa"/>
            <w:vAlign w:val="bottom"/>
            <w:tcBorders>
              <w:top w:val="single" w:sz="8" w:color="0000EE"/>
            </w:tcBorders>
            <w:gridSpan w:val="28"/>
          </w:tcPr>
          <w:p>
            <w:pPr>
              <w:spacing w:after="0"/>
              <w:rPr>
                <w:sz w:val="14"/>
                <w:szCs w:val="14"/>
                <w:color w:val="auto"/>
              </w:rPr>
            </w:pPr>
          </w:p>
        </w:tc>
        <w:tc>
          <w:tcPr>
            <w:tcW w:w="5500" w:type="dxa"/>
            <w:vAlign w:val="bottom"/>
            <w:gridSpan w:val="4"/>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22</w:t>
            </w:r>
          </w:p>
        </w:tc>
      </w:tr>
      <w:tr>
        <w:trPr>
          <w:trHeight w:val="172"/>
        </w:trPr>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40" w:type="dxa"/>
            <w:vAlign w:val="bottom"/>
            <w:tcBorders>
              <w:bottom w:val="single" w:sz="8" w:color="0000EE"/>
            </w:tcBorders>
            <w:gridSpan w:val="15"/>
          </w:tcPr>
          <w:p>
            <w:pPr>
              <w:spacing w:after="0" w:line="172" w:lineRule="exact"/>
              <w:rPr>
                <w:rFonts w:ascii="Arial" w:cs="Arial" w:eastAsia="Arial" w:hAnsi="Arial"/>
                <w:sz w:val="17"/>
                <w:szCs w:val="17"/>
                <w:color w:val="0000EE"/>
                <w:w w:val="97"/>
              </w:rPr>
            </w:pPr>
            <w:hyperlink w:anchor="page27">
              <w:r>
                <w:rPr>
                  <w:rFonts w:ascii="Arial" w:cs="Arial" w:eastAsia="Arial" w:hAnsi="Arial"/>
                  <w:sz w:val="17"/>
                  <w:szCs w:val="17"/>
                  <w:color w:val="0000EE"/>
                  <w:w w:val="97"/>
                </w:rPr>
                <w:t>Independent Auditors’ Fees</w:t>
              </w:r>
            </w:hyperlink>
          </w:p>
        </w:tc>
        <w:tc>
          <w:tcPr>
            <w:tcW w:w="8160" w:type="dxa"/>
            <w:vAlign w:val="bottom"/>
            <w:gridSpan w:val="26"/>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22</w:t>
            </w:r>
          </w:p>
        </w:tc>
      </w:tr>
      <w:tr>
        <w:trPr>
          <w:trHeight w:val="172"/>
        </w:trPr>
        <w:tc>
          <w:tcPr>
            <w:tcW w:w="420" w:type="dxa"/>
            <w:vAlign w:val="bottom"/>
          </w:tcPr>
          <w:p>
            <w:pPr>
              <w:spacing w:after="0"/>
              <w:rPr>
                <w:sz w:val="14"/>
                <w:szCs w:val="14"/>
                <w:color w:val="auto"/>
              </w:rPr>
            </w:pPr>
          </w:p>
        </w:tc>
        <w:tc>
          <w:tcPr>
            <w:tcW w:w="1440" w:type="dxa"/>
            <w:vAlign w:val="bottom"/>
            <w:tcBorders>
              <w:bottom w:val="single" w:sz="8" w:color="0000EE"/>
            </w:tcBorders>
            <w:gridSpan w:val="4"/>
          </w:tcPr>
          <w:p>
            <w:pPr>
              <w:spacing w:after="0" w:line="172" w:lineRule="exact"/>
              <w:rPr>
                <w:rFonts w:ascii="Arial" w:cs="Arial" w:eastAsia="Arial" w:hAnsi="Arial"/>
                <w:sz w:val="17"/>
                <w:szCs w:val="17"/>
                <w:color w:val="0000EE"/>
                <w:w w:val="96"/>
              </w:rPr>
            </w:pPr>
            <w:hyperlink w:anchor="page28">
              <w:r>
                <w:rPr>
                  <w:rFonts w:ascii="Arial" w:cs="Arial" w:eastAsia="Arial" w:hAnsi="Arial"/>
                  <w:sz w:val="17"/>
                  <w:szCs w:val="17"/>
                  <w:color w:val="0000EE"/>
                  <w:w w:val="96"/>
                </w:rPr>
                <w:t>Finance Committee</w:t>
              </w:r>
            </w:hyperlink>
          </w:p>
        </w:tc>
        <w:tc>
          <w:tcPr>
            <w:tcW w:w="9160" w:type="dxa"/>
            <w:vAlign w:val="bottom"/>
            <w:gridSpan w:val="38"/>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23</w:t>
            </w:r>
          </w:p>
        </w:tc>
      </w:tr>
      <w:tr>
        <w:trPr>
          <w:trHeight w:val="172"/>
        </w:trPr>
        <w:tc>
          <w:tcPr>
            <w:tcW w:w="420" w:type="dxa"/>
            <w:vAlign w:val="bottom"/>
          </w:tcPr>
          <w:p>
            <w:pPr>
              <w:spacing w:after="0"/>
              <w:rPr>
                <w:sz w:val="14"/>
                <w:szCs w:val="14"/>
                <w:color w:val="auto"/>
              </w:rPr>
            </w:pPr>
          </w:p>
        </w:tc>
        <w:tc>
          <w:tcPr>
            <w:tcW w:w="4100" w:type="dxa"/>
            <w:vAlign w:val="bottom"/>
            <w:tcBorders>
              <w:bottom w:val="single" w:sz="8" w:color="0000EE"/>
            </w:tcBorders>
            <w:gridSpan w:val="32"/>
          </w:tcPr>
          <w:p>
            <w:pPr>
              <w:spacing w:after="0" w:line="172" w:lineRule="exact"/>
              <w:rPr>
                <w:rFonts w:ascii="Arial" w:cs="Arial" w:eastAsia="Arial" w:hAnsi="Arial"/>
                <w:sz w:val="17"/>
                <w:szCs w:val="17"/>
                <w:color w:val="0000EE"/>
                <w:w w:val="97"/>
              </w:rPr>
            </w:pPr>
            <w:hyperlink w:anchor="page28">
              <w:r>
                <w:rPr>
                  <w:rFonts w:ascii="Arial" w:cs="Arial" w:eastAsia="Arial" w:hAnsi="Arial"/>
                  <w:sz w:val="17"/>
                  <w:szCs w:val="17"/>
                  <w:color w:val="0000EE"/>
                  <w:w w:val="97"/>
                </w:rPr>
                <w:t>Governance, Membership and Public Affairs Committee</w:t>
              </w:r>
            </w:hyperlink>
          </w:p>
        </w:tc>
        <w:tc>
          <w:tcPr>
            <w:tcW w:w="6500" w:type="dxa"/>
            <w:vAlign w:val="bottom"/>
            <w:gridSpan w:val="10"/>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23</w:t>
            </w:r>
          </w:p>
        </w:tc>
      </w:tr>
      <w:tr>
        <w:trPr>
          <w:trHeight w:val="172"/>
        </w:trPr>
        <w:tc>
          <w:tcPr>
            <w:tcW w:w="420" w:type="dxa"/>
            <w:vAlign w:val="bottom"/>
          </w:tcPr>
          <w:p>
            <w:pPr>
              <w:spacing w:after="0"/>
              <w:rPr>
                <w:sz w:val="14"/>
                <w:szCs w:val="14"/>
                <w:color w:val="auto"/>
              </w:rPr>
            </w:pPr>
          </w:p>
        </w:tc>
        <w:tc>
          <w:tcPr>
            <w:tcW w:w="10600" w:type="dxa"/>
            <w:vAlign w:val="bottom"/>
            <w:gridSpan w:val="42"/>
          </w:tcPr>
          <w:p>
            <w:pPr>
              <w:spacing w:after="0" w:line="172" w:lineRule="exact"/>
              <w:rPr>
                <w:rFonts w:ascii="Arial" w:cs="Arial" w:eastAsia="Arial" w:hAnsi="Arial"/>
                <w:sz w:val="17"/>
                <w:szCs w:val="17"/>
                <w:color w:val="0000EE"/>
              </w:rPr>
            </w:pPr>
            <w:hyperlink w:anchor="page29">
              <w:r>
                <w:rPr>
                  <w:rFonts w:ascii="Arial" w:cs="Arial" w:eastAsia="Arial" w:hAnsi="Arial"/>
                  <w:sz w:val="17"/>
                  <w:szCs w:val="17"/>
                  <w:color w:val="0000EE"/>
                </w:rPr>
                <w:t>Human Resources and Compensation Committee</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24</w:t>
            </w:r>
          </w:p>
        </w:tc>
      </w:tr>
      <w:tr>
        <w:trPr>
          <w:trHeight w:val="20"/>
        </w:trPr>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40" w:type="dxa"/>
            <w:vAlign w:val="bottom"/>
            <w:gridSpan w:val="8"/>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2"/>
        </w:trPr>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20" w:type="dxa"/>
            <w:vAlign w:val="bottom"/>
            <w:tcBorders>
              <w:bottom w:val="single" w:sz="8" w:color="0000EE"/>
            </w:tcBorders>
            <w:gridSpan w:val="35"/>
          </w:tcPr>
          <w:p>
            <w:pPr>
              <w:spacing w:after="0" w:line="172" w:lineRule="exact"/>
              <w:rPr>
                <w:rFonts w:ascii="Arial" w:cs="Arial" w:eastAsia="Arial" w:hAnsi="Arial"/>
                <w:sz w:val="17"/>
                <w:szCs w:val="17"/>
                <w:color w:val="0000EE"/>
                <w:w w:val="97"/>
              </w:rPr>
            </w:pPr>
            <w:hyperlink w:anchor="page29">
              <w:r>
                <w:rPr>
                  <w:rFonts w:ascii="Arial" w:cs="Arial" w:eastAsia="Arial" w:hAnsi="Arial"/>
                  <w:sz w:val="17"/>
                  <w:szCs w:val="17"/>
                  <w:color w:val="0000EE"/>
                  <w:w w:val="97"/>
                </w:rPr>
                <w:t>Compensation Committee Interlocks and Insider Participation</w:t>
              </w:r>
            </w:hyperlink>
          </w:p>
        </w:tc>
        <w:tc>
          <w:tcPr>
            <w:tcW w:w="5680" w:type="dxa"/>
            <w:vAlign w:val="bottom"/>
            <w:gridSpan w:val="6"/>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24</w:t>
            </w:r>
          </w:p>
        </w:tc>
      </w:tr>
      <w:tr>
        <w:trPr>
          <w:trHeight w:val="172"/>
        </w:trPr>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Borders>
              <w:bottom w:val="single" w:sz="8" w:color="0000EE"/>
            </w:tcBorders>
            <w:gridSpan w:val="6"/>
          </w:tcPr>
          <w:p>
            <w:pPr>
              <w:spacing w:after="0" w:line="172" w:lineRule="exact"/>
              <w:rPr>
                <w:rFonts w:ascii="Arial" w:cs="Arial" w:eastAsia="Arial" w:hAnsi="Arial"/>
                <w:sz w:val="17"/>
                <w:szCs w:val="17"/>
                <w:color w:val="0000EE"/>
                <w:w w:val="96"/>
              </w:rPr>
            </w:pPr>
            <w:hyperlink w:anchor="page29">
              <w:r>
                <w:rPr>
                  <w:rFonts w:ascii="Arial" w:cs="Arial" w:eastAsia="Arial" w:hAnsi="Arial"/>
                  <w:sz w:val="17"/>
                  <w:szCs w:val="17"/>
                  <w:color w:val="0000EE"/>
                  <w:w w:val="96"/>
                </w:rPr>
                <w:t>Responsibilities</w:t>
              </w:r>
            </w:hyperlink>
          </w:p>
        </w:tc>
        <w:tc>
          <w:tcPr>
            <w:tcW w:w="9040" w:type="dxa"/>
            <w:vAlign w:val="bottom"/>
            <w:gridSpan w:val="35"/>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24</w:t>
            </w:r>
          </w:p>
        </w:tc>
      </w:tr>
      <w:tr>
        <w:trPr>
          <w:trHeight w:val="172"/>
        </w:trPr>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tcBorders>
              <w:bottom w:val="single" w:sz="8" w:color="0000EE"/>
            </w:tcBorders>
            <w:gridSpan w:val="14"/>
          </w:tcPr>
          <w:p>
            <w:pPr>
              <w:spacing w:after="0" w:line="172" w:lineRule="exact"/>
              <w:rPr>
                <w:rFonts w:ascii="Arial" w:cs="Arial" w:eastAsia="Arial" w:hAnsi="Arial"/>
                <w:sz w:val="17"/>
                <w:szCs w:val="17"/>
                <w:color w:val="0000EE"/>
                <w:w w:val="96"/>
              </w:rPr>
            </w:pPr>
            <w:hyperlink w:anchor="page30">
              <w:r>
                <w:rPr>
                  <w:rFonts w:ascii="Arial" w:cs="Arial" w:eastAsia="Arial" w:hAnsi="Arial"/>
                  <w:sz w:val="17"/>
                  <w:szCs w:val="17"/>
                  <w:color w:val="0000EE"/>
                  <w:w w:val="96"/>
                </w:rPr>
                <w:t>Processes and Procedures</w:t>
              </w:r>
            </w:hyperlink>
          </w:p>
        </w:tc>
        <w:tc>
          <w:tcPr>
            <w:tcW w:w="8200" w:type="dxa"/>
            <w:vAlign w:val="bottom"/>
            <w:gridSpan w:val="27"/>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25</w:t>
            </w:r>
          </w:p>
        </w:tc>
      </w:tr>
      <w:tr>
        <w:trPr>
          <w:trHeight w:val="172"/>
        </w:trPr>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520" w:type="dxa"/>
            <w:vAlign w:val="bottom"/>
            <w:tcBorders>
              <w:bottom w:val="single" w:sz="8" w:color="0000EE"/>
            </w:tcBorders>
            <w:gridSpan w:val="35"/>
          </w:tcPr>
          <w:p>
            <w:pPr>
              <w:spacing w:after="0" w:line="172" w:lineRule="exact"/>
              <w:rPr>
                <w:rFonts w:ascii="Arial" w:cs="Arial" w:eastAsia="Arial" w:hAnsi="Arial"/>
                <w:sz w:val="17"/>
                <w:szCs w:val="17"/>
                <w:color w:val="0000EE"/>
                <w:w w:val="97"/>
              </w:rPr>
            </w:pPr>
            <w:hyperlink w:anchor="page30">
              <w:r>
                <w:rPr>
                  <w:rFonts w:ascii="Arial" w:cs="Arial" w:eastAsia="Arial" w:hAnsi="Arial"/>
                  <w:sz w:val="17"/>
                  <w:szCs w:val="17"/>
                  <w:color w:val="0000EE"/>
                  <w:w w:val="97"/>
                </w:rPr>
                <w:t>Independence of Compensation Consultant to the Committee</w:t>
              </w:r>
            </w:hyperlink>
          </w:p>
        </w:tc>
        <w:tc>
          <w:tcPr>
            <w:tcW w:w="5680" w:type="dxa"/>
            <w:vAlign w:val="bottom"/>
            <w:gridSpan w:val="6"/>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25</w:t>
            </w:r>
          </w:p>
        </w:tc>
      </w:tr>
      <w:tr>
        <w:trPr>
          <w:trHeight w:val="172"/>
        </w:trPr>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80" w:type="dxa"/>
            <w:vAlign w:val="bottom"/>
            <w:tcBorders>
              <w:bottom w:val="single" w:sz="8" w:color="0000EE"/>
            </w:tcBorders>
            <w:gridSpan w:val="30"/>
          </w:tcPr>
          <w:p>
            <w:pPr>
              <w:spacing w:after="0" w:line="172" w:lineRule="exact"/>
              <w:rPr>
                <w:rFonts w:ascii="Arial" w:cs="Arial" w:eastAsia="Arial" w:hAnsi="Arial"/>
                <w:sz w:val="17"/>
                <w:szCs w:val="17"/>
                <w:color w:val="0000EE"/>
                <w:w w:val="97"/>
              </w:rPr>
            </w:pPr>
            <w:hyperlink w:anchor="page31">
              <w:r>
                <w:rPr>
                  <w:rFonts w:ascii="Arial" w:cs="Arial" w:eastAsia="Arial" w:hAnsi="Arial"/>
                  <w:sz w:val="17"/>
                  <w:szCs w:val="17"/>
                  <w:color w:val="0000EE"/>
                  <w:w w:val="97"/>
                </w:rPr>
                <w:t>Analysis of Risk in the Compensation Architecture</w:t>
              </w:r>
            </w:hyperlink>
          </w:p>
        </w:tc>
        <w:tc>
          <w:tcPr>
            <w:tcW w:w="6520" w:type="dxa"/>
            <w:vAlign w:val="bottom"/>
            <w:gridSpan w:val="11"/>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26</w:t>
            </w:r>
          </w:p>
        </w:tc>
      </w:tr>
      <w:tr>
        <w:trPr>
          <w:trHeight w:val="172"/>
        </w:trPr>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0" w:type="dxa"/>
            <w:vAlign w:val="bottom"/>
            <w:gridSpan w:val="41"/>
          </w:tcPr>
          <w:p>
            <w:pPr>
              <w:spacing w:after="0" w:line="172" w:lineRule="exact"/>
              <w:rPr>
                <w:rFonts w:ascii="Arial" w:cs="Arial" w:eastAsia="Arial" w:hAnsi="Arial"/>
                <w:sz w:val="17"/>
                <w:szCs w:val="17"/>
                <w:color w:val="0000EE"/>
              </w:rPr>
            </w:pPr>
            <w:hyperlink w:anchor="page32">
              <w:r>
                <w:rPr>
                  <w:rFonts w:ascii="Arial" w:cs="Arial" w:eastAsia="Arial" w:hAnsi="Arial"/>
                  <w:sz w:val="17"/>
                  <w:szCs w:val="17"/>
                  <w:color w:val="0000EE"/>
                </w:rPr>
                <w:t>Human Resources and Compensation Committee Report for the Year Ended December 31, 2011</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27</w:t>
            </w:r>
          </w:p>
        </w:tc>
      </w:tr>
      <w:tr>
        <w:trPr>
          <w:trHeight w:val="20"/>
        </w:trPr>
        <w:tc>
          <w:tcPr>
            <w:tcW w:w="820" w:type="dxa"/>
            <w:vAlign w:val="bottom"/>
            <w:gridSpan w:val="2"/>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100" w:type="dxa"/>
            <w:vAlign w:val="bottom"/>
            <w:gridSpan w:val="1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74"/>
        </w:trPr>
        <w:tc>
          <w:tcPr>
            <w:tcW w:w="11020" w:type="dxa"/>
            <w:vAlign w:val="bottom"/>
            <w:gridSpan w:val="43"/>
          </w:tcPr>
          <w:p>
            <w:pPr>
              <w:spacing w:after="0"/>
              <w:rPr>
                <w:rFonts w:ascii="Arial" w:cs="Arial" w:eastAsia="Arial" w:hAnsi="Arial"/>
                <w:sz w:val="17"/>
                <w:szCs w:val="17"/>
                <w:color w:val="0000EE"/>
              </w:rPr>
            </w:pPr>
            <w:hyperlink w:anchor="page33">
              <w:r>
                <w:rPr>
                  <w:rFonts w:ascii="Arial" w:cs="Arial" w:eastAsia="Arial" w:hAnsi="Arial"/>
                  <w:sz w:val="17"/>
                  <w:szCs w:val="17"/>
                  <w:color w:val="0000EE"/>
                </w:rPr>
                <w:t>COMPENSATION OF NON-EMPLOYEE DIRECTORS</w:t>
              </w:r>
            </w:hyperlink>
          </w:p>
        </w:tc>
        <w:tc>
          <w:tcPr>
            <w:tcW w:w="3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74"/>
        </w:trPr>
        <w:tc>
          <w:tcPr>
            <w:tcW w:w="4080" w:type="dxa"/>
            <w:vAlign w:val="bottom"/>
            <w:tcBorders>
              <w:top w:val="single" w:sz="8" w:color="0000EE"/>
            </w:tcBorders>
            <w:gridSpan w:val="29"/>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COMPENSATION DISCUSSION AND ANALYSIS</w:t>
              </w:r>
            </w:hyperlink>
          </w:p>
        </w:tc>
        <w:tc>
          <w:tcPr>
            <w:tcW w:w="6940" w:type="dxa"/>
            <w:vAlign w:val="bottom"/>
            <w:gridSpan w:val="14"/>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172"/>
        </w:trPr>
        <w:tc>
          <w:tcPr>
            <w:tcW w:w="420" w:type="dxa"/>
            <w:vAlign w:val="bottom"/>
            <w:tcBorders>
              <w:top w:val="single" w:sz="8" w:color="0000EE"/>
            </w:tcBorders>
          </w:tcPr>
          <w:p>
            <w:pPr>
              <w:spacing w:after="0"/>
              <w:rPr>
                <w:sz w:val="14"/>
                <w:szCs w:val="14"/>
                <w:color w:val="auto"/>
              </w:rPr>
            </w:pPr>
          </w:p>
        </w:tc>
        <w:tc>
          <w:tcPr>
            <w:tcW w:w="1480" w:type="dxa"/>
            <w:vAlign w:val="bottom"/>
            <w:tcBorders>
              <w:top w:val="single" w:sz="8" w:color="0000EE"/>
              <w:bottom w:val="single" w:sz="8" w:color="0000EE"/>
            </w:tcBorders>
            <w:gridSpan w:val="5"/>
          </w:tcPr>
          <w:p>
            <w:pPr>
              <w:spacing w:after="0" w:line="172" w:lineRule="exact"/>
              <w:rPr>
                <w:rFonts w:ascii="Arial" w:cs="Arial" w:eastAsia="Arial" w:hAnsi="Arial"/>
                <w:sz w:val="17"/>
                <w:szCs w:val="17"/>
                <w:color w:val="0000EE"/>
                <w:w w:val="96"/>
              </w:rPr>
            </w:pPr>
            <w:hyperlink w:anchor="page36">
              <w:r>
                <w:rPr>
                  <w:rFonts w:ascii="Arial" w:cs="Arial" w:eastAsia="Arial" w:hAnsi="Arial"/>
                  <w:sz w:val="17"/>
                  <w:szCs w:val="17"/>
                  <w:color w:val="0000EE"/>
                  <w:w w:val="96"/>
                </w:rPr>
                <w:t>Executive Summary</w:t>
              </w:r>
            </w:hyperlink>
          </w:p>
        </w:tc>
        <w:tc>
          <w:tcPr>
            <w:tcW w:w="1760" w:type="dxa"/>
            <w:vAlign w:val="bottom"/>
            <w:tcBorders>
              <w:top w:val="single" w:sz="8" w:color="0000EE"/>
            </w:tcBorders>
            <w:gridSpan w:val="19"/>
          </w:tcPr>
          <w:p>
            <w:pPr>
              <w:spacing w:after="0"/>
              <w:rPr>
                <w:sz w:val="14"/>
                <w:szCs w:val="14"/>
                <w:color w:val="auto"/>
              </w:rPr>
            </w:pPr>
          </w:p>
        </w:tc>
        <w:tc>
          <w:tcPr>
            <w:tcW w:w="7360" w:type="dxa"/>
            <w:vAlign w:val="bottom"/>
            <w:gridSpan w:val="18"/>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31</w:t>
            </w:r>
          </w:p>
        </w:tc>
      </w:tr>
      <w:tr>
        <w:trPr>
          <w:trHeight w:val="172"/>
        </w:trPr>
        <w:tc>
          <w:tcPr>
            <w:tcW w:w="420" w:type="dxa"/>
            <w:vAlign w:val="bottom"/>
          </w:tcPr>
          <w:p>
            <w:pPr>
              <w:spacing w:after="0"/>
              <w:rPr>
                <w:sz w:val="14"/>
                <w:szCs w:val="14"/>
                <w:color w:val="auto"/>
              </w:rPr>
            </w:pPr>
          </w:p>
        </w:tc>
        <w:tc>
          <w:tcPr>
            <w:tcW w:w="10600" w:type="dxa"/>
            <w:vAlign w:val="bottom"/>
            <w:gridSpan w:val="42"/>
          </w:tcPr>
          <w:p>
            <w:pPr>
              <w:spacing w:after="0" w:line="172" w:lineRule="exact"/>
              <w:rPr>
                <w:rFonts w:ascii="Arial" w:cs="Arial" w:eastAsia="Arial" w:hAnsi="Arial"/>
                <w:sz w:val="17"/>
                <w:szCs w:val="17"/>
                <w:color w:val="0000EE"/>
              </w:rPr>
            </w:pPr>
            <w:hyperlink w:anchor="page38">
              <w:r>
                <w:rPr>
                  <w:rFonts w:ascii="Arial" w:cs="Arial" w:eastAsia="Arial" w:hAnsi="Arial"/>
                  <w:sz w:val="17"/>
                  <w:szCs w:val="17"/>
                  <w:color w:val="0000EE"/>
                </w:rPr>
                <w:t>How the Committee Considered the Shareholder Advisory Vote on our 2010 Executive Compensation Program</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33</w:t>
            </w:r>
          </w:p>
        </w:tc>
      </w:tr>
      <w:tr>
        <w:trPr>
          <w:trHeight w:val="172"/>
        </w:trPr>
        <w:tc>
          <w:tcPr>
            <w:tcW w:w="420" w:type="dxa"/>
            <w:vAlign w:val="bottom"/>
          </w:tcPr>
          <w:p>
            <w:pPr>
              <w:spacing w:after="0"/>
              <w:rPr>
                <w:sz w:val="14"/>
                <w:szCs w:val="14"/>
                <w:color w:val="auto"/>
              </w:rPr>
            </w:pPr>
          </w:p>
        </w:tc>
        <w:tc>
          <w:tcPr>
            <w:tcW w:w="2640" w:type="dxa"/>
            <w:vAlign w:val="bottom"/>
            <w:tcBorders>
              <w:top w:val="single" w:sz="8" w:color="0000EE"/>
              <w:bottom w:val="single" w:sz="8" w:color="0000EE"/>
            </w:tcBorders>
            <w:gridSpan w:val="19"/>
          </w:tcPr>
          <w:p>
            <w:pPr>
              <w:spacing w:after="0" w:line="172" w:lineRule="exact"/>
              <w:rPr>
                <w:rFonts w:ascii="Arial" w:cs="Arial" w:eastAsia="Arial" w:hAnsi="Arial"/>
                <w:sz w:val="17"/>
                <w:szCs w:val="17"/>
                <w:color w:val="0000EE"/>
                <w:w w:val="96"/>
              </w:rPr>
            </w:pPr>
            <w:hyperlink w:anchor="page39">
              <w:r>
                <w:rPr>
                  <w:rFonts w:ascii="Arial" w:cs="Arial" w:eastAsia="Arial" w:hAnsi="Arial"/>
                  <w:sz w:val="17"/>
                  <w:szCs w:val="17"/>
                  <w:color w:val="0000EE"/>
                  <w:w w:val="96"/>
                </w:rPr>
                <w:t>Our Compensation Program Design</w:t>
              </w:r>
            </w:hyperlink>
          </w:p>
        </w:tc>
        <w:tc>
          <w:tcPr>
            <w:tcW w:w="5500" w:type="dxa"/>
            <w:vAlign w:val="bottom"/>
            <w:tcBorders>
              <w:top w:val="single" w:sz="8" w:color="0000EE"/>
            </w:tcBorders>
            <w:gridSpan w:val="22"/>
          </w:tcPr>
          <w:p>
            <w:pPr>
              <w:spacing w:after="0"/>
              <w:rPr>
                <w:sz w:val="14"/>
                <w:szCs w:val="14"/>
                <w:color w:val="auto"/>
              </w:rPr>
            </w:pPr>
          </w:p>
        </w:tc>
        <w:tc>
          <w:tcPr>
            <w:tcW w:w="2460" w:type="dxa"/>
            <w:vAlign w:val="bottom"/>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33</w:t>
            </w:r>
          </w:p>
        </w:tc>
      </w:tr>
      <w:tr>
        <w:trPr>
          <w:trHeight w:val="172"/>
        </w:trPr>
        <w:tc>
          <w:tcPr>
            <w:tcW w:w="420" w:type="dxa"/>
            <w:vAlign w:val="bottom"/>
          </w:tcPr>
          <w:p>
            <w:pPr>
              <w:spacing w:after="0"/>
              <w:rPr>
                <w:sz w:val="14"/>
                <w:szCs w:val="14"/>
                <w:color w:val="auto"/>
              </w:rPr>
            </w:pPr>
          </w:p>
        </w:tc>
        <w:tc>
          <w:tcPr>
            <w:tcW w:w="2760" w:type="dxa"/>
            <w:vAlign w:val="bottom"/>
            <w:tcBorders>
              <w:bottom w:val="single" w:sz="8" w:color="0000EE"/>
            </w:tcBorders>
            <w:gridSpan w:val="22"/>
          </w:tcPr>
          <w:p>
            <w:pPr>
              <w:spacing w:after="0" w:line="172" w:lineRule="exact"/>
              <w:rPr>
                <w:rFonts w:ascii="Arial" w:cs="Arial" w:eastAsia="Arial" w:hAnsi="Arial"/>
                <w:sz w:val="17"/>
                <w:szCs w:val="17"/>
                <w:color w:val="0000EE"/>
                <w:w w:val="96"/>
              </w:rPr>
            </w:pPr>
            <w:hyperlink w:anchor="page42">
              <w:r>
                <w:rPr>
                  <w:rFonts w:ascii="Arial" w:cs="Arial" w:eastAsia="Arial" w:hAnsi="Arial"/>
                  <w:sz w:val="17"/>
                  <w:szCs w:val="17"/>
                  <w:color w:val="0000EE"/>
                  <w:w w:val="96"/>
                </w:rPr>
                <w:t>Elements of Executive Compensation</w:t>
              </w:r>
            </w:hyperlink>
          </w:p>
        </w:tc>
        <w:tc>
          <w:tcPr>
            <w:tcW w:w="7840" w:type="dxa"/>
            <w:vAlign w:val="bottom"/>
            <w:gridSpan w:val="20"/>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37</w:t>
            </w:r>
          </w:p>
        </w:tc>
      </w:tr>
      <w:tr>
        <w:trPr>
          <w:trHeight w:val="172"/>
        </w:trPr>
        <w:tc>
          <w:tcPr>
            <w:tcW w:w="420" w:type="dxa"/>
            <w:vAlign w:val="bottom"/>
          </w:tcPr>
          <w:p>
            <w:pPr>
              <w:spacing w:after="0"/>
              <w:rPr>
                <w:sz w:val="14"/>
                <w:szCs w:val="14"/>
                <w:color w:val="auto"/>
              </w:rPr>
            </w:pPr>
          </w:p>
        </w:tc>
        <w:tc>
          <w:tcPr>
            <w:tcW w:w="10600" w:type="dxa"/>
            <w:vAlign w:val="bottom"/>
            <w:gridSpan w:val="42"/>
          </w:tcPr>
          <w:p>
            <w:pPr>
              <w:spacing w:after="0" w:line="172" w:lineRule="exact"/>
              <w:rPr>
                <w:rFonts w:ascii="Arial" w:cs="Arial" w:eastAsia="Arial" w:hAnsi="Arial"/>
                <w:sz w:val="17"/>
                <w:szCs w:val="17"/>
                <w:color w:val="0000EE"/>
              </w:rPr>
            </w:pPr>
            <w:hyperlink w:anchor="page53">
              <w:r>
                <w:rPr>
                  <w:rFonts w:ascii="Arial" w:cs="Arial" w:eastAsia="Arial" w:hAnsi="Arial"/>
                  <w:sz w:val="17"/>
                  <w:szCs w:val="17"/>
                  <w:color w:val="0000EE"/>
                </w:rPr>
                <w:t>Compensation Paid to Named Executive Officers in 2011</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48</w:t>
            </w:r>
          </w:p>
        </w:tc>
      </w:tr>
      <w:tr>
        <w:trPr>
          <w:trHeight w:val="172"/>
        </w:trPr>
        <w:tc>
          <w:tcPr>
            <w:tcW w:w="420" w:type="dxa"/>
            <w:vAlign w:val="bottom"/>
          </w:tcPr>
          <w:p>
            <w:pPr>
              <w:spacing w:after="0"/>
              <w:rPr>
                <w:sz w:val="14"/>
                <w:szCs w:val="14"/>
                <w:color w:val="auto"/>
              </w:rPr>
            </w:pPr>
          </w:p>
        </w:tc>
        <w:tc>
          <w:tcPr>
            <w:tcW w:w="3720" w:type="dxa"/>
            <w:vAlign w:val="bottom"/>
            <w:tcBorders>
              <w:top w:val="single" w:sz="8" w:color="0000EE"/>
              <w:bottom w:val="single" w:sz="8" w:color="0000EE"/>
            </w:tcBorders>
            <w:gridSpan w:val="29"/>
          </w:tcPr>
          <w:p>
            <w:pPr>
              <w:spacing w:after="0" w:line="172" w:lineRule="exact"/>
              <w:rPr>
                <w:rFonts w:ascii="Arial" w:cs="Arial" w:eastAsia="Arial" w:hAnsi="Arial"/>
                <w:sz w:val="17"/>
                <w:szCs w:val="17"/>
                <w:color w:val="0000EE"/>
                <w:w w:val="97"/>
              </w:rPr>
            </w:pPr>
            <w:hyperlink w:anchor="page56">
              <w:r>
                <w:rPr>
                  <w:rFonts w:ascii="Arial" w:cs="Arial" w:eastAsia="Arial" w:hAnsi="Arial"/>
                  <w:sz w:val="17"/>
                  <w:szCs w:val="17"/>
                  <w:color w:val="0000EE"/>
                  <w:w w:val="97"/>
                </w:rPr>
                <w:t>Additional Information on Compensation Principles</w:t>
              </w:r>
            </w:hyperlink>
          </w:p>
        </w:tc>
        <w:tc>
          <w:tcPr>
            <w:tcW w:w="460" w:type="dxa"/>
            <w:vAlign w:val="bottom"/>
            <w:tcBorders>
              <w:top w:val="single" w:sz="8" w:color="0000EE"/>
            </w:tcBorders>
            <w:gridSpan w:val="4"/>
          </w:tcPr>
          <w:p>
            <w:pPr>
              <w:spacing w:after="0"/>
              <w:rPr>
                <w:sz w:val="14"/>
                <w:szCs w:val="14"/>
                <w:color w:val="auto"/>
              </w:rPr>
            </w:pPr>
          </w:p>
        </w:tc>
        <w:tc>
          <w:tcPr>
            <w:tcW w:w="6420" w:type="dxa"/>
            <w:vAlign w:val="bottom"/>
            <w:gridSpan w:val="9"/>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51</w:t>
            </w:r>
          </w:p>
        </w:tc>
      </w:tr>
      <w:tr>
        <w:trPr>
          <w:trHeight w:val="172"/>
        </w:trPr>
        <w:tc>
          <w:tcPr>
            <w:tcW w:w="420" w:type="dxa"/>
            <w:vAlign w:val="bottom"/>
          </w:tcPr>
          <w:p>
            <w:pPr>
              <w:spacing w:after="0"/>
              <w:rPr>
                <w:sz w:val="14"/>
                <w:szCs w:val="14"/>
                <w:color w:val="auto"/>
              </w:rPr>
            </w:pPr>
          </w:p>
        </w:tc>
        <w:tc>
          <w:tcPr>
            <w:tcW w:w="10600" w:type="dxa"/>
            <w:vAlign w:val="bottom"/>
            <w:gridSpan w:val="42"/>
          </w:tcPr>
          <w:p>
            <w:pPr>
              <w:spacing w:after="0" w:line="172" w:lineRule="exact"/>
              <w:rPr>
                <w:rFonts w:ascii="Arial" w:cs="Arial" w:eastAsia="Arial" w:hAnsi="Arial"/>
                <w:sz w:val="17"/>
                <w:szCs w:val="17"/>
                <w:color w:val="0000EE"/>
              </w:rPr>
            </w:pPr>
            <w:hyperlink w:anchor="page58">
              <w:r>
                <w:rPr>
                  <w:rFonts w:ascii="Arial" w:cs="Arial" w:eastAsia="Arial" w:hAnsi="Arial"/>
                  <w:sz w:val="17"/>
                  <w:szCs w:val="17"/>
                  <w:color w:val="0000EE"/>
                </w:rPr>
                <w:t>Policy on Recoupment of Executive Incentive Compensation in the Event of Certain Restatements</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53</w:t>
            </w:r>
          </w:p>
        </w:tc>
      </w:tr>
      <w:tr>
        <w:trPr>
          <w:trHeight w:val="172"/>
        </w:trPr>
        <w:tc>
          <w:tcPr>
            <w:tcW w:w="420" w:type="dxa"/>
            <w:vAlign w:val="bottom"/>
          </w:tcPr>
          <w:p>
            <w:pPr>
              <w:spacing w:after="0"/>
              <w:rPr>
                <w:sz w:val="14"/>
                <w:szCs w:val="14"/>
                <w:color w:val="auto"/>
              </w:rPr>
            </w:pPr>
          </w:p>
        </w:tc>
        <w:tc>
          <w:tcPr>
            <w:tcW w:w="7200" w:type="dxa"/>
            <w:vAlign w:val="bottom"/>
            <w:tcBorders>
              <w:top w:val="single" w:sz="8" w:color="0000EE"/>
            </w:tcBorders>
            <w:gridSpan w:val="39"/>
          </w:tcPr>
          <w:p>
            <w:pPr>
              <w:spacing w:after="0" w:line="172" w:lineRule="exact"/>
              <w:rPr>
                <w:rFonts w:ascii="Arial" w:cs="Arial" w:eastAsia="Arial" w:hAnsi="Arial"/>
                <w:sz w:val="17"/>
                <w:szCs w:val="17"/>
                <w:color w:val="0000EE"/>
              </w:rPr>
            </w:pPr>
            <w:hyperlink w:anchor="page59">
              <w:r>
                <w:rPr>
                  <w:rFonts w:ascii="Arial" w:cs="Arial" w:eastAsia="Arial" w:hAnsi="Arial"/>
                  <w:sz w:val="17"/>
                  <w:szCs w:val="17"/>
                  <w:color w:val="0000EE"/>
                </w:rPr>
                <w:t>Anti-Hedging Policy and Trading Restrictions</w:t>
              </w:r>
            </w:hyperlink>
          </w:p>
        </w:tc>
        <w:tc>
          <w:tcPr>
            <w:tcW w:w="3400" w:type="dxa"/>
            <w:vAlign w:val="bottom"/>
            <w:gridSpan w:val="3"/>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54</w:t>
            </w:r>
          </w:p>
        </w:tc>
      </w:tr>
      <w:tr>
        <w:trPr>
          <w:trHeight w:val="20"/>
        </w:trPr>
        <w:tc>
          <w:tcPr>
            <w:tcW w:w="420" w:type="dxa"/>
            <w:vAlign w:val="bottom"/>
          </w:tcPr>
          <w:p>
            <w:pPr>
              <w:spacing w:after="0" w:line="20" w:lineRule="exact"/>
              <w:rPr>
                <w:sz w:val="1"/>
                <w:szCs w:val="1"/>
                <w:color w:val="auto"/>
              </w:rPr>
            </w:pPr>
          </w:p>
        </w:tc>
        <w:tc>
          <w:tcPr>
            <w:tcW w:w="2580" w:type="dxa"/>
            <w:vAlign w:val="bottom"/>
            <w:gridSpan w:val="1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5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72"/>
        </w:trPr>
        <w:tc>
          <w:tcPr>
            <w:tcW w:w="420" w:type="dxa"/>
            <w:vAlign w:val="bottom"/>
          </w:tcPr>
          <w:p>
            <w:pPr>
              <w:spacing w:after="0"/>
              <w:rPr>
                <w:sz w:val="14"/>
                <w:szCs w:val="14"/>
                <w:color w:val="auto"/>
              </w:rPr>
            </w:pPr>
          </w:p>
        </w:tc>
        <w:tc>
          <w:tcPr>
            <w:tcW w:w="5020" w:type="dxa"/>
            <w:vAlign w:val="bottom"/>
            <w:tcBorders>
              <w:bottom w:val="single" w:sz="8" w:color="0000EE"/>
            </w:tcBorders>
            <w:gridSpan w:val="37"/>
          </w:tcPr>
          <w:p>
            <w:pPr>
              <w:spacing w:after="0" w:line="172" w:lineRule="exact"/>
              <w:rPr>
                <w:rFonts w:ascii="Arial" w:cs="Arial" w:eastAsia="Arial" w:hAnsi="Arial"/>
                <w:sz w:val="17"/>
                <w:szCs w:val="17"/>
                <w:color w:val="0000EE"/>
                <w:w w:val="97"/>
              </w:rPr>
            </w:pPr>
            <w:hyperlink w:anchor="page59">
              <w:r>
                <w:rPr>
                  <w:rFonts w:ascii="Arial" w:cs="Arial" w:eastAsia="Arial" w:hAnsi="Arial"/>
                  <w:sz w:val="17"/>
                  <w:szCs w:val="17"/>
                  <w:color w:val="0000EE"/>
                  <w:w w:val="97"/>
                </w:rPr>
                <w:t>Policy with Respect to Qualifying Compensation for Tax Deductibility</w:t>
              </w:r>
            </w:hyperlink>
          </w:p>
        </w:tc>
        <w:tc>
          <w:tcPr>
            <w:tcW w:w="5580" w:type="dxa"/>
            <w:vAlign w:val="bottom"/>
            <w:gridSpan w:val="5"/>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54</w:t>
            </w:r>
          </w:p>
        </w:tc>
      </w:tr>
      <w:tr>
        <w:trPr>
          <w:trHeight w:val="274"/>
        </w:trPr>
        <w:tc>
          <w:tcPr>
            <w:tcW w:w="3000" w:type="dxa"/>
            <w:vAlign w:val="bottom"/>
            <w:tcBorders>
              <w:bottom w:val="single" w:sz="8" w:color="0000EE"/>
            </w:tcBorders>
            <w:gridSpan w:val="18"/>
          </w:tcPr>
          <w:p>
            <w:pPr>
              <w:spacing w:after="0"/>
              <w:rPr>
                <w:rFonts w:ascii="Arial" w:cs="Arial" w:eastAsia="Arial" w:hAnsi="Arial"/>
                <w:sz w:val="17"/>
                <w:szCs w:val="17"/>
                <w:color w:val="0000EE"/>
                <w:w w:val="96"/>
              </w:rPr>
            </w:pPr>
            <w:hyperlink w:anchor="page60">
              <w:r>
                <w:rPr>
                  <w:rFonts w:ascii="Arial" w:cs="Arial" w:eastAsia="Arial" w:hAnsi="Arial"/>
                  <w:sz w:val="17"/>
                  <w:szCs w:val="17"/>
                  <w:color w:val="0000EE"/>
                  <w:w w:val="96"/>
                </w:rPr>
                <w:t>EXECUTIVE COMPENSATION TABLES</w:t>
              </w:r>
            </w:hyperlink>
          </w:p>
        </w:tc>
        <w:tc>
          <w:tcPr>
            <w:tcW w:w="8020" w:type="dxa"/>
            <w:vAlign w:val="bottom"/>
            <w:gridSpan w:val="25"/>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172"/>
        </w:trPr>
        <w:tc>
          <w:tcPr>
            <w:tcW w:w="420" w:type="dxa"/>
            <w:vAlign w:val="bottom"/>
          </w:tcPr>
          <w:p>
            <w:pPr>
              <w:spacing w:after="0"/>
              <w:rPr>
                <w:sz w:val="14"/>
                <w:szCs w:val="14"/>
                <w:color w:val="auto"/>
              </w:rPr>
            </w:pPr>
          </w:p>
        </w:tc>
        <w:tc>
          <w:tcPr>
            <w:tcW w:w="10600" w:type="dxa"/>
            <w:vAlign w:val="bottom"/>
            <w:gridSpan w:val="42"/>
          </w:tcPr>
          <w:p>
            <w:pPr>
              <w:spacing w:after="0" w:line="172" w:lineRule="exact"/>
              <w:rPr>
                <w:rFonts w:ascii="Arial" w:cs="Arial" w:eastAsia="Arial" w:hAnsi="Arial"/>
                <w:sz w:val="17"/>
                <w:szCs w:val="17"/>
                <w:color w:val="0000EE"/>
              </w:rPr>
            </w:pPr>
            <w:hyperlink w:anchor="page60">
              <w:r>
                <w:rPr>
                  <w:rFonts w:ascii="Arial" w:cs="Arial" w:eastAsia="Arial" w:hAnsi="Arial"/>
                  <w:sz w:val="17"/>
                  <w:szCs w:val="17"/>
                  <w:color w:val="0000EE"/>
                </w:rPr>
                <w:t>2011 Summary Compensation Table</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55</w:t>
            </w:r>
          </w:p>
        </w:tc>
      </w:tr>
      <w:tr>
        <w:trPr>
          <w:trHeight w:val="172"/>
        </w:trPr>
        <w:tc>
          <w:tcPr>
            <w:tcW w:w="420" w:type="dxa"/>
            <w:vAlign w:val="bottom"/>
          </w:tcPr>
          <w:p>
            <w:pPr>
              <w:spacing w:after="0"/>
              <w:rPr>
                <w:sz w:val="14"/>
                <w:szCs w:val="14"/>
                <w:color w:val="auto"/>
              </w:rPr>
            </w:pPr>
          </w:p>
        </w:tc>
        <w:tc>
          <w:tcPr>
            <w:tcW w:w="2600" w:type="dxa"/>
            <w:vAlign w:val="bottom"/>
            <w:tcBorders>
              <w:top w:val="single" w:sz="8" w:color="0000EE"/>
              <w:bottom w:val="single" w:sz="8" w:color="0000EE"/>
            </w:tcBorders>
            <w:gridSpan w:val="18"/>
          </w:tcPr>
          <w:p>
            <w:pPr>
              <w:spacing w:after="0" w:line="172" w:lineRule="exact"/>
              <w:rPr>
                <w:rFonts w:ascii="Arial" w:cs="Arial" w:eastAsia="Arial" w:hAnsi="Arial"/>
                <w:sz w:val="17"/>
                <w:szCs w:val="17"/>
                <w:color w:val="0000EE"/>
                <w:w w:val="96"/>
              </w:rPr>
            </w:pPr>
            <w:hyperlink w:anchor="page62">
              <w:r>
                <w:rPr>
                  <w:rFonts w:ascii="Arial" w:cs="Arial" w:eastAsia="Arial" w:hAnsi="Arial"/>
                  <w:sz w:val="17"/>
                  <w:szCs w:val="17"/>
                  <w:color w:val="0000EE"/>
                  <w:w w:val="96"/>
                </w:rPr>
                <w:t>2011 Grants of Plan-Based Awards</w:t>
              </w:r>
            </w:hyperlink>
          </w:p>
        </w:tc>
        <w:tc>
          <w:tcPr>
            <w:tcW w:w="80" w:type="dxa"/>
            <w:vAlign w:val="bottom"/>
            <w:tcBorders>
              <w:top w:val="single" w:sz="8" w:color="0000EE"/>
            </w:tcBorders>
            <w:gridSpan w:val="2"/>
          </w:tcPr>
          <w:p>
            <w:pPr>
              <w:spacing w:after="0"/>
              <w:rPr>
                <w:sz w:val="14"/>
                <w:szCs w:val="14"/>
                <w:color w:val="auto"/>
              </w:rPr>
            </w:pPr>
          </w:p>
        </w:tc>
        <w:tc>
          <w:tcPr>
            <w:tcW w:w="7920" w:type="dxa"/>
            <w:vAlign w:val="bottom"/>
            <w:gridSpan w:val="22"/>
          </w:tcPr>
          <w:p>
            <w:pPr>
              <w:spacing w:after="0"/>
              <w:rPr>
                <w:sz w:val="14"/>
                <w:szCs w:val="14"/>
                <w:color w:val="auto"/>
              </w:rPr>
            </w:pPr>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57</w:t>
            </w:r>
          </w:p>
        </w:tc>
      </w:tr>
      <w:tr>
        <w:trPr>
          <w:trHeight w:val="172"/>
        </w:trPr>
        <w:tc>
          <w:tcPr>
            <w:tcW w:w="420" w:type="dxa"/>
            <w:vAlign w:val="bottom"/>
          </w:tcPr>
          <w:p>
            <w:pPr>
              <w:spacing w:after="0"/>
              <w:rPr>
                <w:sz w:val="14"/>
                <w:szCs w:val="14"/>
                <w:color w:val="auto"/>
              </w:rPr>
            </w:pPr>
          </w:p>
        </w:tc>
        <w:tc>
          <w:tcPr>
            <w:tcW w:w="10600" w:type="dxa"/>
            <w:vAlign w:val="bottom"/>
            <w:gridSpan w:val="42"/>
          </w:tcPr>
          <w:p>
            <w:pPr>
              <w:spacing w:after="0" w:line="172" w:lineRule="exact"/>
              <w:rPr>
                <w:rFonts w:ascii="Arial" w:cs="Arial" w:eastAsia="Arial" w:hAnsi="Arial"/>
                <w:sz w:val="17"/>
                <w:szCs w:val="17"/>
                <w:color w:val="0000EE"/>
              </w:rPr>
            </w:pPr>
            <w:hyperlink w:anchor="page63">
              <w:r>
                <w:rPr>
                  <w:rFonts w:ascii="Arial" w:cs="Arial" w:eastAsia="Arial" w:hAnsi="Arial"/>
                  <w:sz w:val="17"/>
                  <w:szCs w:val="17"/>
                  <w:color w:val="0000EE"/>
                </w:rPr>
                <w:t>2011 Outstanding Equity Awards at Fiscal Year-End</w:t>
              </w:r>
            </w:hyperlink>
          </w:p>
        </w:tc>
        <w:tc>
          <w:tcPr>
            <w:tcW w:w="300" w:type="dxa"/>
            <w:vAlign w:val="bottom"/>
          </w:tcPr>
          <w:p>
            <w:pPr>
              <w:jc w:val="right"/>
              <w:spacing w:after="0" w:line="172" w:lineRule="exact"/>
              <w:rPr>
                <w:sz w:val="20"/>
                <w:szCs w:val="20"/>
                <w:color w:val="auto"/>
              </w:rPr>
            </w:pPr>
            <w:r>
              <w:rPr>
                <w:rFonts w:ascii="Arial" w:cs="Arial" w:eastAsia="Arial" w:hAnsi="Arial"/>
                <w:sz w:val="17"/>
                <w:szCs w:val="17"/>
                <w:color w:val="auto"/>
              </w:rPr>
              <w:t>58</w:t>
            </w:r>
          </w:p>
        </w:tc>
      </w:tr>
      <w:tr>
        <w:trPr>
          <w:trHeight w:val="20"/>
        </w:trPr>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320"/>
          </w:cols>
          <w:pgMar w:left="240" w:top="443" w:right="3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580" w:type="dxa"/>
            <w:vAlign w:val="bottom"/>
            <w:gridSpan w:val="21"/>
            <w:vMerge w:val="restart"/>
          </w:tcPr>
          <w:p>
            <w:pPr>
              <w:spacing w:after="0"/>
              <w:rPr>
                <w:rFonts w:ascii="Arial" w:cs="Arial" w:eastAsia="Arial" w:hAnsi="Arial"/>
                <w:sz w:val="17"/>
                <w:szCs w:val="17"/>
                <w:color w:val="0000EE"/>
              </w:rPr>
            </w:pPr>
            <w:hyperlink w:anchor="page65">
              <w:r>
                <w:rPr>
                  <w:rFonts w:ascii="Arial" w:cs="Arial" w:eastAsia="Arial" w:hAnsi="Arial"/>
                  <w:sz w:val="17"/>
                  <w:szCs w:val="17"/>
                  <w:color w:val="0000EE"/>
                </w:rPr>
                <w:t>2011 Option Exercises and Stock Vested</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Page</w:t>
            </w:r>
          </w:p>
        </w:tc>
        <w:tc>
          <w:tcPr>
            <w:tcW w:w="0" w:type="dxa"/>
            <w:vAlign w:val="bottom"/>
          </w:tcPr>
          <w:p>
            <w:pPr>
              <w:spacing w:after="0"/>
              <w:rPr>
                <w:sz w:val="1"/>
                <w:szCs w:val="1"/>
                <w:color w:val="auto"/>
              </w:rPr>
            </w:pPr>
          </w:p>
        </w:tc>
      </w:tr>
      <w:tr>
        <w:trPr>
          <w:trHeight w:val="146"/>
        </w:trPr>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580" w:type="dxa"/>
            <w:vAlign w:val="bottom"/>
            <w:gridSpan w:val="21"/>
            <w:vMerge w:val="continue"/>
          </w:tcPr>
          <w:p>
            <w:pPr>
              <w:spacing w:after="0"/>
              <w:rPr>
                <w:sz w:val="12"/>
                <w:szCs w:val="12"/>
                <w:color w:val="auto"/>
              </w:rPr>
            </w:pPr>
          </w:p>
        </w:tc>
        <w:tc>
          <w:tcPr>
            <w:tcW w:w="320" w:type="dxa"/>
            <w:vAlign w:val="bottom"/>
          </w:tcPr>
          <w:p>
            <w:pPr>
              <w:jc w:val="right"/>
              <w:spacing w:after="0" w:line="133" w:lineRule="exact"/>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185"/>
        </w:trPr>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Borders>
              <w:top w:val="single" w:sz="8" w:color="0000EE"/>
              <w:bottom w:val="single" w:sz="8" w:color="0000EE"/>
            </w:tcBorders>
            <w:gridSpan w:val="2"/>
          </w:tcPr>
          <w:p>
            <w:pPr>
              <w:spacing w:after="0" w:line="185" w:lineRule="exact"/>
              <w:rPr>
                <w:rFonts w:ascii="Arial" w:cs="Arial" w:eastAsia="Arial" w:hAnsi="Arial"/>
                <w:sz w:val="17"/>
                <w:szCs w:val="17"/>
                <w:color w:val="0000EE"/>
                <w:w w:val="96"/>
              </w:rPr>
            </w:pPr>
            <w:hyperlink w:anchor="page65">
              <w:r>
                <w:rPr>
                  <w:rFonts w:ascii="Arial" w:cs="Arial" w:eastAsia="Arial" w:hAnsi="Arial"/>
                  <w:sz w:val="17"/>
                  <w:szCs w:val="17"/>
                  <w:color w:val="0000EE"/>
                  <w:w w:val="96"/>
                </w:rPr>
                <w:t>2011 Pension Benefits</w:t>
              </w:r>
            </w:hyperlink>
          </w:p>
        </w:tc>
        <w:tc>
          <w:tcPr>
            <w:tcW w:w="1340" w:type="dxa"/>
            <w:vAlign w:val="bottom"/>
            <w:tcBorders>
              <w:top w:val="single" w:sz="8" w:color="0000EE"/>
            </w:tcBorders>
            <w:gridSpan w:val="4"/>
          </w:tcPr>
          <w:p>
            <w:pPr>
              <w:spacing w:after="0"/>
              <w:rPr>
                <w:sz w:val="16"/>
                <w:szCs w:val="16"/>
                <w:color w:val="auto"/>
              </w:rPr>
            </w:pPr>
          </w:p>
        </w:tc>
        <w:tc>
          <w:tcPr>
            <w:tcW w:w="7580" w:type="dxa"/>
            <w:vAlign w:val="bottom"/>
            <w:gridSpan w:val="15"/>
          </w:tcPr>
          <w:p>
            <w:pPr>
              <w:spacing w:after="0"/>
              <w:rPr>
                <w:sz w:val="16"/>
                <w:szCs w:val="16"/>
                <w:color w:val="auto"/>
              </w:rPr>
            </w:pPr>
          </w:p>
        </w:tc>
        <w:tc>
          <w:tcPr>
            <w:tcW w:w="320" w:type="dxa"/>
            <w:vAlign w:val="bottom"/>
          </w:tcPr>
          <w:p>
            <w:pPr>
              <w:jc w:val="right"/>
              <w:spacing w:after="0" w:line="185" w:lineRule="exact"/>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580" w:type="dxa"/>
            <w:vAlign w:val="bottom"/>
            <w:gridSpan w:val="21"/>
          </w:tcPr>
          <w:p>
            <w:pPr>
              <w:spacing w:after="0" w:line="172" w:lineRule="exact"/>
              <w:rPr>
                <w:rFonts w:ascii="Arial" w:cs="Arial" w:eastAsia="Arial" w:hAnsi="Arial"/>
                <w:sz w:val="17"/>
                <w:szCs w:val="17"/>
                <w:color w:val="0000EE"/>
              </w:rPr>
            </w:pPr>
            <w:hyperlink w:anchor="page66">
              <w:r>
                <w:rPr>
                  <w:rFonts w:ascii="Arial" w:cs="Arial" w:eastAsia="Arial" w:hAnsi="Arial"/>
                  <w:sz w:val="17"/>
                  <w:szCs w:val="17"/>
                  <w:color w:val="0000EE"/>
                </w:rPr>
                <w:t>Retirement Benefit Plan Descriptions</w:t>
              </w:r>
            </w:hyperlink>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580" w:type="dxa"/>
            <w:vAlign w:val="bottom"/>
            <w:gridSpan w:val="21"/>
          </w:tcPr>
          <w:p>
            <w:pPr>
              <w:spacing w:after="0" w:line="172" w:lineRule="exact"/>
              <w:rPr>
                <w:rFonts w:ascii="Arial" w:cs="Arial" w:eastAsia="Arial" w:hAnsi="Arial"/>
                <w:sz w:val="17"/>
                <w:szCs w:val="17"/>
                <w:color w:val="0000EE"/>
              </w:rPr>
            </w:pPr>
            <w:hyperlink w:anchor="page69">
              <w:r>
                <w:rPr>
                  <w:rFonts w:ascii="Arial" w:cs="Arial" w:eastAsia="Arial" w:hAnsi="Arial"/>
                  <w:sz w:val="17"/>
                  <w:szCs w:val="17"/>
                  <w:color w:val="0000EE"/>
                </w:rPr>
                <w:t>2011 Non-Qualified Deferred Compensation Benefits</w:t>
              </w:r>
            </w:hyperlink>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580" w:type="dxa"/>
            <w:vAlign w:val="bottom"/>
            <w:gridSpan w:val="21"/>
          </w:tcPr>
          <w:p>
            <w:pPr>
              <w:spacing w:after="0" w:line="172" w:lineRule="exact"/>
              <w:rPr>
                <w:sz w:val="20"/>
                <w:szCs w:val="20"/>
                <w:color w:val="auto"/>
              </w:rPr>
            </w:pPr>
            <w:r>
              <w:rPr>
                <w:rFonts w:ascii="Arial" w:cs="Arial" w:eastAsia="Arial" w:hAnsi="Arial"/>
                <w:sz w:val="17"/>
                <w:szCs w:val="17"/>
                <w:color w:val="0000EE"/>
              </w:rPr>
              <w:t>Potential Payments upon Termination or Change in Control</w:t>
            </w:r>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3020" w:type="dxa"/>
            <w:vAlign w:val="bottom"/>
            <w:tcBorders>
              <w:bottom w:val="single" w:sz="8" w:color="0000EE"/>
            </w:tcBorders>
            <w:gridSpan w:val="6"/>
          </w:tcPr>
          <w:p>
            <w:pPr>
              <w:spacing w:after="0"/>
              <w:rPr>
                <w:rFonts w:ascii="Arial" w:cs="Arial" w:eastAsia="Arial" w:hAnsi="Arial"/>
                <w:sz w:val="17"/>
                <w:szCs w:val="17"/>
                <w:color w:val="0000EE"/>
                <w:w w:val="97"/>
              </w:rPr>
            </w:pPr>
            <w:hyperlink w:anchor="page75">
              <w:r>
                <w:rPr>
                  <w:rFonts w:ascii="Arial" w:cs="Arial" w:eastAsia="Arial" w:hAnsi="Arial"/>
                  <w:sz w:val="17"/>
                  <w:szCs w:val="17"/>
                  <w:color w:val="0000EE"/>
                  <w:w w:val="97"/>
                </w:rPr>
                <w:t>OWNERSHIP OF EQUITY SECURITIES</w:t>
              </w:r>
            </w:hyperlink>
          </w:p>
        </w:tc>
        <w:tc>
          <w:tcPr>
            <w:tcW w:w="7980" w:type="dxa"/>
            <w:vAlign w:val="bottom"/>
            <w:gridSpan w:val="17"/>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74"/>
        </w:trPr>
        <w:tc>
          <w:tcPr>
            <w:tcW w:w="11000" w:type="dxa"/>
            <w:vAlign w:val="bottom"/>
            <w:gridSpan w:val="23"/>
          </w:tcPr>
          <w:p>
            <w:pPr>
              <w:spacing w:after="0"/>
              <w:rPr>
                <w:rFonts w:ascii="Arial" w:cs="Arial" w:eastAsia="Arial" w:hAnsi="Arial"/>
                <w:sz w:val="17"/>
                <w:szCs w:val="17"/>
                <w:color w:val="0000EE"/>
              </w:rPr>
            </w:pPr>
            <w:hyperlink w:anchor="page77">
              <w:r>
                <w:rPr>
                  <w:rFonts w:ascii="Arial" w:cs="Arial" w:eastAsia="Arial" w:hAnsi="Arial"/>
                  <w:sz w:val="17"/>
                  <w:szCs w:val="17"/>
                  <w:color w:val="0000EE"/>
                </w:rPr>
                <w:t>ITEM 2. ADVISORY VOTE TO APPROVE EXECUTIVE COMPENSATION</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1000" w:type="dxa"/>
            <w:vAlign w:val="bottom"/>
            <w:gridSpan w:val="23"/>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ITEM 3. APPROVAL OF AN AMENDMENT TO THE AMENDED AND RESTATED ARTICLES OF INCORPORATION TO CHANGE COMPANY</w:t>
              </w:r>
            </w:hyperlink>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200" w:type="dxa"/>
            <w:vAlign w:val="bottom"/>
            <w:tcBorders>
              <w:top w:val="single" w:sz="8" w:color="0000EE"/>
            </w:tcBorders>
          </w:tcPr>
          <w:p>
            <w:pPr>
              <w:spacing w:after="0"/>
              <w:rPr>
                <w:sz w:val="14"/>
                <w:szCs w:val="14"/>
                <w:color w:val="auto"/>
              </w:rPr>
            </w:pPr>
          </w:p>
        </w:tc>
        <w:tc>
          <w:tcPr>
            <w:tcW w:w="10300" w:type="dxa"/>
            <w:vAlign w:val="bottom"/>
            <w:tcBorders>
              <w:top w:val="single" w:sz="8" w:color="0000EE"/>
            </w:tcBorders>
            <w:gridSpan w:val="21"/>
          </w:tcPr>
          <w:p>
            <w:pPr>
              <w:spacing w:after="0" w:line="172" w:lineRule="exact"/>
              <w:rPr>
                <w:rFonts w:ascii="Arial" w:cs="Arial" w:eastAsia="Arial" w:hAnsi="Arial"/>
                <w:sz w:val="17"/>
                <w:szCs w:val="17"/>
                <w:color w:val="0000EE"/>
              </w:rPr>
            </w:pPr>
            <w:hyperlink w:anchor="page79">
              <w:r>
                <w:rPr>
                  <w:rFonts w:ascii="Arial" w:cs="Arial" w:eastAsia="Arial" w:hAnsi="Arial"/>
                  <w:sz w:val="17"/>
                  <w:szCs w:val="17"/>
                  <w:color w:val="0000EE"/>
                </w:rPr>
                <w:t>NAME</w:t>
              </w:r>
            </w:hyperlink>
          </w:p>
        </w:tc>
        <w:tc>
          <w:tcPr>
            <w:tcW w:w="500" w:type="dxa"/>
            <w:vAlign w:val="bottom"/>
          </w:tcPr>
          <w:p>
            <w:pPr>
              <w:spacing w:after="0"/>
              <w:rPr>
                <w:sz w:val="14"/>
                <w:szCs w:val="14"/>
                <w:color w:val="auto"/>
              </w:rPr>
            </w:pPr>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11000" w:type="dxa"/>
            <w:vAlign w:val="bottom"/>
            <w:gridSpan w:val="23"/>
          </w:tcPr>
          <w:p>
            <w:pPr>
              <w:spacing w:after="0"/>
              <w:rPr>
                <w:rFonts w:ascii="Arial" w:cs="Arial" w:eastAsia="Arial" w:hAnsi="Arial"/>
                <w:sz w:val="17"/>
                <w:szCs w:val="17"/>
                <w:color w:val="0000EE"/>
              </w:rPr>
            </w:pPr>
            <w:hyperlink w:anchor="page81">
              <w:r>
                <w:rPr>
                  <w:rFonts w:ascii="Arial" w:cs="Arial" w:eastAsia="Arial" w:hAnsi="Arial"/>
                  <w:sz w:val="17"/>
                  <w:szCs w:val="17"/>
                  <w:color w:val="0000EE"/>
                </w:rPr>
                <w:t>ITEM 4. RATIFICATION OF THE SELECTION OF INDEPENDENT AUDITORS</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74"/>
        </w:trPr>
        <w:tc>
          <w:tcPr>
            <w:tcW w:w="5820" w:type="dxa"/>
            <w:vAlign w:val="bottom"/>
            <w:tcBorders>
              <w:top w:val="single" w:sz="8" w:color="0000EE"/>
            </w:tcBorders>
            <w:gridSpan w:val="18"/>
          </w:tcPr>
          <w:p>
            <w:pPr>
              <w:spacing w:after="0"/>
              <w:rPr>
                <w:rFonts w:ascii="Arial" w:cs="Arial" w:eastAsia="Arial" w:hAnsi="Arial"/>
                <w:sz w:val="17"/>
                <w:szCs w:val="17"/>
                <w:color w:val="0000EE"/>
              </w:rPr>
            </w:pPr>
            <w:hyperlink w:anchor="page81">
              <w:r>
                <w:rPr>
                  <w:rFonts w:ascii="Arial" w:cs="Arial" w:eastAsia="Arial" w:hAnsi="Arial"/>
                  <w:sz w:val="17"/>
                  <w:szCs w:val="17"/>
                  <w:color w:val="0000EE"/>
                </w:rPr>
                <w:t>SHAREHOLDER PROPOSALS</w:t>
              </w:r>
            </w:hyperlink>
          </w:p>
        </w:tc>
        <w:tc>
          <w:tcPr>
            <w:tcW w:w="5180" w:type="dxa"/>
            <w:vAlign w:val="bottom"/>
            <w:gridSpan w:val="5"/>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0" w:type="dxa"/>
            <w:vAlign w:val="bottom"/>
            <w:tcBorders>
              <w:bottom w:val="single" w:sz="8" w:color="0000EE"/>
            </w:tcBorders>
            <w:gridSpan w:val="12"/>
          </w:tcPr>
          <w:p>
            <w:pPr>
              <w:spacing w:after="0" w:line="172" w:lineRule="exact"/>
              <w:rPr>
                <w:rFonts w:ascii="Arial" w:cs="Arial" w:eastAsia="Arial" w:hAnsi="Arial"/>
                <w:sz w:val="17"/>
                <w:szCs w:val="17"/>
                <w:color w:val="0000EE"/>
                <w:w w:val="97"/>
              </w:rPr>
            </w:pPr>
            <w:hyperlink w:anchor="page81">
              <w:r>
                <w:rPr>
                  <w:rFonts w:ascii="Arial" w:cs="Arial" w:eastAsia="Arial" w:hAnsi="Arial"/>
                  <w:sz w:val="17"/>
                  <w:szCs w:val="17"/>
                  <w:color w:val="0000EE"/>
                  <w:w w:val="97"/>
                </w:rPr>
                <w:t>ITEM 5. Shareholder Proposal: Sustainable Forestry Report</w:t>
              </w:r>
            </w:hyperlink>
          </w:p>
        </w:tc>
        <w:tc>
          <w:tcPr>
            <w:tcW w:w="6180" w:type="dxa"/>
            <w:vAlign w:val="bottom"/>
            <w:gridSpan w:val="9"/>
          </w:tcPr>
          <w:p>
            <w:pPr>
              <w:spacing w:after="0"/>
              <w:rPr>
                <w:sz w:val="14"/>
                <w:szCs w:val="14"/>
                <w:color w:val="auto"/>
              </w:rPr>
            </w:pPr>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0" w:type="dxa"/>
            <w:vAlign w:val="bottom"/>
            <w:tcBorders>
              <w:bottom w:val="single" w:sz="8" w:color="0000EE"/>
            </w:tcBorders>
            <w:gridSpan w:val="17"/>
          </w:tcPr>
          <w:p>
            <w:pPr>
              <w:spacing w:after="0" w:line="172" w:lineRule="exact"/>
              <w:rPr>
                <w:rFonts w:ascii="Arial" w:cs="Arial" w:eastAsia="Arial" w:hAnsi="Arial"/>
                <w:sz w:val="17"/>
                <w:szCs w:val="17"/>
                <w:color w:val="0000EE"/>
                <w:w w:val="97"/>
              </w:rPr>
            </w:pPr>
            <w:hyperlink w:anchor="page84">
              <w:r>
                <w:rPr>
                  <w:rFonts w:ascii="Arial" w:cs="Arial" w:eastAsia="Arial" w:hAnsi="Arial"/>
                  <w:sz w:val="17"/>
                  <w:szCs w:val="17"/>
                  <w:color w:val="0000EE"/>
                  <w:w w:val="97"/>
                </w:rPr>
                <w:t>ITEM 6. Shareholder Proposal: Report on Extended Producer Responsibility</w:t>
              </w:r>
            </w:hyperlink>
          </w:p>
        </w:tc>
        <w:tc>
          <w:tcPr>
            <w:tcW w:w="4980" w:type="dxa"/>
            <w:vAlign w:val="bottom"/>
            <w:gridSpan w:val="4"/>
          </w:tcPr>
          <w:p>
            <w:pPr>
              <w:spacing w:after="0"/>
              <w:rPr>
                <w:sz w:val="14"/>
                <w:szCs w:val="14"/>
                <w:color w:val="auto"/>
              </w:rPr>
            </w:pPr>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580" w:type="dxa"/>
            <w:vAlign w:val="bottom"/>
            <w:gridSpan w:val="21"/>
          </w:tcPr>
          <w:p>
            <w:pPr>
              <w:spacing w:after="0" w:line="172" w:lineRule="exact"/>
              <w:rPr>
                <w:rFonts w:ascii="Arial" w:cs="Arial" w:eastAsia="Arial" w:hAnsi="Arial"/>
                <w:sz w:val="17"/>
                <w:szCs w:val="17"/>
                <w:color w:val="0000EE"/>
              </w:rPr>
            </w:pPr>
            <w:hyperlink w:anchor="page86">
              <w:r>
                <w:rPr>
                  <w:rFonts w:ascii="Arial" w:cs="Arial" w:eastAsia="Arial" w:hAnsi="Arial"/>
                  <w:sz w:val="17"/>
                  <w:szCs w:val="17"/>
                  <w:color w:val="0000EE"/>
                </w:rPr>
                <w:t>ITEM 7. Shareholder Proposal: Report On Lobbying</w:t>
              </w:r>
            </w:hyperlink>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
        </w:trPr>
        <w:tc>
          <w:tcPr>
            <w:tcW w:w="420" w:type="dxa"/>
            <w:vAlign w:val="bottom"/>
            <w:gridSpan w:val="2"/>
          </w:tcPr>
          <w:p>
            <w:pPr>
              <w:spacing w:after="0" w:line="20" w:lineRule="exact"/>
              <w:rPr>
                <w:sz w:val="1"/>
                <w:szCs w:val="1"/>
                <w:color w:val="auto"/>
              </w:rPr>
            </w:pPr>
          </w:p>
        </w:tc>
        <w:tc>
          <w:tcPr>
            <w:tcW w:w="3180" w:type="dxa"/>
            <w:vAlign w:val="bottom"/>
            <w:gridSpan w:val="7"/>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760" w:type="dxa"/>
            <w:vAlign w:val="bottom"/>
            <w:tcBorders>
              <w:bottom w:val="single" w:sz="8" w:color="0000EE"/>
            </w:tcBorders>
            <w:gridSpan w:val="17"/>
          </w:tcPr>
          <w:p>
            <w:pPr>
              <w:spacing w:after="0"/>
              <w:rPr>
                <w:rFonts w:ascii="Arial" w:cs="Arial" w:eastAsia="Arial" w:hAnsi="Arial"/>
                <w:sz w:val="17"/>
                <w:szCs w:val="17"/>
                <w:color w:val="0000EE"/>
                <w:w w:val="96"/>
              </w:rPr>
            </w:pPr>
            <w:hyperlink w:anchor="page88">
              <w:r>
                <w:rPr>
                  <w:rFonts w:ascii="Arial" w:cs="Arial" w:eastAsia="Arial" w:hAnsi="Arial"/>
                  <w:sz w:val="17"/>
                  <w:szCs w:val="17"/>
                  <w:color w:val="0000EE"/>
                  <w:w w:val="96"/>
                </w:rPr>
                <w:t>OTHER MATTERS THAT MAY BE PRESENTED AT THE ANNUAL MEETING</w:t>
              </w:r>
            </w:hyperlink>
          </w:p>
        </w:tc>
        <w:tc>
          <w:tcPr>
            <w:tcW w:w="5240" w:type="dxa"/>
            <w:vAlign w:val="bottom"/>
            <w:gridSpan w:val="6"/>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74"/>
        </w:trPr>
        <w:tc>
          <w:tcPr>
            <w:tcW w:w="11000" w:type="dxa"/>
            <w:vAlign w:val="bottom"/>
            <w:gridSpan w:val="23"/>
          </w:tcPr>
          <w:p>
            <w:pPr>
              <w:spacing w:after="0"/>
              <w:rPr>
                <w:rFonts w:ascii="Arial" w:cs="Arial" w:eastAsia="Arial" w:hAnsi="Arial"/>
                <w:sz w:val="17"/>
                <w:szCs w:val="17"/>
                <w:color w:val="0000EE"/>
              </w:rPr>
            </w:pPr>
            <w:hyperlink w:anchor="page88">
              <w:r>
                <w:rPr>
                  <w:rFonts w:ascii="Arial" w:cs="Arial" w:eastAsia="Arial" w:hAnsi="Arial"/>
                  <w:sz w:val="17"/>
                  <w:szCs w:val="17"/>
                  <w:color w:val="0000EE"/>
                </w:rPr>
                <w:t>FREQUENTLY ASKED QUESTIONS ABOUT THE ANNUAL MEETING AND VOTING</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74"/>
        </w:trPr>
        <w:tc>
          <w:tcPr>
            <w:tcW w:w="3600" w:type="dxa"/>
            <w:vAlign w:val="bottom"/>
            <w:tcBorders>
              <w:top w:val="single" w:sz="8" w:color="0000EE"/>
              <w:bottom w:val="single" w:sz="8" w:color="0000EE"/>
            </w:tcBorders>
            <w:gridSpan w:val="9"/>
          </w:tcPr>
          <w:p>
            <w:pPr>
              <w:spacing w:after="0"/>
              <w:rPr>
                <w:rFonts w:ascii="Arial" w:cs="Arial" w:eastAsia="Arial" w:hAnsi="Arial"/>
                <w:sz w:val="17"/>
                <w:szCs w:val="17"/>
                <w:color w:val="0000EE"/>
                <w:w w:val="97"/>
              </w:rPr>
            </w:pPr>
            <w:hyperlink w:anchor="page96">
              <w:r>
                <w:rPr>
                  <w:rFonts w:ascii="Arial" w:cs="Arial" w:eastAsia="Arial" w:hAnsi="Arial"/>
                  <w:sz w:val="17"/>
                  <w:szCs w:val="17"/>
                  <w:color w:val="0000EE"/>
                  <w:w w:val="97"/>
                </w:rPr>
                <w:t>2013 ANNUAL MEETING OF SHAREHOLDERS</w:t>
              </w:r>
            </w:hyperlink>
          </w:p>
        </w:tc>
        <w:tc>
          <w:tcPr>
            <w:tcW w:w="2740" w:type="dxa"/>
            <w:vAlign w:val="bottom"/>
            <w:tcBorders>
              <w:top w:val="single" w:sz="8" w:color="0000EE"/>
            </w:tcBorders>
            <w:gridSpan w:val="11"/>
          </w:tcPr>
          <w:p>
            <w:pPr>
              <w:spacing w:after="0"/>
              <w:rPr>
                <w:sz w:val="23"/>
                <w:szCs w:val="23"/>
                <w:color w:val="auto"/>
              </w:rPr>
            </w:pPr>
          </w:p>
        </w:tc>
        <w:tc>
          <w:tcPr>
            <w:tcW w:w="4660" w:type="dxa"/>
            <w:vAlign w:val="bottom"/>
            <w:gridSpan w:val="3"/>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120" w:type="dxa"/>
            <w:vAlign w:val="bottom"/>
            <w:tcBorders>
              <w:bottom w:val="single" w:sz="8" w:color="0000EE"/>
            </w:tcBorders>
            <w:gridSpan w:val="14"/>
          </w:tcPr>
          <w:p>
            <w:pPr>
              <w:spacing w:after="0" w:line="172" w:lineRule="exact"/>
              <w:rPr>
                <w:rFonts w:ascii="Arial" w:cs="Arial" w:eastAsia="Arial" w:hAnsi="Arial"/>
                <w:sz w:val="17"/>
                <w:szCs w:val="17"/>
                <w:color w:val="0000EE"/>
                <w:w w:val="97"/>
              </w:rPr>
            </w:pPr>
            <w:hyperlink w:anchor="page96">
              <w:r>
                <w:rPr>
                  <w:rFonts w:ascii="Arial" w:cs="Arial" w:eastAsia="Arial" w:hAnsi="Arial"/>
                  <w:sz w:val="17"/>
                  <w:szCs w:val="17"/>
                  <w:color w:val="0000EE"/>
                  <w:w w:val="97"/>
                </w:rPr>
                <w:t>Shareholder Nominations and Proposals for the 2013 Annual Meeting</w:t>
              </w:r>
            </w:hyperlink>
          </w:p>
        </w:tc>
        <w:tc>
          <w:tcPr>
            <w:tcW w:w="5460" w:type="dxa"/>
            <w:vAlign w:val="bottom"/>
            <w:gridSpan w:val="7"/>
          </w:tcPr>
          <w:p>
            <w:pPr>
              <w:spacing w:after="0"/>
              <w:rPr>
                <w:sz w:val="14"/>
                <w:szCs w:val="14"/>
                <w:color w:val="auto"/>
              </w:rPr>
            </w:pPr>
          </w:p>
        </w:tc>
        <w:tc>
          <w:tcPr>
            <w:tcW w:w="320" w:type="dxa"/>
            <w:vAlign w:val="bottom"/>
          </w:tcPr>
          <w:p>
            <w:pPr>
              <w:jc w:val="right"/>
              <w:spacing w:after="0" w:line="172" w:lineRule="exact"/>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74"/>
        </w:trPr>
        <w:tc>
          <w:tcPr>
            <w:tcW w:w="11000" w:type="dxa"/>
            <w:vAlign w:val="bottom"/>
            <w:gridSpan w:val="23"/>
          </w:tcPr>
          <w:p>
            <w:pPr>
              <w:spacing w:after="0"/>
              <w:rPr>
                <w:rFonts w:ascii="Arial" w:cs="Arial" w:eastAsia="Arial" w:hAnsi="Arial"/>
                <w:sz w:val="17"/>
                <w:szCs w:val="17"/>
                <w:color w:val="0000EE"/>
              </w:rPr>
            </w:pPr>
            <w:hyperlink w:anchor="page97">
              <w:r>
                <w:rPr>
                  <w:rFonts w:ascii="Arial" w:cs="Arial" w:eastAsia="Arial" w:hAnsi="Arial"/>
                  <w:sz w:val="17"/>
                  <w:szCs w:val="17"/>
                  <w:color w:val="0000EE"/>
                </w:rPr>
                <w:t>EXHIBIT A: KRAFT FOODS INC. AND SUBSIDIARIES RECONCILIATION OF GAAP TO NON-GAAP INFORMATION</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74"/>
        </w:trPr>
        <w:tc>
          <w:tcPr>
            <w:tcW w:w="8700" w:type="dxa"/>
            <w:vAlign w:val="bottom"/>
            <w:tcBorders>
              <w:top w:val="single" w:sz="8" w:color="0000EE"/>
            </w:tcBorders>
            <w:gridSpan w:val="21"/>
          </w:tcPr>
          <w:p>
            <w:pPr>
              <w:spacing w:after="0"/>
              <w:rPr>
                <w:rFonts w:ascii="Arial" w:cs="Arial" w:eastAsia="Arial" w:hAnsi="Arial"/>
                <w:sz w:val="17"/>
                <w:szCs w:val="17"/>
                <w:color w:val="0000EE"/>
              </w:rPr>
            </w:pPr>
            <w:hyperlink w:anchor="page99">
              <w:r>
                <w:rPr>
                  <w:rFonts w:ascii="Arial" w:cs="Arial" w:eastAsia="Arial" w:hAnsi="Arial"/>
                  <w:sz w:val="17"/>
                  <w:szCs w:val="17"/>
                  <w:color w:val="0000EE"/>
                </w:rPr>
                <w:t>MAPS AND DIRECTIONS TO THE ANNUAL MEETING</w:t>
              </w:r>
            </w:hyperlink>
          </w:p>
        </w:tc>
        <w:tc>
          <w:tcPr>
            <w:tcW w:w="2300" w:type="dxa"/>
            <w:vAlign w:val="bottom"/>
            <w:gridSpan w:val="2"/>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320"/>
          </w:cols>
          <w:pgMar w:left="240" w:top="443" w:right="33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7282815" cy="6243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2815" cy="624332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PROXY STATEMENT SUMMARY</w:t>
      </w:r>
    </w:p>
    <w:p>
      <w:pPr>
        <w:spacing w:after="0" w:line="154" w:lineRule="exact"/>
        <w:rPr>
          <w:sz w:val="20"/>
          <w:szCs w:val="20"/>
          <w:color w:val="auto"/>
        </w:rPr>
      </w:pPr>
    </w:p>
    <w:p>
      <w:pPr>
        <w:ind w:left="200" w:right="240"/>
        <w:spacing w:after="0" w:line="252" w:lineRule="auto"/>
        <w:rPr>
          <w:sz w:val="20"/>
          <w:szCs w:val="20"/>
          <w:color w:val="auto"/>
        </w:rPr>
      </w:pPr>
      <w:r>
        <w:rPr>
          <w:rFonts w:ascii="Arial" w:cs="Arial" w:eastAsia="Arial" w:hAnsi="Arial"/>
          <w:sz w:val="13"/>
          <w:szCs w:val="13"/>
          <w:i w:val="1"/>
          <w:iCs w:val="1"/>
          <w:color w:val="auto"/>
        </w:rPr>
        <w:t>This summary highlights information contained elsewhere in this Proxy Statement. This summary does not contain all of the information that you should consider, and you should read the entire Proxy Statement carefully before voting.</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ANNUAL MEETING</w:t>
      </w:r>
    </w:p>
    <w:p>
      <w:pPr>
        <w:sectPr>
          <w:pgSz w:w="11900" w:h="16838" w:orient="portrait"/>
          <w:cols w:equalWidth="0" w:num="1">
            <w:col w:w="11280"/>
          </w:cols>
          <w:pgMar w:left="240" w:top="443" w:right="379" w:bottom="1440" w:gutter="0" w:footer="0" w:header="0"/>
        </w:sectPr>
      </w:pPr>
    </w:p>
    <w:p>
      <w:pPr>
        <w:spacing w:after="0" w:line="74"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Time and Date</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Place</w:t>
      </w:r>
    </w:p>
    <w:p>
      <w:pPr>
        <w:spacing w:after="0" w:line="349"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Record Date</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Voting</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Admission</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9:00 a.m. CDT on Wednesday, May 23, 2012</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North Shore Center for the Performing Arts in Skokie</w:t>
      </w:r>
    </w:p>
    <w:p>
      <w:pPr>
        <w:spacing w:after="0" w:line="225" w:lineRule="auto"/>
        <w:rPr>
          <w:sz w:val="20"/>
          <w:szCs w:val="20"/>
          <w:color w:val="auto"/>
        </w:rPr>
      </w:pPr>
      <w:r>
        <w:rPr>
          <w:rFonts w:ascii="Arial" w:cs="Arial" w:eastAsia="Arial" w:hAnsi="Arial"/>
          <w:sz w:val="13"/>
          <w:szCs w:val="13"/>
          <w:color w:val="auto"/>
        </w:rPr>
        <w:t>9501 Skokie Boulevard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Skokie, Illinois 60077</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March 15, 2012</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Each share is entitled to one vote on each matter to be voted upon at the Annual Meeting.</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You must register in advance in order to attend the Annual Meeting. Please follow the advance registration instructions described in Question 24 on page 89 of</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the Proxy Statement.</w:t>
      </w:r>
    </w:p>
    <w:p>
      <w:pPr>
        <w:spacing w:after="0" w:line="200" w:lineRule="exact"/>
        <w:rPr>
          <w:sz w:val="20"/>
          <w:szCs w:val="20"/>
          <w:color w:val="auto"/>
        </w:rPr>
      </w:pPr>
    </w:p>
    <w:p>
      <w:pPr>
        <w:sectPr>
          <w:pgSz w:w="11900" w:h="16838" w:orient="portrait"/>
          <w:cols w:equalWidth="0" w:num="2">
            <w:col w:w="1460" w:space="720"/>
            <w:col w:w="9100"/>
          </w:cols>
          <w:pgMar w:left="240" w:top="443" w:right="379" w:bottom="1440" w:gutter="0" w:footer="0" w:header="0"/>
          <w:type w:val="continuous"/>
        </w:sectPr>
      </w:pPr>
    </w:p>
    <w:p>
      <w:pPr>
        <w:spacing w:after="0" w:line="3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VOTING ITEMS</w:t>
      </w:r>
    </w:p>
    <w:p>
      <w:pPr>
        <w:spacing w:after="0" w:line="6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Board</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Page</w:t>
            </w:r>
          </w:p>
        </w:tc>
      </w:tr>
      <w:tr>
        <w:trPr>
          <w:trHeight w:val="163"/>
        </w:trPr>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Item</w:t>
            </w:r>
          </w:p>
        </w:tc>
        <w:tc>
          <w:tcPr>
            <w:tcW w:w="742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Recommendation</w:t>
            </w:r>
          </w:p>
        </w:tc>
        <w:tc>
          <w:tcPr>
            <w:tcW w:w="1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Reference</w:t>
            </w:r>
          </w:p>
        </w:tc>
      </w:tr>
      <w:tr>
        <w:trPr>
          <w:trHeight w:val="230"/>
        </w:trPr>
        <w:tc>
          <w:tcPr>
            <w:tcW w:w="780" w:type="dxa"/>
            <w:vAlign w:val="bottom"/>
            <w:gridSpan w:val="2"/>
          </w:tcPr>
          <w:p>
            <w:pPr>
              <w:spacing w:after="0"/>
              <w:rPr>
                <w:sz w:val="20"/>
                <w:szCs w:val="20"/>
                <w:color w:val="auto"/>
              </w:rPr>
            </w:pPr>
            <w:r>
              <w:rPr>
                <w:rFonts w:ascii="Arial" w:cs="Arial" w:eastAsia="Arial" w:hAnsi="Arial"/>
                <w:sz w:val="13"/>
                <w:szCs w:val="13"/>
                <w:color w:val="auto"/>
              </w:rPr>
              <w:t>Item 1 –</w:t>
            </w:r>
          </w:p>
        </w:tc>
        <w:tc>
          <w:tcPr>
            <w:tcW w:w="7420" w:type="dxa"/>
            <w:vAlign w:val="bottom"/>
          </w:tcPr>
          <w:p>
            <w:pPr>
              <w:ind w:left="100"/>
              <w:spacing w:after="0"/>
              <w:rPr>
                <w:sz w:val="20"/>
                <w:szCs w:val="20"/>
                <w:color w:val="auto"/>
              </w:rPr>
            </w:pPr>
            <w:r>
              <w:rPr>
                <w:rFonts w:ascii="Arial" w:cs="Arial" w:eastAsia="Arial" w:hAnsi="Arial"/>
                <w:sz w:val="13"/>
                <w:szCs w:val="13"/>
                <w:color w:val="auto"/>
              </w:rPr>
              <w:t>Election of 11 Directors</w:t>
            </w: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For all nominees</w:t>
            </w:r>
          </w:p>
        </w:tc>
        <w:tc>
          <w:tcPr>
            <w:tcW w:w="1000" w:type="dxa"/>
            <w:vAlign w:val="bottom"/>
          </w:tcPr>
          <w:p>
            <w:pPr>
              <w:jc w:val="center"/>
              <w:spacing w:after="0"/>
              <w:rPr>
                <w:sz w:val="20"/>
                <w:szCs w:val="20"/>
                <w:color w:val="auto"/>
              </w:rPr>
            </w:pPr>
            <w:r>
              <w:rPr>
                <w:rFonts w:ascii="Arial" w:cs="Arial" w:eastAsia="Arial" w:hAnsi="Arial"/>
                <w:sz w:val="13"/>
                <w:szCs w:val="13"/>
                <w:color w:val="auto"/>
              </w:rPr>
              <w:t>3</w:t>
            </w:r>
          </w:p>
        </w:tc>
      </w:tr>
      <w:tr>
        <w:trPr>
          <w:trHeight w:val="243"/>
        </w:trPr>
        <w:tc>
          <w:tcPr>
            <w:tcW w:w="78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Item 2 –</w:t>
            </w:r>
          </w:p>
        </w:tc>
        <w:tc>
          <w:tcPr>
            <w:tcW w:w="7420" w:type="dxa"/>
            <w:vAlign w:val="bottom"/>
            <w:shd w:val="clear" w:color="auto" w:fill="D8D8D8"/>
          </w:tcPr>
          <w:p>
            <w:pPr>
              <w:ind w:left="100"/>
              <w:spacing w:after="0"/>
              <w:rPr>
                <w:sz w:val="20"/>
                <w:szCs w:val="20"/>
                <w:color w:val="auto"/>
              </w:rPr>
            </w:pPr>
            <w:r>
              <w:rPr>
                <w:rFonts w:ascii="Arial" w:cs="Arial" w:eastAsia="Arial" w:hAnsi="Arial"/>
                <w:sz w:val="13"/>
                <w:szCs w:val="13"/>
                <w:color w:val="auto"/>
              </w:rPr>
              <w:t>Advisory Vote to Approve Executive Compensation</w:t>
            </w:r>
          </w:p>
        </w:tc>
        <w:tc>
          <w:tcPr>
            <w:tcW w:w="18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2"/>
              </w:rPr>
              <w:t>For</w:t>
            </w:r>
          </w:p>
        </w:tc>
        <w:tc>
          <w:tcPr>
            <w:tcW w:w="100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6"/>
              </w:rPr>
              <w:t>72</w:t>
            </w:r>
          </w:p>
        </w:tc>
      </w:tr>
      <w:tr>
        <w:trPr>
          <w:trHeight w:val="243"/>
        </w:trPr>
        <w:tc>
          <w:tcPr>
            <w:tcW w:w="780" w:type="dxa"/>
            <w:vAlign w:val="bottom"/>
            <w:gridSpan w:val="2"/>
          </w:tcPr>
          <w:p>
            <w:pPr>
              <w:spacing w:after="0"/>
              <w:rPr>
                <w:sz w:val="20"/>
                <w:szCs w:val="20"/>
                <w:color w:val="auto"/>
              </w:rPr>
            </w:pPr>
            <w:r>
              <w:rPr>
                <w:rFonts w:ascii="Arial" w:cs="Arial" w:eastAsia="Arial" w:hAnsi="Arial"/>
                <w:sz w:val="13"/>
                <w:szCs w:val="13"/>
                <w:color w:val="auto"/>
              </w:rPr>
              <w:t>Item 3 –</w:t>
            </w:r>
          </w:p>
        </w:tc>
        <w:tc>
          <w:tcPr>
            <w:tcW w:w="7420" w:type="dxa"/>
            <w:vAlign w:val="bottom"/>
          </w:tcPr>
          <w:p>
            <w:pPr>
              <w:ind w:left="100"/>
              <w:spacing w:after="0"/>
              <w:rPr>
                <w:sz w:val="20"/>
                <w:szCs w:val="20"/>
                <w:color w:val="auto"/>
              </w:rPr>
            </w:pPr>
            <w:r>
              <w:rPr>
                <w:rFonts w:ascii="Arial" w:cs="Arial" w:eastAsia="Arial" w:hAnsi="Arial"/>
                <w:sz w:val="13"/>
                <w:szCs w:val="13"/>
                <w:color w:val="auto"/>
              </w:rPr>
              <w:t>Approval of Amendment to Amended and Restated Articles of Incorporation to Change Company Name</w:t>
            </w: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For</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74</w:t>
            </w:r>
          </w:p>
        </w:tc>
      </w:tr>
      <w:tr>
        <w:trPr>
          <w:trHeight w:val="243"/>
        </w:trPr>
        <w:tc>
          <w:tcPr>
            <w:tcW w:w="78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Item 4 –</w:t>
            </w:r>
          </w:p>
        </w:tc>
        <w:tc>
          <w:tcPr>
            <w:tcW w:w="7420" w:type="dxa"/>
            <w:vAlign w:val="bottom"/>
            <w:shd w:val="clear" w:color="auto" w:fill="D8D8D8"/>
          </w:tcPr>
          <w:p>
            <w:pPr>
              <w:ind w:left="100"/>
              <w:spacing w:after="0"/>
              <w:rPr>
                <w:sz w:val="20"/>
                <w:szCs w:val="20"/>
                <w:color w:val="auto"/>
              </w:rPr>
            </w:pPr>
            <w:r>
              <w:rPr>
                <w:rFonts w:ascii="Arial" w:cs="Arial" w:eastAsia="Arial" w:hAnsi="Arial"/>
                <w:sz w:val="13"/>
                <w:szCs w:val="13"/>
                <w:color w:val="auto"/>
              </w:rPr>
              <w:t>Ratification of PricewaterhouseCoopers LLP as Auditors for 2012</w:t>
            </w:r>
          </w:p>
        </w:tc>
        <w:tc>
          <w:tcPr>
            <w:tcW w:w="18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2"/>
              </w:rPr>
              <w:t>For</w:t>
            </w:r>
          </w:p>
        </w:tc>
        <w:tc>
          <w:tcPr>
            <w:tcW w:w="100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6"/>
              </w:rPr>
              <w:t>76</w:t>
            </w:r>
          </w:p>
        </w:tc>
      </w:tr>
      <w:tr>
        <w:trPr>
          <w:trHeight w:val="243"/>
        </w:trPr>
        <w:tc>
          <w:tcPr>
            <w:tcW w:w="780" w:type="dxa"/>
            <w:vAlign w:val="bottom"/>
            <w:gridSpan w:val="2"/>
          </w:tcPr>
          <w:p>
            <w:pPr>
              <w:spacing w:after="0"/>
              <w:rPr>
                <w:sz w:val="20"/>
                <w:szCs w:val="20"/>
                <w:color w:val="auto"/>
              </w:rPr>
            </w:pPr>
            <w:r>
              <w:rPr>
                <w:rFonts w:ascii="Arial" w:cs="Arial" w:eastAsia="Arial" w:hAnsi="Arial"/>
                <w:sz w:val="13"/>
                <w:szCs w:val="13"/>
                <w:color w:val="auto"/>
              </w:rPr>
              <w:t>Item 5 –</w:t>
            </w:r>
          </w:p>
        </w:tc>
        <w:tc>
          <w:tcPr>
            <w:tcW w:w="7420" w:type="dxa"/>
            <w:vAlign w:val="bottom"/>
          </w:tcPr>
          <w:p>
            <w:pPr>
              <w:ind w:left="100"/>
              <w:spacing w:after="0"/>
              <w:rPr>
                <w:sz w:val="20"/>
                <w:szCs w:val="20"/>
                <w:color w:val="auto"/>
              </w:rPr>
            </w:pPr>
            <w:r>
              <w:rPr>
                <w:rFonts w:ascii="Arial" w:cs="Arial" w:eastAsia="Arial" w:hAnsi="Arial"/>
                <w:sz w:val="13"/>
                <w:szCs w:val="13"/>
                <w:color w:val="auto"/>
              </w:rPr>
              <w:t>Shareholder Proposal: Sustainable Forestry Report</w:t>
            </w: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Against</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76</w:t>
            </w:r>
          </w:p>
        </w:tc>
      </w:tr>
      <w:tr>
        <w:trPr>
          <w:trHeight w:val="243"/>
        </w:trPr>
        <w:tc>
          <w:tcPr>
            <w:tcW w:w="78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Item 6 –</w:t>
            </w:r>
          </w:p>
        </w:tc>
        <w:tc>
          <w:tcPr>
            <w:tcW w:w="7420" w:type="dxa"/>
            <w:vAlign w:val="bottom"/>
            <w:shd w:val="clear" w:color="auto" w:fill="D8D8D8"/>
          </w:tcPr>
          <w:p>
            <w:pPr>
              <w:ind w:left="100"/>
              <w:spacing w:after="0"/>
              <w:rPr>
                <w:sz w:val="20"/>
                <w:szCs w:val="20"/>
                <w:color w:val="auto"/>
              </w:rPr>
            </w:pPr>
            <w:r>
              <w:rPr>
                <w:rFonts w:ascii="Arial" w:cs="Arial" w:eastAsia="Arial" w:hAnsi="Arial"/>
                <w:sz w:val="13"/>
                <w:szCs w:val="13"/>
                <w:color w:val="auto"/>
              </w:rPr>
              <w:t>Shareholder Proposal: Report on Extended Producer Responsibility</w:t>
            </w:r>
          </w:p>
        </w:tc>
        <w:tc>
          <w:tcPr>
            <w:tcW w:w="18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6"/>
              </w:rPr>
              <w:t>Against</w:t>
            </w:r>
          </w:p>
        </w:tc>
        <w:tc>
          <w:tcPr>
            <w:tcW w:w="100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6"/>
              </w:rPr>
              <w:t>79</w:t>
            </w:r>
          </w:p>
        </w:tc>
      </w:tr>
      <w:tr>
        <w:trPr>
          <w:trHeight w:val="255"/>
        </w:trPr>
        <w:tc>
          <w:tcPr>
            <w:tcW w:w="780" w:type="dxa"/>
            <w:vAlign w:val="bottom"/>
            <w:gridSpan w:val="2"/>
          </w:tcPr>
          <w:p>
            <w:pPr>
              <w:spacing w:after="0"/>
              <w:rPr>
                <w:sz w:val="20"/>
                <w:szCs w:val="20"/>
                <w:color w:val="auto"/>
              </w:rPr>
            </w:pPr>
            <w:r>
              <w:rPr>
                <w:rFonts w:ascii="Arial" w:cs="Arial" w:eastAsia="Arial" w:hAnsi="Arial"/>
                <w:sz w:val="13"/>
                <w:szCs w:val="13"/>
                <w:color w:val="auto"/>
              </w:rPr>
              <w:t>Item 7 –</w:t>
            </w:r>
          </w:p>
        </w:tc>
        <w:tc>
          <w:tcPr>
            <w:tcW w:w="7420" w:type="dxa"/>
            <w:vAlign w:val="bottom"/>
          </w:tcPr>
          <w:p>
            <w:pPr>
              <w:ind w:left="100"/>
              <w:spacing w:after="0"/>
              <w:rPr>
                <w:sz w:val="20"/>
                <w:szCs w:val="20"/>
                <w:color w:val="auto"/>
              </w:rPr>
            </w:pPr>
            <w:r>
              <w:rPr>
                <w:rFonts w:ascii="Arial" w:cs="Arial" w:eastAsia="Arial" w:hAnsi="Arial"/>
                <w:sz w:val="13"/>
                <w:szCs w:val="13"/>
                <w:color w:val="auto"/>
              </w:rPr>
              <w:t>Shareholder Proposal: Report on Lobbying</w:t>
            </w:r>
          </w:p>
        </w:tc>
        <w:tc>
          <w:tcPr>
            <w:tcW w:w="188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Against</w:t>
            </w: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81</w:t>
            </w:r>
          </w:p>
        </w:tc>
      </w:tr>
    </w:tbl>
    <w:p>
      <w:pPr>
        <w:spacing w:after="0" w:line="140" w:lineRule="exact"/>
        <w:rPr>
          <w:sz w:val="20"/>
          <w:szCs w:val="20"/>
          <w:color w:val="auto"/>
        </w:rPr>
      </w:pPr>
    </w:p>
    <w:p>
      <w:pPr>
        <w:ind w:left="200"/>
        <w:spacing w:after="0"/>
        <w:rPr>
          <w:sz w:val="20"/>
          <w:szCs w:val="20"/>
          <w:color w:val="auto"/>
        </w:rPr>
      </w:pPr>
      <w:r>
        <w:rPr>
          <w:rFonts w:ascii="Arial" w:cs="Arial" w:eastAsia="Arial" w:hAnsi="Arial"/>
          <w:sz w:val="13"/>
          <w:szCs w:val="13"/>
          <w:color w:val="auto"/>
        </w:rPr>
        <w:t>Transact any other business that properly comes before the meeting</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DIRECTOR NOMINEES</w:t>
      </w:r>
    </w:p>
    <w:p>
      <w:pPr>
        <w:spacing w:after="0" w:line="69"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6"/>
              </w:rPr>
              <w:t>Director</w:t>
            </w:r>
          </w:p>
        </w:tc>
        <w:tc>
          <w:tcPr>
            <w:tcW w:w="220" w:type="dxa"/>
            <w:vAlign w:val="bottom"/>
          </w:tcPr>
          <w:p>
            <w:pPr>
              <w:spacing w:after="0"/>
              <w:rPr>
                <w:sz w:val="12"/>
                <w:szCs w:val="12"/>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Occupation and</w:t>
            </w: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4"/>
          </w:tcPr>
          <w:p>
            <w:pPr>
              <w:ind w:left="120"/>
              <w:spacing w:after="0"/>
              <w:rPr>
                <w:sz w:val="20"/>
                <w:szCs w:val="20"/>
                <w:color w:val="auto"/>
              </w:rPr>
            </w:pPr>
            <w:r>
              <w:rPr>
                <w:rFonts w:ascii="Arial" w:cs="Arial" w:eastAsia="Arial" w:hAnsi="Arial"/>
                <w:sz w:val="13"/>
                <w:szCs w:val="13"/>
                <w:b w:val="1"/>
                <w:bCs w:val="1"/>
                <w:color w:val="auto"/>
              </w:rPr>
              <w:t>Board Committees*</w:t>
            </w:r>
          </w:p>
        </w:tc>
        <w:tc>
          <w:tcPr>
            <w:tcW w:w="560" w:type="dxa"/>
            <w:vAlign w:val="bottom"/>
          </w:tcPr>
          <w:p>
            <w:pPr>
              <w:spacing w:after="0"/>
              <w:rPr>
                <w:sz w:val="12"/>
                <w:szCs w:val="12"/>
                <w:color w:val="auto"/>
              </w:rPr>
            </w:pPr>
          </w:p>
        </w:tc>
      </w:tr>
      <w:tr>
        <w:trPr>
          <w:trHeight w:val="159"/>
        </w:trPr>
        <w:tc>
          <w:tcPr>
            <w:tcW w:w="32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3"/>
                <w:szCs w:val="13"/>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Age</w:t>
            </w:r>
          </w:p>
        </w:tc>
        <w:tc>
          <w:tcPr>
            <w:tcW w:w="22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Since</w:t>
            </w:r>
          </w:p>
        </w:tc>
        <w:tc>
          <w:tcPr>
            <w:tcW w:w="220" w:type="dxa"/>
            <w:vAlign w:val="bottom"/>
          </w:tcPr>
          <w:p>
            <w:pPr>
              <w:spacing w:after="0"/>
              <w:rPr>
                <w:sz w:val="13"/>
                <w:szCs w:val="13"/>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Experience</w:t>
            </w:r>
          </w:p>
        </w:tc>
        <w:tc>
          <w:tcPr>
            <w:tcW w:w="22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Independent</w:t>
            </w:r>
          </w:p>
        </w:tc>
        <w:tc>
          <w:tcPr>
            <w:tcW w:w="220" w:type="dxa"/>
            <w:vAlign w:val="bottom"/>
          </w:tcPr>
          <w:p>
            <w:pPr>
              <w:spacing w:after="0"/>
              <w:rPr>
                <w:sz w:val="13"/>
                <w:szCs w:val="13"/>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Audit</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Finance</w:t>
            </w:r>
          </w:p>
        </w:tc>
        <w:tc>
          <w:tcPr>
            <w:tcW w:w="200" w:type="dxa"/>
            <w:vAlign w:val="bottom"/>
          </w:tcPr>
          <w:p>
            <w:pPr>
              <w:spacing w:after="0"/>
              <w:rPr>
                <w:sz w:val="13"/>
                <w:szCs w:val="13"/>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HRCC</w:t>
            </w:r>
          </w:p>
        </w:tc>
        <w:tc>
          <w:tcPr>
            <w:tcW w:w="22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GMPAC</w:t>
            </w:r>
          </w:p>
        </w:tc>
      </w:tr>
      <w:tr>
        <w:trPr>
          <w:trHeight w:val="191"/>
        </w:trPr>
        <w:tc>
          <w:tcPr>
            <w:tcW w:w="3200" w:type="dxa"/>
            <w:vAlign w:val="bottom"/>
            <w:gridSpan w:val="2"/>
          </w:tcPr>
          <w:p>
            <w:pPr>
              <w:spacing w:after="0"/>
              <w:rPr>
                <w:sz w:val="20"/>
                <w:szCs w:val="20"/>
                <w:color w:val="auto"/>
              </w:rPr>
            </w:pPr>
            <w:r>
              <w:rPr>
                <w:rFonts w:ascii="Arial" w:cs="Arial" w:eastAsia="Arial" w:hAnsi="Arial"/>
                <w:sz w:val="13"/>
                <w:szCs w:val="13"/>
                <w:color w:val="auto"/>
              </w:rPr>
              <w:t>Myra M. Hart</w:t>
            </w:r>
          </w:p>
        </w:tc>
        <w:tc>
          <w:tcPr>
            <w:tcW w:w="540" w:type="dxa"/>
            <w:vAlign w:val="bottom"/>
            <w:gridSpan w:val="2"/>
          </w:tcPr>
          <w:p>
            <w:pPr>
              <w:jc w:val="center"/>
              <w:ind w:left="156"/>
              <w:spacing w:after="0"/>
              <w:rPr>
                <w:sz w:val="20"/>
                <w:szCs w:val="20"/>
                <w:color w:val="auto"/>
              </w:rPr>
            </w:pPr>
            <w:r>
              <w:rPr>
                <w:rFonts w:ascii="Arial" w:cs="Arial" w:eastAsia="Arial" w:hAnsi="Arial"/>
                <w:sz w:val="13"/>
                <w:szCs w:val="13"/>
                <w:color w:val="auto"/>
              </w:rPr>
              <w:t>71</w:t>
            </w:r>
          </w:p>
        </w:tc>
        <w:tc>
          <w:tcPr>
            <w:tcW w:w="2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2007</w:t>
            </w:r>
          </w:p>
        </w:tc>
        <w:tc>
          <w:tcPr>
            <w:tcW w:w="1980" w:type="dxa"/>
            <w:vAlign w:val="bottom"/>
            <w:gridSpan w:val="3"/>
          </w:tcPr>
          <w:p>
            <w:pPr>
              <w:ind w:left="220"/>
              <w:spacing w:after="0"/>
              <w:rPr>
                <w:sz w:val="20"/>
                <w:szCs w:val="20"/>
                <w:color w:val="auto"/>
              </w:rPr>
            </w:pPr>
            <w:r>
              <w:rPr>
                <w:rFonts w:ascii="Arial" w:cs="Arial" w:eastAsia="Arial" w:hAnsi="Arial"/>
                <w:sz w:val="13"/>
                <w:szCs w:val="13"/>
                <w:color w:val="auto"/>
              </w:rPr>
              <w:t>Professor, Harvard</w:t>
            </w: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Yes</w:t>
            </w:r>
          </w:p>
        </w:tc>
        <w:tc>
          <w:tcPr>
            <w:tcW w:w="660" w:type="dxa"/>
            <w:vAlign w:val="bottom"/>
            <w:gridSpan w:val="2"/>
          </w:tcPr>
          <w:p>
            <w:pPr>
              <w:jc w:val="center"/>
              <w:ind w:right="220"/>
              <w:spacing w:after="0"/>
              <w:rPr>
                <w:sz w:val="20"/>
                <w:szCs w:val="20"/>
                <w:color w:val="auto"/>
              </w:rPr>
            </w:pPr>
            <w:r>
              <w:rPr>
                <w:rFonts w:ascii="Arial" w:cs="Arial" w:eastAsia="Arial" w:hAnsi="Arial"/>
                <w:sz w:val="13"/>
                <w:szCs w:val="13"/>
                <w:color w:val="auto"/>
                <w:w w:val="91"/>
              </w:rPr>
              <w:t>X</w:t>
            </w: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96"/>
              </w:rPr>
              <w:t>Chair</w:t>
            </w:r>
          </w:p>
        </w:tc>
      </w:tr>
      <w:tr>
        <w:trPr>
          <w:trHeight w:val="141"/>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80" w:type="dxa"/>
            <w:vAlign w:val="bottom"/>
            <w:gridSpan w:val="3"/>
          </w:tcPr>
          <w:p>
            <w:pPr>
              <w:ind w:left="220"/>
              <w:spacing w:after="0" w:line="141" w:lineRule="exact"/>
              <w:rPr>
                <w:sz w:val="20"/>
                <w:szCs w:val="20"/>
                <w:color w:val="auto"/>
              </w:rPr>
            </w:pPr>
            <w:r>
              <w:rPr>
                <w:rFonts w:ascii="Arial" w:cs="Arial" w:eastAsia="Arial" w:hAnsi="Arial"/>
                <w:sz w:val="13"/>
                <w:szCs w:val="13"/>
                <w:color w:val="auto"/>
              </w:rPr>
              <w:t>Business School</w:t>
            </w: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1"/>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80" w:type="dxa"/>
            <w:vAlign w:val="bottom"/>
            <w:gridSpan w:val="3"/>
          </w:tcPr>
          <w:p>
            <w:pPr>
              <w:ind w:left="220"/>
              <w:spacing w:after="0" w:line="141" w:lineRule="exact"/>
              <w:rPr>
                <w:sz w:val="20"/>
                <w:szCs w:val="20"/>
                <w:color w:val="auto"/>
              </w:rPr>
            </w:pPr>
            <w:r>
              <w:rPr>
                <w:rFonts w:ascii="Arial" w:cs="Arial" w:eastAsia="Arial" w:hAnsi="Arial"/>
                <w:sz w:val="13"/>
                <w:szCs w:val="13"/>
                <w:color w:val="auto"/>
              </w:rPr>
              <w:t>(Retired)</w:t>
            </w: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4"/>
        </w:trPr>
        <w:tc>
          <w:tcPr>
            <w:tcW w:w="320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Peter B. Henry</w:t>
            </w:r>
          </w:p>
        </w:tc>
        <w:tc>
          <w:tcPr>
            <w:tcW w:w="540" w:type="dxa"/>
            <w:vAlign w:val="bottom"/>
            <w:gridSpan w:val="2"/>
            <w:shd w:val="clear" w:color="auto" w:fill="D8D8D8"/>
          </w:tcPr>
          <w:p>
            <w:pPr>
              <w:jc w:val="center"/>
              <w:ind w:left="156"/>
              <w:spacing w:after="0"/>
              <w:rPr>
                <w:sz w:val="20"/>
                <w:szCs w:val="20"/>
                <w:color w:val="auto"/>
              </w:rPr>
            </w:pPr>
            <w:r>
              <w:rPr>
                <w:rFonts w:ascii="Arial" w:cs="Arial" w:eastAsia="Arial" w:hAnsi="Arial"/>
                <w:sz w:val="13"/>
                <w:szCs w:val="13"/>
                <w:color w:val="auto"/>
              </w:rPr>
              <w:t>42</w:t>
            </w:r>
          </w:p>
        </w:tc>
        <w:tc>
          <w:tcPr>
            <w:tcW w:w="220" w:type="dxa"/>
            <w:vAlign w:val="bottom"/>
            <w:shd w:val="clear" w:color="auto" w:fill="D8D8D8"/>
          </w:tcPr>
          <w:p>
            <w:pPr>
              <w:spacing w:after="0"/>
              <w:rPr>
                <w:sz w:val="17"/>
                <w:szCs w:val="17"/>
                <w:color w:val="auto"/>
              </w:rPr>
            </w:pPr>
          </w:p>
        </w:tc>
        <w:tc>
          <w:tcPr>
            <w:tcW w:w="88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6"/>
              </w:rPr>
              <w:t>2011</w:t>
            </w:r>
          </w:p>
        </w:tc>
        <w:tc>
          <w:tcPr>
            <w:tcW w:w="1980" w:type="dxa"/>
            <w:vAlign w:val="bottom"/>
            <w:gridSpan w:val="3"/>
            <w:shd w:val="clear" w:color="auto" w:fill="D8D8D8"/>
          </w:tcPr>
          <w:p>
            <w:pPr>
              <w:ind w:left="220"/>
              <w:spacing w:after="0"/>
              <w:rPr>
                <w:sz w:val="20"/>
                <w:szCs w:val="20"/>
                <w:color w:val="auto"/>
              </w:rPr>
            </w:pPr>
            <w:r>
              <w:rPr>
                <w:rFonts w:ascii="Arial" w:cs="Arial" w:eastAsia="Arial" w:hAnsi="Arial"/>
                <w:sz w:val="13"/>
                <w:szCs w:val="13"/>
                <w:color w:val="auto"/>
              </w:rPr>
              <w:t>Dean, Leonard N. Stern</w:t>
            </w:r>
          </w:p>
        </w:tc>
        <w:tc>
          <w:tcPr>
            <w:tcW w:w="1520" w:type="dxa"/>
            <w:vAlign w:val="bottom"/>
            <w:gridSpan w:val="2"/>
            <w:shd w:val="clear" w:color="auto" w:fill="D8D8D8"/>
          </w:tcPr>
          <w:p>
            <w:pPr>
              <w:jc w:val="center"/>
              <w:ind w:right="220"/>
              <w:spacing w:after="0"/>
              <w:rPr>
                <w:sz w:val="20"/>
                <w:szCs w:val="20"/>
                <w:color w:val="auto"/>
              </w:rPr>
            </w:pPr>
            <w:r>
              <w:rPr>
                <w:rFonts w:ascii="Arial" w:cs="Arial" w:eastAsia="Arial" w:hAnsi="Arial"/>
                <w:sz w:val="13"/>
                <w:szCs w:val="13"/>
                <w:color w:val="auto"/>
                <w:w w:val="97"/>
              </w:rPr>
              <w:t>Yes</w:t>
            </w:r>
          </w:p>
        </w:tc>
        <w:tc>
          <w:tcPr>
            <w:tcW w:w="44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660" w:type="dxa"/>
            <w:vAlign w:val="bottom"/>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44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56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1"/>
              </w:rPr>
              <w:t>X</w:t>
            </w:r>
          </w:p>
        </w:tc>
      </w:tr>
      <w:tr>
        <w:trPr>
          <w:trHeight w:val="141"/>
        </w:trPr>
        <w:tc>
          <w:tcPr>
            <w:tcW w:w="360" w:type="dxa"/>
            <w:vAlign w:val="bottom"/>
            <w:shd w:val="clear" w:color="auto" w:fill="D8D8D8"/>
          </w:tcPr>
          <w:p>
            <w:pPr>
              <w:spacing w:after="0"/>
              <w:rPr>
                <w:sz w:val="12"/>
                <w:szCs w:val="12"/>
                <w:color w:val="auto"/>
              </w:rPr>
            </w:pPr>
          </w:p>
        </w:tc>
        <w:tc>
          <w:tcPr>
            <w:tcW w:w="28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980" w:type="dxa"/>
            <w:vAlign w:val="bottom"/>
            <w:gridSpan w:val="3"/>
            <w:shd w:val="clear" w:color="auto" w:fill="D8D8D8"/>
          </w:tcPr>
          <w:p>
            <w:pPr>
              <w:ind w:left="220"/>
              <w:spacing w:after="0" w:line="141" w:lineRule="exact"/>
              <w:rPr>
                <w:sz w:val="20"/>
                <w:szCs w:val="20"/>
                <w:color w:val="auto"/>
              </w:rPr>
            </w:pPr>
            <w:r>
              <w:rPr>
                <w:rFonts w:ascii="Arial" w:cs="Arial" w:eastAsia="Arial" w:hAnsi="Arial"/>
                <w:sz w:val="13"/>
                <w:szCs w:val="13"/>
                <w:color w:val="auto"/>
              </w:rPr>
              <w:t>School of Business,</w:t>
            </w:r>
          </w:p>
        </w:tc>
        <w:tc>
          <w:tcPr>
            <w:tcW w:w="130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560" w:type="dxa"/>
            <w:vAlign w:val="bottom"/>
            <w:shd w:val="clear" w:color="auto" w:fill="D8D8D8"/>
          </w:tcPr>
          <w:p>
            <w:pPr>
              <w:spacing w:after="0"/>
              <w:rPr>
                <w:sz w:val="12"/>
                <w:szCs w:val="12"/>
                <w:color w:val="auto"/>
              </w:rPr>
            </w:pPr>
          </w:p>
        </w:tc>
      </w:tr>
      <w:tr>
        <w:trPr>
          <w:trHeight w:val="154"/>
        </w:trPr>
        <w:tc>
          <w:tcPr>
            <w:tcW w:w="360" w:type="dxa"/>
            <w:vAlign w:val="bottom"/>
            <w:shd w:val="clear" w:color="auto" w:fill="D8D8D8"/>
          </w:tcPr>
          <w:p>
            <w:pPr>
              <w:spacing w:after="0"/>
              <w:rPr>
                <w:sz w:val="13"/>
                <w:szCs w:val="13"/>
                <w:color w:val="auto"/>
              </w:rPr>
            </w:pPr>
          </w:p>
        </w:tc>
        <w:tc>
          <w:tcPr>
            <w:tcW w:w="284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32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880" w:type="dxa"/>
            <w:vAlign w:val="bottom"/>
            <w:shd w:val="clear" w:color="auto" w:fill="D8D8D8"/>
          </w:tcPr>
          <w:p>
            <w:pPr>
              <w:spacing w:after="0"/>
              <w:rPr>
                <w:sz w:val="13"/>
                <w:szCs w:val="13"/>
                <w:color w:val="auto"/>
              </w:rPr>
            </w:pPr>
          </w:p>
        </w:tc>
        <w:tc>
          <w:tcPr>
            <w:tcW w:w="1980" w:type="dxa"/>
            <w:vAlign w:val="bottom"/>
            <w:gridSpan w:val="3"/>
            <w:shd w:val="clear" w:color="auto" w:fill="D8D8D8"/>
          </w:tcPr>
          <w:p>
            <w:pPr>
              <w:ind w:left="220"/>
              <w:spacing w:after="0"/>
              <w:rPr>
                <w:sz w:val="20"/>
                <w:szCs w:val="20"/>
                <w:color w:val="auto"/>
              </w:rPr>
            </w:pPr>
            <w:r>
              <w:rPr>
                <w:rFonts w:ascii="Arial" w:cs="Arial" w:eastAsia="Arial" w:hAnsi="Arial"/>
                <w:sz w:val="13"/>
                <w:szCs w:val="13"/>
                <w:color w:val="auto"/>
              </w:rPr>
              <w:t>New York University</w:t>
            </w:r>
          </w:p>
        </w:tc>
        <w:tc>
          <w:tcPr>
            <w:tcW w:w="130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44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660" w:type="dxa"/>
            <w:vAlign w:val="bottom"/>
            <w:shd w:val="clear" w:color="auto" w:fill="D8D8D8"/>
          </w:tcPr>
          <w:p>
            <w:pPr>
              <w:spacing w:after="0"/>
              <w:rPr>
                <w:sz w:val="13"/>
                <w:szCs w:val="13"/>
                <w:color w:val="auto"/>
              </w:rPr>
            </w:pPr>
          </w:p>
        </w:tc>
        <w:tc>
          <w:tcPr>
            <w:tcW w:w="200" w:type="dxa"/>
            <w:vAlign w:val="bottom"/>
            <w:shd w:val="clear" w:color="auto" w:fill="D8D8D8"/>
          </w:tcPr>
          <w:p>
            <w:pPr>
              <w:spacing w:after="0"/>
              <w:rPr>
                <w:sz w:val="13"/>
                <w:szCs w:val="13"/>
                <w:color w:val="auto"/>
              </w:rPr>
            </w:pPr>
          </w:p>
        </w:tc>
        <w:tc>
          <w:tcPr>
            <w:tcW w:w="44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560" w:type="dxa"/>
            <w:vAlign w:val="bottom"/>
            <w:shd w:val="clear" w:color="auto" w:fill="D8D8D8"/>
          </w:tcPr>
          <w:p>
            <w:pPr>
              <w:spacing w:after="0"/>
              <w:rPr>
                <w:sz w:val="13"/>
                <w:szCs w:val="13"/>
                <w:color w:val="auto"/>
              </w:rPr>
            </w:pPr>
          </w:p>
        </w:tc>
      </w:tr>
      <w:tr>
        <w:trPr>
          <w:trHeight w:val="204"/>
        </w:trPr>
        <w:tc>
          <w:tcPr>
            <w:tcW w:w="3200" w:type="dxa"/>
            <w:vAlign w:val="bottom"/>
            <w:gridSpan w:val="2"/>
          </w:tcPr>
          <w:p>
            <w:pPr>
              <w:spacing w:after="0"/>
              <w:rPr>
                <w:sz w:val="20"/>
                <w:szCs w:val="20"/>
                <w:color w:val="auto"/>
              </w:rPr>
            </w:pPr>
            <w:r>
              <w:rPr>
                <w:rFonts w:ascii="Arial" w:cs="Arial" w:eastAsia="Arial" w:hAnsi="Arial"/>
                <w:sz w:val="13"/>
                <w:szCs w:val="13"/>
                <w:color w:val="auto"/>
              </w:rPr>
              <w:t>Lois D. Juliber</w:t>
            </w:r>
          </w:p>
        </w:tc>
        <w:tc>
          <w:tcPr>
            <w:tcW w:w="540" w:type="dxa"/>
            <w:vAlign w:val="bottom"/>
            <w:gridSpan w:val="2"/>
          </w:tcPr>
          <w:p>
            <w:pPr>
              <w:jc w:val="center"/>
              <w:ind w:left="156"/>
              <w:spacing w:after="0"/>
              <w:rPr>
                <w:sz w:val="20"/>
                <w:szCs w:val="20"/>
                <w:color w:val="auto"/>
              </w:rPr>
            </w:pPr>
            <w:r>
              <w:rPr>
                <w:rFonts w:ascii="Arial" w:cs="Arial" w:eastAsia="Arial" w:hAnsi="Arial"/>
                <w:sz w:val="13"/>
                <w:szCs w:val="13"/>
                <w:color w:val="auto"/>
              </w:rPr>
              <w:t>63</w:t>
            </w: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2007</w:t>
            </w:r>
          </w:p>
        </w:tc>
        <w:tc>
          <w:tcPr>
            <w:tcW w:w="1980" w:type="dxa"/>
            <w:vAlign w:val="bottom"/>
            <w:gridSpan w:val="3"/>
          </w:tcPr>
          <w:p>
            <w:pPr>
              <w:ind w:left="220"/>
              <w:spacing w:after="0"/>
              <w:rPr>
                <w:sz w:val="20"/>
                <w:szCs w:val="20"/>
                <w:color w:val="auto"/>
              </w:rPr>
            </w:pPr>
            <w:r>
              <w:rPr>
                <w:rFonts w:ascii="Arial" w:cs="Arial" w:eastAsia="Arial" w:hAnsi="Arial"/>
                <w:sz w:val="13"/>
                <w:szCs w:val="13"/>
                <w:color w:val="auto"/>
              </w:rPr>
              <w:t>Former Vice Chairman</w:t>
            </w: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Yes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Vice</w:t>
            </w:r>
          </w:p>
        </w:tc>
        <w:tc>
          <w:tcPr>
            <w:tcW w:w="56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141"/>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80" w:type="dxa"/>
            <w:vAlign w:val="bottom"/>
            <w:gridSpan w:val="3"/>
          </w:tcPr>
          <w:p>
            <w:pPr>
              <w:ind w:left="220"/>
              <w:spacing w:after="0" w:line="141" w:lineRule="exact"/>
              <w:rPr>
                <w:sz w:val="20"/>
                <w:szCs w:val="20"/>
                <w:color w:val="auto"/>
              </w:rPr>
            </w:pPr>
            <w:r>
              <w:rPr>
                <w:rFonts w:ascii="Arial" w:cs="Arial" w:eastAsia="Arial" w:hAnsi="Arial"/>
                <w:sz w:val="13"/>
                <w:szCs w:val="13"/>
                <w:color w:val="auto"/>
              </w:rPr>
              <w:t>and COO, Colgate-</w:t>
            </w: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ind w:right="200"/>
              <w:spacing w:after="0" w:line="141" w:lineRule="exact"/>
              <w:rPr>
                <w:sz w:val="20"/>
                <w:szCs w:val="20"/>
                <w:color w:val="auto"/>
              </w:rPr>
            </w:pPr>
            <w:r>
              <w:rPr>
                <w:rFonts w:ascii="Arial" w:cs="Arial" w:eastAsia="Arial" w:hAnsi="Arial"/>
                <w:sz w:val="13"/>
                <w:szCs w:val="13"/>
                <w:color w:val="auto"/>
                <w:w w:val="96"/>
              </w:rPr>
              <w:t>Chair</w:t>
            </w:r>
          </w:p>
        </w:tc>
        <w:tc>
          <w:tcPr>
            <w:tcW w:w="560" w:type="dxa"/>
            <w:vAlign w:val="bottom"/>
          </w:tcPr>
          <w:p>
            <w:pPr>
              <w:spacing w:after="0"/>
              <w:rPr>
                <w:sz w:val="12"/>
                <w:szCs w:val="12"/>
                <w:color w:val="auto"/>
              </w:rPr>
            </w:pPr>
          </w:p>
        </w:tc>
      </w:tr>
      <w:tr>
        <w:trPr>
          <w:trHeight w:val="141"/>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80" w:type="dxa"/>
            <w:vAlign w:val="bottom"/>
            <w:gridSpan w:val="3"/>
          </w:tcPr>
          <w:p>
            <w:pPr>
              <w:ind w:left="220"/>
              <w:spacing w:after="0" w:line="141" w:lineRule="exact"/>
              <w:rPr>
                <w:sz w:val="20"/>
                <w:szCs w:val="20"/>
                <w:color w:val="auto"/>
              </w:rPr>
            </w:pPr>
            <w:r>
              <w:rPr>
                <w:rFonts w:ascii="Arial" w:cs="Arial" w:eastAsia="Arial" w:hAnsi="Arial"/>
                <w:sz w:val="13"/>
                <w:szCs w:val="13"/>
                <w:color w:val="auto"/>
              </w:rPr>
              <w:t>Palmolive Company</w:t>
            </w: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4"/>
        </w:trPr>
        <w:tc>
          <w:tcPr>
            <w:tcW w:w="320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Mark D. Ketchum</w:t>
            </w:r>
          </w:p>
        </w:tc>
        <w:tc>
          <w:tcPr>
            <w:tcW w:w="540" w:type="dxa"/>
            <w:vAlign w:val="bottom"/>
            <w:gridSpan w:val="2"/>
            <w:shd w:val="clear" w:color="auto" w:fill="D8D8D8"/>
          </w:tcPr>
          <w:p>
            <w:pPr>
              <w:jc w:val="center"/>
              <w:ind w:left="156"/>
              <w:spacing w:after="0"/>
              <w:rPr>
                <w:sz w:val="20"/>
                <w:szCs w:val="20"/>
                <w:color w:val="auto"/>
              </w:rPr>
            </w:pPr>
            <w:r>
              <w:rPr>
                <w:rFonts w:ascii="Arial" w:cs="Arial" w:eastAsia="Arial" w:hAnsi="Arial"/>
                <w:sz w:val="13"/>
                <w:szCs w:val="13"/>
                <w:color w:val="auto"/>
              </w:rPr>
              <w:t>62</w:t>
            </w:r>
          </w:p>
        </w:tc>
        <w:tc>
          <w:tcPr>
            <w:tcW w:w="220" w:type="dxa"/>
            <w:vAlign w:val="bottom"/>
            <w:shd w:val="clear" w:color="auto" w:fill="D8D8D8"/>
          </w:tcPr>
          <w:p>
            <w:pPr>
              <w:spacing w:after="0"/>
              <w:rPr>
                <w:sz w:val="17"/>
                <w:szCs w:val="17"/>
                <w:color w:val="auto"/>
              </w:rPr>
            </w:pPr>
          </w:p>
        </w:tc>
        <w:tc>
          <w:tcPr>
            <w:tcW w:w="88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6"/>
              </w:rPr>
              <w:t>2007</w:t>
            </w:r>
          </w:p>
        </w:tc>
        <w:tc>
          <w:tcPr>
            <w:tcW w:w="1980" w:type="dxa"/>
            <w:vAlign w:val="bottom"/>
            <w:gridSpan w:val="3"/>
            <w:shd w:val="clear" w:color="auto" w:fill="D8D8D8"/>
          </w:tcPr>
          <w:p>
            <w:pPr>
              <w:ind w:left="220"/>
              <w:spacing w:after="0"/>
              <w:rPr>
                <w:sz w:val="20"/>
                <w:szCs w:val="20"/>
                <w:color w:val="auto"/>
              </w:rPr>
            </w:pPr>
            <w:r>
              <w:rPr>
                <w:rFonts w:ascii="Arial" w:cs="Arial" w:eastAsia="Arial" w:hAnsi="Arial"/>
                <w:sz w:val="13"/>
                <w:szCs w:val="13"/>
                <w:color w:val="auto"/>
              </w:rPr>
              <w:t>Former President and</w:t>
            </w:r>
          </w:p>
        </w:tc>
        <w:tc>
          <w:tcPr>
            <w:tcW w:w="1520" w:type="dxa"/>
            <w:vAlign w:val="bottom"/>
            <w:gridSpan w:val="2"/>
            <w:shd w:val="clear" w:color="auto" w:fill="D8D8D8"/>
          </w:tcPr>
          <w:p>
            <w:pPr>
              <w:jc w:val="center"/>
              <w:ind w:right="220"/>
              <w:spacing w:after="0"/>
              <w:rPr>
                <w:sz w:val="20"/>
                <w:szCs w:val="20"/>
                <w:color w:val="auto"/>
              </w:rPr>
            </w:pPr>
            <w:r>
              <w:rPr>
                <w:rFonts w:ascii="Arial" w:cs="Arial" w:eastAsia="Arial" w:hAnsi="Arial"/>
                <w:sz w:val="13"/>
                <w:szCs w:val="13"/>
                <w:color w:val="auto"/>
                <w:w w:val="97"/>
              </w:rPr>
              <w:t>Yes</w:t>
            </w:r>
          </w:p>
        </w:tc>
        <w:tc>
          <w:tcPr>
            <w:tcW w:w="660" w:type="dxa"/>
            <w:vAlign w:val="bottom"/>
            <w:gridSpan w:val="2"/>
            <w:shd w:val="clear" w:color="auto" w:fill="D8D8D8"/>
          </w:tcPr>
          <w:p>
            <w:pPr>
              <w:jc w:val="center"/>
              <w:ind w:right="220"/>
              <w:spacing w:after="0"/>
              <w:rPr>
                <w:sz w:val="20"/>
                <w:szCs w:val="20"/>
                <w:color w:val="auto"/>
              </w:rPr>
            </w:pPr>
            <w:r>
              <w:rPr>
                <w:rFonts w:ascii="Arial" w:cs="Arial" w:eastAsia="Arial" w:hAnsi="Arial"/>
                <w:sz w:val="13"/>
                <w:szCs w:val="13"/>
                <w:color w:val="auto"/>
                <w:w w:val="91"/>
              </w:rPr>
              <w:t>X</w:t>
            </w:r>
          </w:p>
        </w:tc>
        <w:tc>
          <w:tcPr>
            <w:tcW w:w="660" w:type="dxa"/>
            <w:vAlign w:val="bottom"/>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44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560" w:type="dxa"/>
            <w:vAlign w:val="bottom"/>
            <w:shd w:val="clear" w:color="auto" w:fill="D8D8D8"/>
          </w:tcPr>
          <w:p>
            <w:pPr>
              <w:spacing w:after="0"/>
              <w:rPr>
                <w:sz w:val="17"/>
                <w:szCs w:val="17"/>
                <w:color w:val="auto"/>
              </w:rPr>
            </w:pPr>
          </w:p>
        </w:tc>
      </w:tr>
      <w:tr>
        <w:trPr>
          <w:trHeight w:val="141"/>
        </w:trPr>
        <w:tc>
          <w:tcPr>
            <w:tcW w:w="360" w:type="dxa"/>
            <w:vAlign w:val="bottom"/>
            <w:shd w:val="clear" w:color="auto" w:fill="D8D8D8"/>
          </w:tcPr>
          <w:p>
            <w:pPr>
              <w:spacing w:after="0"/>
              <w:rPr>
                <w:sz w:val="12"/>
                <w:szCs w:val="12"/>
                <w:color w:val="auto"/>
              </w:rPr>
            </w:pPr>
          </w:p>
        </w:tc>
        <w:tc>
          <w:tcPr>
            <w:tcW w:w="28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980" w:type="dxa"/>
            <w:vAlign w:val="bottom"/>
            <w:gridSpan w:val="3"/>
            <w:shd w:val="clear" w:color="auto" w:fill="D8D8D8"/>
          </w:tcPr>
          <w:p>
            <w:pPr>
              <w:ind w:left="220"/>
              <w:spacing w:after="0" w:line="141" w:lineRule="exact"/>
              <w:rPr>
                <w:sz w:val="20"/>
                <w:szCs w:val="20"/>
                <w:color w:val="auto"/>
              </w:rPr>
            </w:pPr>
            <w:r>
              <w:rPr>
                <w:rFonts w:ascii="Arial" w:cs="Arial" w:eastAsia="Arial" w:hAnsi="Arial"/>
                <w:sz w:val="13"/>
                <w:szCs w:val="13"/>
                <w:color w:val="auto"/>
              </w:rPr>
              <w:t>CEO, Newell</w:t>
            </w:r>
          </w:p>
        </w:tc>
        <w:tc>
          <w:tcPr>
            <w:tcW w:w="1520" w:type="dxa"/>
            <w:vAlign w:val="bottom"/>
            <w:gridSpan w:val="2"/>
            <w:shd w:val="clear" w:color="auto" w:fill="D8D8D8"/>
          </w:tcPr>
          <w:p>
            <w:pPr>
              <w:jc w:val="center"/>
              <w:ind w:right="220"/>
              <w:spacing w:after="0" w:line="141" w:lineRule="exact"/>
              <w:rPr>
                <w:sz w:val="20"/>
                <w:szCs w:val="20"/>
                <w:color w:val="auto"/>
              </w:rPr>
            </w:pPr>
            <w:r>
              <w:rPr>
                <w:rFonts w:ascii="Arial" w:cs="Arial" w:eastAsia="Arial" w:hAnsi="Arial"/>
                <w:sz w:val="13"/>
                <w:szCs w:val="13"/>
                <w:color w:val="auto"/>
                <w:w w:val="99"/>
              </w:rPr>
              <w:t>(Lead Director)</w:t>
            </w:r>
          </w:p>
        </w:tc>
        <w:tc>
          <w:tcPr>
            <w:tcW w:w="4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560" w:type="dxa"/>
            <w:vAlign w:val="bottom"/>
            <w:shd w:val="clear" w:color="auto" w:fill="D8D8D8"/>
          </w:tcPr>
          <w:p>
            <w:pPr>
              <w:spacing w:after="0"/>
              <w:rPr>
                <w:sz w:val="12"/>
                <w:szCs w:val="12"/>
                <w:color w:val="auto"/>
              </w:rPr>
            </w:pPr>
          </w:p>
        </w:tc>
      </w:tr>
      <w:tr>
        <w:trPr>
          <w:trHeight w:val="141"/>
        </w:trPr>
        <w:tc>
          <w:tcPr>
            <w:tcW w:w="360" w:type="dxa"/>
            <w:vAlign w:val="bottom"/>
            <w:shd w:val="clear" w:color="auto" w:fill="D8D8D8"/>
          </w:tcPr>
          <w:p>
            <w:pPr>
              <w:spacing w:after="0"/>
              <w:rPr>
                <w:sz w:val="12"/>
                <w:szCs w:val="12"/>
                <w:color w:val="auto"/>
              </w:rPr>
            </w:pPr>
          </w:p>
        </w:tc>
        <w:tc>
          <w:tcPr>
            <w:tcW w:w="28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980" w:type="dxa"/>
            <w:vAlign w:val="bottom"/>
            <w:gridSpan w:val="3"/>
            <w:shd w:val="clear" w:color="auto" w:fill="D8D8D8"/>
          </w:tcPr>
          <w:p>
            <w:pPr>
              <w:ind w:left="220"/>
              <w:spacing w:after="0" w:line="141" w:lineRule="exact"/>
              <w:rPr>
                <w:sz w:val="20"/>
                <w:szCs w:val="20"/>
                <w:color w:val="auto"/>
              </w:rPr>
            </w:pPr>
            <w:r>
              <w:rPr>
                <w:rFonts w:ascii="Arial" w:cs="Arial" w:eastAsia="Arial" w:hAnsi="Arial"/>
                <w:sz w:val="13"/>
                <w:szCs w:val="13"/>
                <w:color w:val="auto"/>
              </w:rPr>
              <w:t>Rubbermaid Inc.</w:t>
            </w:r>
          </w:p>
        </w:tc>
        <w:tc>
          <w:tcPr>
            <w:tcW w:w="130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560" w:type="dxa"/>
            <w:vAlign w:val="bottom"/>
            <w:shd w:val="clear" w:color="auto" w:fill="D8D8D8"/>
          </w:tcPr>
          <w:p>
            <w:pPr>
              <w:spacing w:after="0"/>
              <w:rPr>
                <w:sz w:val="12"/>
                <w:szCs w:val="12"/>
                <w:color w:val="auto"/>
              </w:rPr>
            </w:pPr>
          </w:p>
        </w:tc>
      </w:tr>
      <w:tr>
        <w:trPr>
          <w:trHeight w:val="204"/>
        </w:trPr>
        <w:tc>
          <w:tcPr>
            <w:tcW w:w="3200" w:type="dxa"/>
            <w:vAlign w:val="bottom"/>
            <w:gridSpan w:val="2"/>
          </w:tcPr>
          <w:p>
            <w:pPr>
              <w:spacing w:after="0"/>
              <w:rPr>
                <w:sz w:val="20"/>
                <w:szCs w:val="20"/>
                <w:color w:val="auto"/>
              </w:rPr>
            </w:pPr>
            <w:r>
              <w:rPr>
                <w:rFonts w:ascii="Arial" w:cs="Arial" w:eastAsia="Arial" w:hAnsi="Arial"/>
                <w:sz w:val="13"/>
                <w:szCs w:val="13"/>
                <w:color w:val="auto"/>
              </w:rPr>
              <w:t>Terry J. Lundgren</w:t>
            </w:r>
          </w:p>
        </w:tc>
        <w:tc>
          <w:tcPr>
            <w:tcW w:w="540" w:type="dxa"/>
            <w:vAlign w:val="bottom"/>
            <w:gridSpan w:val="2"/>
          </w:tcPr>
          <w:p>
            <w:pPr>
              <w:jc w:val="center"/>
              <w:ind w:left="156"/>
              <w:spacing w:after="0"/>
              <w:rPr>
                <w:sz w:val="20"/>
                <w:szCs w:val="20"/>
                <w:color w:val="auto"/>
              </w:rPr>
            </w:pPr>
            <w:r>
              <w:rPr>
                <w:rFonts w:ascii="Arial" w:cs="Arial" w:eastAsia="Arial" w:hAnsi="Arial"/>
                <w:sz w:val="13"/>
                <w:szCs w:val="13"/>
                <w:color w:val="auto"/>
              </w:rPr>
              <w:t>60</w:t>
            </w: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New Nominee</w:t>
            </w:r>
          </w:p>
        </w:tc>
        <w:tc>
          <w:tcPr>
            <w:tcW w:w="1980" w:type="dxa"/>
            <w:vAlign w:val="bottom"/>
            <w:gridSpan w:val="3"/>
          </w:tcPr>
          <w:p>
            <w:pPr>
              <w:ind w:left="220"/>
              <w:spacing w:after="0"/>
              <w:rPr>
                <w:sz w:val="20"/>
                <w:szCs w:val="20"/>
                <w:color w:val="auto"/>
              </w:rPr>
            </w:pPr>
            <w:r>
              <w:rPr>
                <w:rFonts w:ascii="Arial" w:cs="Arial" w:eastAsia="Arial" w:hAnsi="Arial"/>
                <w:sz w:val="13"/>
                <w:szCs w:val="13"/>
                <w:color w:val="auto"/>
              </w:rPr>
              <w:t>President and CEO,</w:t>
            </w: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Yes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41"/>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80" w:type="dxa"/>
            <w:vAlign w:val="bottom"/>
            <w:gridSpan w:val="3"/>
          </w:tcPr>
          <w:p>
            <w:pPr>
              <w:ind w:left="220"/>
              <w:spacing w:after="0" w:line="141" w:lineRule="exact"/>
              <w:rPr>
                <w:sz w:val="20"/>
                <w:szCs w:val="20"/>
                <w:color w:val="auto"/>
              </w:rPr>
            </w:pPr>
            <w:r>
              <w:rPr>
                <w:rFonts w:ascii="Arial" w:cs="Arial" w:eastAsia="Arial" w:hAnsi="Arial"/>
                <w:sz w:val="13"/>
                <w:szCs w:val="13"/>
                <w:color w:val="auto"/>
              </w:rPr>
              <w:t>Macy’s, Inc.</w:t>
            </w: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04"/>
        </w:trPr>
        <w:tc>
          <w:tcPr>
            <w:tcW w:w="320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Mackey J. McDonald</w:t>
            </w:r>
          </w:p>
        </w:tc>
        <w:tc>
          <w:tcPr>
            <w:tcW w:w="540" w:type="dxa"/>
            <w:vAlign w:val="bottom"/>
            <w:gridSpan w:val="2"/>
            <w:shd w:val="clear" w:color="auto" w:fill="D8D8D8"/>
          </w:tcPr>
          <w:p>
            <w:pPr>
              <w:jc w:val="center"/>
              <w:ind w:left="156"/>
              <w:spacing w:after="0"/>
              <w:rPr>
                <w:sz w:val="20"/>
                <w:szCs w:val="20"/>
                <w:color w:val="auto"/>
              </w:rPr>
            </w:pPr>
            <w:r>
              <w:rPr>
                <w:rFonts w:ascii="Arial" w:cs="Arial" w:eastAsia="Arial" w:hAnsi="Arial"/>
                <w:sz w:val="13"/>
                <w:szCs w:val="13"/>
                <w:color w:val="auto"/>
              </w:rPr>
              <w:t>65</w:t>
            </w:r>
          </w:p>
        </w:tc>
        <w:tc>
          <w:tcPr>
            <w:tcW w:w="220" w:type="dxa"/>
            <w:vAlign w:val="bottom"/>
            <w:shd w:val="clear" w:color="auto" w:fill="D8D8D8"/>
          </w:tcPr>
          <w:p>
            <w:pPr>
              <w:spacing w:after="0"/>
              <w:rPr>
                <w:sz w:val="17"/>
                <w:szCs w:val="17"/>
                <w:color w:val="auto"/>
              </w:rPr>
            </w:pPr>
          </w:p>
        </w:tc>
        <w:tc>
          <w:tcPr>
            <w:tcW w:w="88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6"/>
              </w:rPr>
              <w:t>2010</w:t>
            </w:r>
          </w:p>
        </w:tc>
        <w:tc>
          <w:tcPr>
            <w:tcW w:w="1980" w:type="dxa"/>
            <w:vAlign w:val="bottom"/>
            <w:gridSpan w:val="3"/>
            <w:shd w:val="clear" w:color="auto" w:fill="D8D8D8"/>
          </w:tcPr>
          <w:p>
            <w:pPr>
              <w:ind w:left="220"/>
              <w:spacing w:after="0"/>
              <w:rPr>
                <w:sz w:val="20"/>
                <w:szCs w:val="20"/>
                <w:color w:val="auto"/>
              </w:rPr>
            </w:pPr>
            <w:r>
              <w:rPr>
                <w:rFonts w:ascii="Arial" w:cs="Arial" w:eastAsia="Arial" w:hAnsi="Arial"/>
                <w:sz w:val="13"/>
                <w:szCs w:val="13"/>
                <w:color w:val="auto"/>
              </w:rPr>
              <w:t>Senior Advisor,</w:t>
            </w:r>
          </w:p>
        </w:tc>
        <w:tc>
          <w:tcPr>
            <w:tcW w:w="1520" w:type="dxa"/>
            <w:vAlign w:val="bottom"/>
            <w:gridSpan w:val="2"/>
            <w:shd w:val="clear" w:color="auto" w:fill="D8D8D8"/>
          </w:tcPr>
          <w:p>
            <w:pPr>
              <w:jc w:val="center"/>
              <w:ind w:right="220"/>
              <w:spacing w:after="0"/>
              <w:rPr>
                <w:sz w:val="20"/>
                <w:szCs w:val="20"/>
                <w:color w:val="auto"/>
              </w:rPr>
            </w:pPr>
            <w:r>
              <w:rPr>
                <w:rFonts w:ascii="Arial" w:cs="Arial" w:eastAsia="Arial" w:hAnsi="Arial"/>
                <w:sz w:val="13"/>
                <w:szCs w:val="13"/>
                <w:color w:val="auto"/>
                <w:w w:val="97"/>
              </w:rPr>
              <w:t>Yes</w:t>
            </w:r>
          </w:p>
        </w:tc>
        <w:tc>
          <w:tcPr>
            <w:tcW w:w="660" w:type="dxa"/>
            <w:vAlign w:val="bottom"/>
            <w:gridSpan w:val="2"/>
            <w:shd w:val="clear" w:color="auto" w:fill="D8D8D8"/>
          </w:tcPr>
          <w:p>
            <w:pPr>
              <w:jc w:val="center"/>
              <w:ind w:right="220"/>
              <w:spacing w:after="0"/>
              <w:rPr>
                <w:sz w:val="20"/>
                <w:szCs w:val="20"/>
                <w:color w:val="auto"/>
              </w:rPr>
            </w:pPr>
            <w:r>
              <w:rPr>
                <w:rFonts w:ascii="Arial" w:cs="Arial" w:eastAsia="Arial" w:hAnsi="Arial"/>
                <w:sz w:val="13"/>
                <w:szCs w:val="13"/>
                <w:color w:val="auto"/>
                <w:w w:val="91"/>
              </w:rPr>
              <w:t>X</w:t>
            </w:r>
          </w:p>
        </w:tc>
        <w:tc>
          <w:tcPr>
            <w:tcW w:w="860" w:type="dxa"/>
            <w:vAlign w:val="bottom"/>
            <w:gridSpan w:val="2"/>
            <w:shd w:val="clear" w:color="auto" w:fill="D8D8D8"/>
          </w:tcPr>
          <w:p>
            <w:pPr>
              <w:jc w:val="center"/>
              <w:ind w:right="220"/>
              <w:spacing w:after="0"/>
              <w:rPr>
                <w:sz w:val="20"/>
                <w:szCs w:val="20"/>
                <w:color w:val="auto"/>
              </w:rPr>
            </w:pPr>
            <w:r>
              <w:rPr>
                <w:rFonts w:ascii="Arial" w:cs="Arial" w:eastAsia="Arial" w:hAnsi="Arial"/>
                <w:sz w:val="13"/>
                <w:szCs w:val="13"/>
                <w:color w:val="auto"/>
                <w:w w:val="91"/>
              </w:rPr>
              <w:t>X</w:t>
            </w:r>
          </w:p>
        </w:tc>
        <w:tc>
          <w:tcPr>
            <w:tcW w:w="44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560" w:type="dxa"/>
            <w:vAlign w:val="bottom"/>
            <w:shd w:val="clear" w:color="auto" w:fill="D8D8D8"/>
          </w:tcPr>
          <w:p>
            <w:pPr>
              <w:spacing w:after="0"/>
              <w:rPr>
                <w:sz w:val="17"/>
                <w:szCs w:val="17"/>
                <w:color w:val="auto"/>
              </w:rPr>
            </w:pPr>
          </w:p>
        </w:tc>
      </w:tr>
      <w:tr>
        <w:trPr>
          <w:trHeight w:val="141"/>
        </w:trPr>
        <w:tc>
          <w:tcPr>
            <w:tcW w:w="360" w:type="dxa"/>
            <w:vAlign w:val="bottom"/>
            <w:shd w:val="clear" w:color="auto" w:fill="D8D8D8"/>
          </w:tcPr>
          <w:p>
            <w:pPr>
              <w:spacing w:after="0"/>
              <w:rPr>
                <w:sz w:val="12"/>
                <w:szCs w:val="12"/>
                <w:color w:val="auto"/>
              </w:rPr>
            </w:pPr>
          </w:p>
        </w:tc>
        <w:tc>
          <w:tcPr>
            <w:tcW w:w="28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980" w:type="dxa"/>
            <w:vAlign w:val="bottom"/>
            <w:gridSpan w:val="3"/>
            <w:shd w:val="clear" w:color="auto" w:fill="D8D8D8"/>
          </w:tcPr>
          <w:p>
            <w:pPr>
              <w:ind w:left="220"/>
              <w:spacing w:after="0" w:line="141" w:lineRule="exact"/>
              <w:rPr>
                <w:sz w:val="20"/>
                <w:szCs w:val="20"/>
                <w:color w:val="auto"/>
              </w:rPr>
            </w:pPr>
            <w:r>
              <w:rPr>
                <w:rFonts w:ascii="Arial" w:cs="Arial" w:eastAsia="Arial" w:hAnsi="Arial"/>
                <w:sz w:val="13"/>
                <w:szCs w:val="13"/>
                <w:color w:val="auto"/>
              </w:rPr>
              <w:t>Crestview Partners</w:t>
            </w:r>
          </w:p>
        </w:tc>
        <w:tc>
          <w:tcPr>
            <w:tcW w:w="130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66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220" w:type="dxa"/>
            <w:vAlign w:val="bottom"/>
            <w:shd w:val="clear" w:color="auto" w:fill="D8D8D8"/>
          </w:tcPr>
          <w:p>
            <w:pPr>
              <w:spacing w:after="0"/>
              <w:rPr>
                <w:sz w:val="12"/>
                <w:szCs w:val="12"/>
                <w:color w:val="auto"/>
              </w:rPr>
            </w:pPr>
          </w:p>
        </w:tc>
        <w:tc>
          <w:tcPr>
            <w:tcW w:w="560" w:type="dxa"/>
            <w:vAlign w:val="bottom"/>
            <w:shd w:val="clear" w:color="auto" w:fill="D8D8D8"/>
          </w:tcPr>
          <w:p>
            <w:pPr>
              <w:spacing w:after="0"/>
              <w:rPr>
                <w:sz w:val="12"/>
                <w:szCs w:val="12"/>
                <w:color w:val="auto"/>
              </w:rPr>
            </w:pPr>
          </w:p>
        </w:tc>
      </w:tr>
      <w:tr>
        <w:trPr>
          <w:trHeight w:val="204"/>
        </w:trPr>
        <w:tc>
          <w:tcPr>
            <w:tcW w:w="3200" w:type="dxa"/>
            <w:vAlign w:val="bottom"/>
            <w:gridSpan w:val="2"/>
          </w:tcPr>
          <w:p>
            <w:pPr>
              <w:spacing w:after="0"/>
              <w:rPr>
                <w:sz w:val="20"/>
                <w:szCs w:val="20"/>
                <w:color w:val="auto"/>
              </w:rPr>
            </w:pPr>
            <w:r>
              <w:rPr>
                <w:rFonts w:ascii="Arial" w:cs="Arial" w:eastAsia="Arial" w:hAnsi="Arial"/>
                <w:sz w:val="13"/>
                <w:szCs w:val="13"/>
                <w:color w:val="auto"/>
              </w:rPr>
              <w:t>Jorge S. Mesquita</w:t>
            </w:r>
          </w:p>
        </w:tc>
        <w:tc>
          <w:tcPr>
            <w:tcW w:w="540" w:type="dxa"/>
            <w:vAlign w:val="bottom"/>
            <w:gridSpan w:val="2"/>
          </w:tcPr>
          <w:p>
            <w:pPr>
              <w:jc w:val="center"/>
              <w:ind w:left="156"/>
              <w:spacing w:after="0"/>
              <w:rPr>
                <w:sz w:val="20"/>
                <w:szCs w:val="20"/>
                <w:color w:val="auto"/>
              </w:rPr>
            </w:pPr>
            <w:r>
              <w:rPr>
                <w:rFonts w:ascii="Arial" w:cs="Arial" w:eastAsia="Arial" w:hAnsi="Arial"/>
                <w:sz w:val="13"/>
                <w:szCs w:val="13"/>
                <w:color w:val="auto"/>
              </w:rPr>
              <w:t>50</w:t>
            </w:r>
          </w:p>
        </w:tc>
        <w:tc>
          <w:tcPr>
            <w:tcW w:w="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7"/>
              </w:rPr>
              <w:t>New Nominee</w:t>
            </w:r>
          </w:p>
        </w:tc>
        <w:tc>
          <w:tcPr>
            <w:tcW w:w="1980" w:type="dxa"/>
            <w:vAlign w:val="bottom"/>
            <w:gridSpan w:val="3"/>
          </w:tcPr>
          <w:p>
            <w:pPr>
              <w:ind w:left="220"/>
              <w:spacing w:after="0"/>
              <w:rPr>
                <w:sz w:val="20"/>
                <w:szCs w:val="20"/>
                <w:color w:val="auto"/>
              </w:rPr>
            </w:pPr>
            <w:r>
              <w:rPr>
                <w:rFonts w:ascii="Arial" w:cs="Arial" w:eastAsia="Arial" w:hAnsi="Arial"/>
                <w:sz w:val="13"/>
                <w:szCs w:val="13"/>
                <w:color w:val="auto"/>
              </w:rPr>
              <w:t>Group President – New</w:t>
            </w:r>
          </w:p>
        </w:tc>
        <w:tc>
          <w:tcPr>
            <w:tcW w:w="152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Yes</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41"/>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80" w:type="dxa"/>
            <w:vAlign w:val="bottom"/>
            <w:gridSpan w:val="3"/>
          </w:tcPr>
          <w:p>
            <w:pPr>
              <w:ind w:left="220"/>
              <w:spacing w:after="0" w:line="141" w:lineRule="exact"/>
              <w:rPr>
                <w:sz w:val="20"/>
                <w:szCs w:val="20"/>
                <w:color w:val="auto"/>
              </w:rPr>
            </w:pPr>
            <w:r>
              <w:rPr>
                <w:rFonts w:ascii="Arial" w:cs="Arial" w:eastAsia="Arial" w:hAnsi="Arial"/>
                <w:sz w:val="13"/>
                <w:szCs w:val="13"/>
                <w:color w:val="auto"/>
              </w:rPr>
              <w:t>Business Creation and</w:t>
            </w: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1"/>
        </w:trPr>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980" w:type="dxa"/>
            <w:vAlign w:val="bottom"/>
            <w:gridSpan w:val="3"/>
          </w:tcPr>
          <w:p>
            <w:pPr>
              <w:ind w:left="220"/>
              <w:spacing w:after="0" w:line="141" w:lineRule="exact"/>
              <w:rPr>
                <w:sz w:val="20"/>
                <w:szCs w:val="20"/>
                <w:color w:val="auto"/>
              </w:rPr>
            </w:pPr>
            <w:r>
              <w:rPr>
                <w:rFonts w:ascii="Arial" w:cs="Arial" w:eastAsia="Arial" w:hAnsi="Arial"/>
                <w:sz w:val="13"/>
                <w:szCs w:val="13"/>
                <w:color w:val="auto"/>
              </w:rPr>
              <w:t>Innovation, The Procter</w:t>
            </w: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54"/>
        </w:trPr>
        <w:tc>
          <w:tcPr>
            <w:tcW w:w="36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980" w:type="dxa"/>
            <w:vAlign w:val="bottom"/>
            <w:gridSpan w:val="3"/>
          </w:tcPr>
          <w:p>
            <w:pPr>
              <w:ind w:left="220"/>
              <w:spacing w:after="0"/>
              <w:rPr>
                <w:sz w:val="20"/>
                <w:szCs w:val="20"/>
                <w:color w:val="auto"/>
              </w:rPr>
            </w:pPr>
            <w:r>
              <w:rPr>
                <w:rFonts w:ascii="Arial" w:cs="Arial" w:eastAsia="Arial" w:hAnsi="Arial"/>
                <w:sz w:val="13"/>
                <w:szCs w:val="13"/>
                <w:color w:val="auto"/>
              </w:rPr>
              <w:t>&amp; Gamble Company</w:t>
            </w: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r>
    </w:tbl>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80"/>
          </w:cols>
          <w:pgMar w:left="240" w:top="443" w:right="379" w:bottom="1440" w:gutter="0" w:footer="0" w:header="0"/>
          <w:type w:val="continuous"/>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7282815" cy="51384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2815" cy="513842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Director</w:t>
            </w:r>
          </w:p>
        </w:tc>
        <w:tc>
          <w:tcPr>
            <w:tcW w:w="120" w:type="dxa"/>
            <w:vAlign w:val="bottom"/>
          </w:tcPr>
          <w:p>
            <w:pPr>
              <w:spacing w:after="0"/>
              <w:rPr>
                <w:sz w:val="13"/>
                <w:szCs w:val="13"/>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Occupation and</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4"/>
          </w:tcPr>
          <w:p>
            <w:pPr>
              <w:ind w:left="200"/>
              <w:spacing w:after="0"/>
              <w:rPr>
                <w:sz w:val="20"/>
                <w:szCs w:val="20"/>
                <w:color w:val="auto"/>
              </w:rPr>
            </w:pPr>
            <w:r>
              <w:rPr>
                <w:rFonts w:ascii="Arial" w:cs="Arial" w:eastAsia="Arial" w:hAnsi="Arial"/>
                <w:sz w:val="13"/>
                <w:szCs w:val="13"/>
                <w:b w:val="1"/>
                <w:bCs w:val="1"/>
                <w:color w:val="auto"/>
              </w:rPr>
              <w:t>Board Committees*</w:t>
            </w:r>
          </w:p>
        </w:tc>
        <w:tc>
          <w:tcPr>
            <w:tcW w:w="660" w:type="dxa"/>
            <w:vAlign w:val="bottom"/>
          </w:tcPr>
          <w:p>
            <w:pPr>
              <w:spacing w:after="0"/>
              <w:rPr>
                <w:sz w:val="13"/>
                <w:szCs w:val="13"/>
                <w:color w:val="auto"/>
              </w:rPr>
            </w:pPr>
          </w:p>
        </w:tc>
      </w:tr>
      <w:tr>
        <w:trPr>
          <w:trHeight w:val="177"/>
        </w:trPr>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Age</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7"/>
              </w:rPr>
              <w:t>Since</w:t>
            </w:r>
          </w:p>
        </w:tc>
        <w:tc>
          <w:tcPr>
            <w:tcW w:w="120" w:type="dxa"/>
            <w:vAlign w:val="bottom"/>
          </w:tcPr>
          <w:p>
            <w:pPr>
              <w:spacing w:after="0"/>
              <w:rPr>
                <w:sz w:val="15"/>
                <w:szCs w:val="15"/>
                <w:color w:val="auto"/>
              </w:rPr>
            </w:pPr>
          </w:p>
        </w:tc>
        <w:tc>
          <w:tcPr>
            <w:tcW w:w="2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Experience</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Independent</w:t>
            </w:r>
          </w:p>
        </w:tc>
        <w:tc>
          <w:tcPr>
            <w:tcW w:w="560" w:type="dxa"/>
            <w:vAlign w:val="bottom"/>
            <w:gridSpan w:val="2"/>
          </w:tcPr>
          <w:p>
            <w:pPr>
              <w:ind w:left="60"/>
              <w:spacing w:after="0"/>
              <w:rPr>
                <w:sz w:val="20"/>
                <w:szCs w:val="20"/>
                <w:color w:val="auto"/>
              </w:rPr>
            </w:pPr>
            <w:r>
              <w:rPr>
                <w:rFonts w:ascii="Arial" w:cs="Arial" w:eastAsia="Arial" w:hAnsi="Arial"/>
                <w:sz w:val="13"/>
                <w:szCs w:val="13"/>
                <w:b w:val="1"/>
                <w:bCs w:val="1"/>
                <w:color w:val="auto"/>
              </w:rPr>
              <w:t>Audit</w:t>
            </w:r>
          </w:p>
        </w:tc>
        <w:tc>
          <w:tcPr>
            <w:tcW w:w="7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Finance</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HRCC</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4"/>
              </w:rPr>
              <w:t>GMPAC</w:t>
            </w:r>
          </w:p>
        </w:tc>
      </w:tr>
      <w:tr>
        <w:trPr>
          <w:trHeight w:val="177"/>
        </w:trPr>
        <w:tc>
          <w:tcPr>
            <w:tcW w:w="3320" w:type="dxa"/>
            <w:vAlign w:val="bottom"/>
            <w:tcBorders>
              <w:top w:val="single" w:sz="8" w:color="D8D8D8"/>
            </w:tcBorders>
            <w:gridSpan w:val="2"/>
            <w:shd w:val="clear" w:color="auto" w:fill="D8D8D8"/>
          </w:tcPr>
          <w:p>
            <w:pPr>
              <w:spacing w:after="0"/>
              <w:rPr>
                <w:sz w:val="20"/>
                <w:szCs w:val="20"/>
                <w:color w:val="auto"/>
              </w:rPr>
            </w:pPr>
            <w:r>
              <w:rPr>
                <w:rFonts w:ascii="Arial" w:cs="Arial" w:eastAsia="Arial" w:hAnsi="Arial"/>
                <w:sz w:val="13"/>
                <w:szCs w:val="13"/>
                <w:color w:val="auto"/>
              </w:rPr>
              <w:t>John C. Pope</w:t>
            </w:r>
          </w:p>
        </w:tc>
        <w:tc>
          <w:tcPr>
            <w:tcW w:w="120" w:type="dxa"/>
            <w:vAlign w:val="bottom"/>
            <w:tcBorders>
              <w:top w:val="single" w:sz="8" w:color="D8D8D8"/>
            </w:tcBorders>
            <w:shd w:val="clear" w:color="auto" w:fill="D8D8D8"/>
          </w:tcPr>
          <w:p>
            <w:pPr>
              <w:spacing w:after="0"/>
              <w:rPr>
                <w:sz w:val="15"/>
                <w:szCs w:val="15"/>
                <w:color w:val="auto"/>
              </w:rPr>
            </w:pPr>
          </w:p>
        </w:tc>
        <w:tc>
          <w:tcPr>
            <w:tcW w:w="320" w:type="dxa"/>
            <w:vAlign w:val="bottom"/>
            <w:tcBorders>
              <w:top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rPr>
              <w:t>63</w:t>
            </w:r>
          </w:p>
        </w:tc>
        <w:tc>
          <w:tcPr>
            <w:tcW w:w="120" w:type="dxa"/>
            <w:vAlign w:val="bottom"/>
            <w:tcBorders>
              <w:top w:val="single" w:sz="8" w:color="D8D8D8"/>
            </w:tcBorders>
            <w:shd w:val="clear" w:color="auto" w:fill="D8D8D8"/>
          </w:tcPr>
          <w:p>
            <w:pPr>
              <w:spacing w:after="0"/>
              <w:rPr>
                <w:sz w:val="15"/>
                <w:szCs w:val="15"/>
                <w:color w:val="auto"/>
              </w:rPr>
            </w:pPr>
          </w:p>
        </w:tc>
        <w:tc>
          <w:tcPr>
            <w:tcW w:w="660" w:type="dxa"/>
            <w:vAlign w:val="bottom"/>
            <w:tcBorders>
              <w:top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96"/>
              </w:rPr>
              <w:t>2001</w:t>
            </w:r>
          </w:p>
        </w:tc>
        <w:tc>
          <w:tcPr>
            <w:tcW w:w="120" w:type="dxa"/>
            <w:vAlign w:val="bottom"/>
            <w:tcBorders>
              <w:top w:val="single" w:sz="8" w:color="D8D8D8"/>
            </w:tcBorders>
            <w:shd w:val="clear" w:color="auto" w:fill="D8D8D8"/>
          </w:tcPr>
          <w:p>
            <w:pPr>
              <w:spacing w:after="0"/>
              <w:rPr>
                <w:sz w:val="15"/>
                <w:szCs w:val="15"/>
                <w:color w:val="auto"/>
              </w:rPr>
            </w:pPr>
          </w:p>
        </w:tc>
        <w:tc>
          <w:tcPr>
            <w:tcW w:w="234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3"/>
                <w:szCs w:val="13"/>
                <w:color w:val="auto"/>
              </w:rPr>
              <w:t>Chairman, PFI Group, LLC</w:t>
            </w:r>
          </w:p>
        </w:tc>
        <w:tc>
          <w:tcPr>
            <w:tcW w:w="100" w:type="dxa"/>
            <w:vAlign w:val="bottom"/>
            <w:tcBorders>
              <w:top w:val="single" w:sz="8" w:color="D8D8D8"/>
            </w:tcBorders>
            <w:shd w:val="clear" w:color="auto" w:fill="D8D8D8"/>
          </w:tcPr>
          <w:p>
            <w:pPr>
              <w:spacing w:after="0"/>
              <w:rPr>
                <w:sz w:val="15"/>
                <w:szCs w:val="15"/>
                <w:color w:val="auto"/>
              </w:rPr>
            </w:pPr>
          </w:p>
        </w:tc>
        <w:tc>
          <w:tcPr>
            <w:tcW w:w="1120" w:type="dxa"/>
            <w:vAlign w:val="bottom"/>
            <w:tcBorders>
              <w:top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89"/>
              </w:rPr>
              <w:t>Yes</w:t>
            </w:r>
          </w:p>
        </w:tc>
        <w:tc>
          <w:tcPr>
            <w:tcW w:w="120" w:type="dxa"/>
            <w:vAlign w:val="bottom"/>
            <w:tcBorders>
              <w:top w:val="single" w:sz="8" w:color="D8D8D8"/>
            </w:tcBorders>
            <w:shd w:val="clear" w:color="auto" w:fill="D8D8D8"/>
          </w:tcPr>
          <w:p>
            <w:pPr>
              <w:spacing w:after="0"/>
              <w:rPr>
                <w:sz w:val="15"/>
                <w:szCs w:val="15"/>
                <w:color w:val="auto"/>
              </w:rPr>
            </w:pPr>
          </w:p>
        </w:tc>
        <w:tc>
          <w:tcPr>
            <w:tcW w:w="440" w:type="dxa"/>
            <w:vAlign w:val="bottom"/>
            <w:tcBorders>
              <w:top w:val="single" w:sz="8" w:color="auto"/>
            </w:tcBorders>
            <w:shd w:val="clear" w:color="auto" w:fill="D8D8D8"/>
          </w:tcPr>
          <w:p>
            <w:pPr>
              <w:spacing w:after="0"/>
              <w:rPr>
                <w:sz w:val="15"/>
                <w:szCs w:val="15"/>
                <w:color w:val="auto"/>
              </w:rPr>
            </w:pPr>
          </w:p>
        </w:tc>
        <w:tc>
          <w:tcPr>
            <w:tcW w:w="120" w:type="dxa"/>
            <w:vAlign w:val="bottom"/>
            <w:tcBorders>
              <w:top w:val="single" w:sz="8" w:color="D8D8D8"/>
            </w:tcBorders>
            <w:shd w:val="clear" w:color="auto" w:fill="D8D8D8"/>
          </w:tcPr>
          <w:p>
            <w:pPr>
              <w:spacing w:after="0"/>
              <w:rPr>
                <w:sz w:val="15"/>
                <w:szCs w:val="15"/>
                <w:color w:val="auto"/>
              </w:rPr>
            </w:pPr>
          </w:p>
        </w:tc>
        <w:tc>
          <w:tcPr>
            <w:tcW w:w="660" w:type="dxa"/>
            <w:vAlign w:val="bottom"/>
            <w:tcBorders>
              <w:top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w w:val="96"/>
              </w:rPr>
              <w:t>Chair</w:t>
            </w:r>
          </w:p>
        </w:tc>
        <w:tc>
          <w:tcPr>
            <w:tcW w:w="100" w:type="dxa"/>
            <w:vAlign w:val="bottom"/>
            <w:tcBorders>
              <w:top w:val="single" w:sz="8" w:color="D8D8D8"/>
            </w:tcBorders>
            <w:shd w:val="clear" w:color="auto" w:fill="D8D8D8"/>
          </w:tcPr>
          <w:p>
            <w:pPr>
              <w:spacing w:after="0"/>
              <w:rPr>
                <w:sz w:val="15"/>
                <w:szCs w:val="15"/>
                <w:color w:val="auto"/>
              </w:rPr>
            </w:pPr>
          </w:p>
        </w:tc>
        <w:tc>
          <w:tcPr>
            <w:tcW w:w="660" w:type="dxa"/>
            <w:vAlign w:val="bottom"/>
            <w:tcBorders>
              <w:top w:val="single" w:sz="8" w:color="auto"/>
            </w:tcBorders>
            <w:shd w:val="clear" w:color="auto" w:fill="D8D8D8"/>
          </w:tcPr>
          <w:p>
            <w:pPr>
              <w:jc w:val="center"/>
              <w:spacing w:after="0"/>
              <w:rPr>
                <w:sz w:val="20"/>
                <w:szCs w:val="20"/>
                <w:color w:val="auto"/>
              </w:rPr>
            </w:pPr>
            <w:r>
              <w:rPr>
                <w:rFonts w:ascii="Arial" w:cs="Arial" w:eastAsia="Arial" w:hAnsi="Arial"/>
                <w:sz w:val="13"/>
                <w:szCs w:val="13"/>
                <w:color w:val="auto"/>
              </w:rPr>
              <w:t>X</w:t>
            </w:r>
          </w:p>
        </w:tc>
        <w:tc>
          <w:tcPr>
            <w:tcW w:w="100" w:type="dxa"/>
            <w:vAlign w:val="bottom"/>
            <w:tcBorders>
              <w:top w:val="single" w:sz="8" w:color="D8D8D8"/>
            </w:tcBorders>
            <w:shd w:val="clear" w:color="auto" w:fill="D8D8D8"/>
          </w:tcPr>
          <w:p>
            <w:pPr>
              <w:spacing w:after="0"/>
              <w:rPr>
                <w:sz w:val="15"/>
                <w:szCs w:val="15"/>
                <w:color w:val="auto"/>
              </w:rPr>
            </w:pPr>
          </w:p>
        </w:tc>
        <w:tc>
          <w:tcPr>
            <w:tcW w:w="660" w:type="dxa"/>
            <w:vAlign w:val="bottom"/>
            <w:tcBorders>
              <w:top w:val="single" w:sz="8" w:color="auto"/>
            </w:tcBorders>
            <w:shd w:val="clear" w:color="auto" w:fill="D8D8D8"/>
          </w:tcPr>
          <w:p>
            <w:pPr>
              <w:spacing w:after="0"/>
              <w:rPr>
                <w:sz w:val="15"/>
                <w:szCs w:val="15"/>
                <w:color w:val="auto"/>
              </w:rPr>
            </w:pPr>
          </w:p>
        </w:tc>
      </w:tr>
      <w:tr>
        <w:trPr>
          <w:trHeight w:val="204"/>
        </w:trPr>
        <w:tc>
          <w:tcPr>
            <w:tcW w:w="3320" w:type="dxa"/>
            <w:vAlign w:val="bottom"/>
            <w:gridSpan w:val="2"/>
          </w:tcPr>
          <w:p>
            <w:pPr>
              <w:spacing w:after="0"/>
              <w:rPr>
                <w:sz w:val="20"/>
                <w:szCs w:val="20"/>
                <w:color w:val="auto"/>
              </w:rPr>
            </w:pPr>
            <w:r>
              <w:rPr>
                <w:rFonts w:ascii="Arial" w:cs="Arial" w:eastAsia="Arial" w:hAnsi="Arial"/>
                <w:sz w:val="13"/>
                <w:szCs w:val="13"/>
                <w:color w:val="auto"/>
              </w:rPr>
              <w:t>Fredric G. Reynolds</w:t>
            </w:r>
          </w:p>
        </w:tc>
        <w:tc>
          <w:tcPr>
            <w:tcW w:w="440" w:type="dxa"/>
            <w:vAlign w:val="bottom"/>
            <w:gridSpan w:val="2"/>
          </w:tcPr>
          <w:p>
            <w:pPr>
              <w:jc w:val="center"/>
              <w:ind w:left="56"/>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2007</w:t>
            </w:r>
          </w:p>
        </w:tc>
        <w:tc>
          <w:tcPr>
            <w:tcW w:w="2560" w:type="dxa"/>
            <w:vAlign w:val="bottom"/>
            <w:gridSpan w:val="3"/>
          </w:tcPr>
          <w:p>
            <w:pPr>
              <w:ind w:left="120"/>
              <w:spacing w:after="0"/>
              <w:rPr>
                <w:sz w:val="20"/>
                <w:szCs w:val="20"/>
                <w:color w:val="auto"/>
              </w:rPr>
            </w:pPr>
            <w:r>
              <w:rPr>
                <w:rFonts w:ascii="Arial" w:cs="Arial" w:eastAsia="Arial" w:hAnsi="Arial"/>
                <w:sz w:val="13"/>
                <w:szCs w:val="13"/>
                <w:color w:val="auto"/>
              </w:rPr>
              <w:t>Former Executive Vice President and</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Yes</w:t>
            </w:r>
          </w:p>
        </w:tc>
        <w:tc>
          <w:tcPr>
            <w:tcW w:w="560" w:type="dxa"/>
            <w:vAlign w:val="bottom"/>
            <w:gridSpan w:val="2"/>
          </w:tcPr>
          <w:p>
            <w:pPr>
              <w:ind w:left="60"/>
              <w:spacing w:after="0"/>
              <w:rPr>
                <w:sz w:val="20"/>
                <w:szCs w:val="20"/>
                <w:color w:val="auto"/>
              </w:rPr>
            </w:pPr>
            <w:r>
              <w:rPr>
                <w:rFonts w:ascii="Arial" w:cs="Arial" w:eastAsia="Arial" w:hAnsi="Arial"/>
                <w:sz w:val="13"/>
                <w:szCs w:val="13"/>
                <w:color w:val="auto"/>
              </w:rPr>
              <w:t>Chair</w:t>
            </w:r>
          </w:p>
        </w:tc>
        <w:tc>
          <w:tcPr>
            <w:tcW w:w="760" w:type="dxa"/>
            <w:vAlign w:val="bottom"/>
            <w:gridSpan w:val="2"/>
          </w:tcPr>
          <w:p>
            <w:pPr>
              <w:jc w:val="center"/>
              <w:ind w:right="100"/>
              <w:spacing w:after="0"/>
              <w:rPr>
                <w:sz w:val="20"/>
                <w:szCs w:val="20"/>
                <w:color w:val="auto"/>
              </w:rPr>
            </w:pPr>
            <w:r>
              <w:rPr>
                <w:rFonts w:ascii="Arial" w:cs="Arial" w:eastAsia="Arial" w:hAnsi="Arial"/>
                <w:sz w:val="13"/>
                <w:szCs w:val="13"/>
                <w:color w:val="auto"/>
              </w:rPr>
              <w:t>X</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41"/>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560" w:type="dxa"/>
            <w:vAlign w:val="bottom"/>
            <w:gridSpan w:val="3"/>
          </w:tcPr>
          <w:p>
            <w:pPr>
              <w:ind w:left="120"/>
              <w:spacing w:after="0" w:line="141" w:lineRule="exact"/>
              <w:rPr>
                <w:sz w:val="20"/>
                <w:szCs w:val="20"/>
                <w:color w:val="auto"/>
              </w:rPr>
            </w:pPr>
            <w:r>
              <w:rPr>
                <w:rFonts w:ascii="Arial" w:cs="Arial" w:eastAsia="Arial" w:hAnsi="Arial"/>
                <w:sz w:val="13"/>
                <w:szCs w:val="13"/>
                <w:color w:val="auto"/>
              </w:rPr>
              <w:t>CFO, CBS Corporation</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05"/>
        </w:trPr>
        <w:tc>
          <w:tcPr>
            <w:tcW w:w="332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Irene B. Rosenfeld</w:t>
            </w:r>
          </w:p>
        </w:tc>
        <w:tc>
          <w:tcPr>
            <w:tcW w:w="440" w:type="dxa"/>
            <w:vAlign w:val="bottom"/>
            <w:gridSpan w:val="2"/>
            <w:shd w:val="clear" w:color="auto" w:fill="D8D8D8"/>
          </w:tcPr>
          <w:p>
            <w:pPr>
              <w:jc w:val="center"/>
              <w:ind w:left="56"/>
              <w:spacing w:after="0"/>
              <w:rPr>
                <w:sz w:val="20"/>
                <w:szCs w:val="20"/>
                <w:color w:val="auto"/>
              </w:rPr>
            </w:pPr>
            <w:r>
              <w:rPr>
                <w:rFonts w:ascii="Arial" w:cs="Arial" w:eastAsia="Arial" w:hAnsi="Arial"/>
                <w:sz w:val="13"/>
                <w:szCs w:val="13"/>
                <w:color w:val="auto"/>
              </w:rPr>
              <w:t>58</w:t>
            </w:r>
          </w:p>
        </w:tc>
        <w:tc>
          <w:tcPr>
            <w:tcW w:w="120" w:type="dxa"/>
            <w:vAlign w:val="bottom"/>
            <w:shd w:val="clear" w:color="auto" w:fill="D8D8D8"/>
          </w:tcPr>
          <w:p>
            <w:pPr>
              <w:spacing w:after="0"/>
              <w:rPr>
                <w:sz w:val="17"/>
                <w:szCs w:val="17"/>
                <w:color w:val="auto"/>
              </w:rPr>
            </w:pPr>
          </w:p>
        </w:tc>
        <w:tc>
          <w:tcPr>
            <w:tcW w:w="660" w:type="dxa"/>
            <w:vAlign w:val="bottom"/>
            <w:shd w:val="clear" w:color="auto" w:fill="D8D8D8"/>
          </w:tcPr>
          <w:p>
            <w:pPr>
              <w:jc w:val="center"/>
              <w:spacing w:after="0"/>
              <w:rPr>
                <w:sz w:val="20"/>
                <w:szCs w:val="20"/>
                <w:color w:val="auto"/>
              </w:rPr>
            </w:pPr>
            <w:r>
              <w:rPr>
                <w:rFonts w:ascii="Arial" w:cs="Arial" w:eastAsia="Arial" w:hAnsi="Arial"/>
                <w:sz w:val="13"/>
                <w:szCs w:val="13"/>
                <w:color w:val="auto"/>
                <w:w w:val="96"/>
              </w:rPr>
              <w:t>2006</w:t>
            </w:r>
          </w:p>
        </w:tc>
        <w:tc>
          <w:tcPr>
            <w:tcW w:w="2560" w:type="dxa"/>
            <w:vAlign w:val="bottom"/>
            <w:gridSpan w:val="3"/>
            <w:shd w:val="clear" w:color="auto" w:fill="D8D8D8"/>
          </w:tcPr>
          <w:p>
            <w:pPr>
              <w:ind w:left="120"/>
              <w:spacing w:after="0"/>
              <w:rPr>
                <w:sz w:val="20"/>
                <w:szCs w:val="20"/>
                <w:color w:val="auto"/>
              </w:rPr>
            </w:pPr>
            <w:r>
              <w:rPr>
                <w:rFonts w:ascii="Arial" w:cs="Arial" w:eastAsia="Arial" w:hAnsi="Arial"/>
                <w:sz w:val="13"/>
                <w:szCs w:val="13"/>
                <w:color w:val="auto"/>
              </w:rPr>
              <w:t>Chairman and CEO, Kraft Foods Inc.</w:t>
            </w:r>
          </w:p>
        </w:tc>
        <w:tc>
          <w:tcPr>
            <w:tcW w:w="1240" w:type="dxa"/>
            <w:vAlign w:val="bottom"/>
            <w:gridSpan w:val="2"/>
            <w:shd w:val="clear" w:color="auto" w:fill="D8D8D8"/>
          </w:tcPr>
          <w:p>
            <w:pPr>
              <w:jc w:val="center"/>
              <w:ind w:right="120"/>
              <w:spacing w:after="0"/>
              <w:rPr>
                <w:sz w:val="20"/>
                <w:szCs w:val="20"/>
                <w:color w:val="auto"/>
              </w:rPr>
            </w:pPr>
            <w:r>
              <w:rPr>
                <w:rFonts w:ascii="Arial" w:cs="Arial" w:eastAsia="Arial" w:hAnsi="Arial"/>
                <w:sz w:val="13"/>
                <w:szCs w:val="13"/>
                <w:color w:val="auto"/>
                <w:w w:val="96"/>
              </w:rPr>
              <w:t>No</w:t>
            </w:r>
          </w:p>
        </w:tc>
        <w:tc>
          <w:tcPr>
            <w:tcW w:w="44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660" w:type="dxa"/>
            <w:vAlign w:val="bottom"/>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660" w:type="dxa"/>
            <w:vAlign w:val="bottom"/>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660" w:type="dxa"/>
            <w:vAlign w:val="bottom"/>
            <w:shd w:val="clear" w:color="auto" w:fill="D8D8D8"/>
          </w:tcPr>
          <w:p>
            <w:pPr>
              <w:spacing w:after="0"/>
              <w:rPr>
                <w:sz w:val="17"/>
                <w:szCs w:val="17"/>
                <w:color w:val="auto"/>
              </w:rPr>
            </w:pPr>
          </w:p>
        </w:tc>
      </w:tr>
      <w:tr>
        <w:trPr>
          <w:trHeight w:val="204"/>
        </w:trPr>
        <w:tc>
          <w:tcPr>
            <w:tcW w:w="3320" w:type="dxa"/>
            <w:vAlign w:val="bottom"/>
            <w:gridSpan w:val="2"/>
          </w:tcPr>
          <w:p>
            <w:pPr>
              <w:spacing w:after="0"/>
              <w:rPr>
                <w:sz w:val="20"/>
                <w:szCs w:val="20"/>
                <w:color w:val="auto"/>
              </w:rPr>
            </w:pPr>
            <w:r>
              <w:rPr>
                <w:rFonts w:ascii="Arial" w:cs="Arial" w:eastAsia="Arial" w:hAnsi="Arial"/>
                <w:sz w:val="13"/>
                <w:szCs w:val="13"/>
                <w:color w:val="auto"/>
              </w:rPr>
              <w:t>Jean-François M. L.</w:t>
            </w:r>
          </w:p>
        </w:tc>
        <w:tc>
          <w:tcPr>
            <w:tcW w:w="440" w:type="dxa"/>
            <w:vAlign w:val="bottom"/>
            <w:gridSpan w:val="2"/>
          </w:tcPr>
          <w:p>
            <w:pPr>
              <w:jc w:val="center"/>
              <w:ind w:left="56"/>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2010</w:t>
            </w:r>
          </w:p>
        </w:tc>
        <w:tc>
          <w:tcPr>
            <w:tcW w:w="2560" w:type="dxa"/>
            <w:vAlign w:val="bottom"/>
            <w:gridSpan w:val="3"/>
          </w:tcPr>
          <w:p>
            <w:pPr>
              <w:ind w:left="120"/>
              <w:spacing w:after="0"/>
              <w:rPr>
                <w:sz w:val="20"/>
                <w:szCs w:val="20"/>
                <w:color w:val="auto"/>
              </w:rPr>
            </w:pPr>
            <w:r>
              <w:rPr>
                <w:rFonts w:ascii="Arial" w:cs="Arial" w:eastAsia="Arial" w:hAnsi="Arial"/>
                <w:sz w:val="13"/>
                <w:szCs w:val="13"/>
                <w:color w:val="auto"/>
              </w:rPr>
              <w:t>Chairman and CEO, Heineken N.V.</w:t>
            </w:r>
          </w:p>
        </w:tc>
        <w:tc>
          <w:tcPr>
            <w:tcW w:w="124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Yes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3"/>
                <w:szCs w:val="13"/>
                <w:color w:val="auto"/>
              </w:rPr>
              <w:t>X</w:t>
            </w:r>
          </w:p>
        </w:tc>
        <w:tc>
          <w:tcPr>
            <w:tcW w:w="660" w:type="dxa"/>
            <w:vAlign w:val="bottom"/>
          </w:tcPr>
          <w:p>
            <w:pPr>
              <w:jc w:val="center"/>
              <w:spacing w:after="0"/>
              <w:rPr>
                <w:sz w:val="20"/>
                <w:szCs w:val="20"/>
                <w:color w:val="auto"/>
              </w:rPr>
            </w:pPr>
            <w:r>
              <w:rPr>
                <w:rFonts w:ascii="Arial" w:cs="Arial" w:eastAsia="Arial" w:hAnsi="Arial"/>
                <w:sz w:val="13"/>
                <w:szCs w:val="13"/>
                <w:color w:val="auto"/>
                <w:w w:val="91"/>
              </w:rPr>
              <w:t>X</w:t>
            </w:r>
          </w:p>
        </w:tc>
      </w:tr>
      <w:tr>
        <w:trPr>
          <w:trHeight w:val="154"/>
        </w:trPr>
        <w:tc>
          <w:tcPr>
            <w:tcW w:w="3320" w:type="dxa"/>
            <w:vAlign w:val="bottom"/>
            <w:gridSpan w:val="2"/>
          </w:tcPr>
          <w:p>
            <w:pPr>
              <w:spacing w:after="0"/>
              <w:rPr>
                <w:sz w:val="20"/>
                <w:szCs w:val="20"/>
                <w:color w:val="auto"/>
              </w:rPr>
            </w:pPr>
            <w:r>
              <w:rPr>
                <w:rFonts w:ascii="Arial" w:cs="Arial" w:eastAsia="Arial" w:hAnsi="Arial"/>
                <w:sz w:val="13"/>
                <w:szCs w:val="13"/>
                <w:color w:val="auto"/>
              </w:rPr>
              <w:t>van Boxmeer</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r>
    </w:tbl>
    <w:p>
      <w:pPr>
        <w:spacing w:after="0" w:line="192" w:lineRule="exact"/>
        <w:rPr>
          <w:sz w:val="20"/>
          <w:szCs w:val="20"/>
          <w:color w:val="auto"/>
        </w:rPr>
      </w:pPr>
    </w:p>
    <w:p>
      <w:pPr>
        <w:ind w:left="520" w:hanging="329"/>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Audit – Audit Committee; Finance – Finance Committee; HRCC – Human Resources and Compensation Committee; GMPAC – Governance, Membership and Public Affairs Committee</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EXECUTIVE COMPENSATION</w:t>
      </w:r>
    </w:p>
    <w:p>
      <w:pPr>
        <w:spacing w:after="0" w:line="90" w:lineRule="exact"/>
        <w:rPr>
          <w:sz w:val="20"/>
          <w:szCs w:val="20"/>
          <w:color w:val="auto"/>
        </w:rPr>
      </w:pPr>
    </w:p>
    <w:p>
      <w:pPr>
        <w:ind w:left="200" w:right="160"/>
        <w:spacing w:after="0" w:line="232" w:lineRule="auto"/>
        <w:rPr>
          <w:sz w:val="20"/>
          <w:szCs w:val="20"/>
          <w:color w:val="auto"/>
        </w:rPr>
      </w:pPr>
      <w:r>
        <w:rPr>
          <w:rFonts w:ascii="Arial" w:cs="Arial" w:eastAsia="Arial" w:hAnsi="Arial"/>
          <w:sz w:val="13"/>
          <w:szCs w:val="13"/>
          <w:color w:val="auto"/>
        </w:rPr>
        <w:t>Consistent with our shareholders’ preference as indicated at our 2011 annual meeting, our Board has adopted a policy providing that shareholders vote annually to approve, on an advisory (non-binding) basis, the compensation of our Named Executive Officers as disclosed in the proxy statement. This vote is not intended to address any specific item of our compensation program, but rather to address our overall approach to the compensation of our Named Executive Officers as described in this Proxy Statement.</w:t>
      </w:r>
    </w:p>
    <w:p>
      <w:pPr>
        <w:spacing w:after="0" w:line="65" w:lineRule="exact"/>
        <w:rPr>
          <w:sz w:val="20"/>
          <w:szCs w:val="20"/>
          <w:color w:val="auto"/>
        </w:rPr>
      </w:pPr>
    </w:p>
    <w:p>
      <w:pPr>
        <w:ind w:left="200" w:right="400"/>
        <w:spacing w:after="0" w:line="232" w:lineRule="auto"/>
        <w:rPr>
          <w:sz w:val="20"/>
          <w:szCs w:val="20"/>
          <w:color w:val="auto"/>
        </w:rPr>
      </w:pPr>
      <w:r>
        <w:rPr>
          <w:rFonts w:ascii="Arial" w:cs="Arial" w:eastAsia="Arial" w:hAnsi="Arial"/>
          <w:sz w:val="13"/>
          <w:szCs w:val="13"/>
          <w:color w:val="auto"/>
        </w:rPr>
        <w:t>We believe that our executive compensation program is strongly aligned with delivering sustainable top-tier performance and reflects competitive practices for executive compensation. We designed our executive compensation programs to attract, retain and motivate superior executive talent, including our Named Executive Officers, who are critical to our success. Under these programs, we seek to align pay and performance by making a significant portion of our Named Executive Officers’ compensation dependent on:</w:t>
      </w:r>
    </w:p>
    <w:p>
      <w:pPr>
        <w:spacing w:after="0" w:line="57" w:lineRule="exact"/>
        <w:rPr>
          <w:sz w:val="20"/>
          <w:szCs w:val="20"/>
          <w:color w:val="auto"/>
        </w:rPr>
      </w:pPr>
    </w:p>
    <w:p>
      <w:pPr>
        <w:ind w:left="940" w:hanging="430"/>
        <w:spacing w:after="0"/>
        <w:tabs>
          <w:tab w:leader="none" w:pos="9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achievement of specific annual and long-term strategic and financial goals; and</w:t>
      </w:r>
    </w:p>
    <w:p>
      <w:pPr>
        <w:ind w:left="940" w:hanging="430"/>
        <w:spacing w:after="0"/>
        <w:tabs>
          <w:tab w:leader="none" w:pos="9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realization of increased shareholder value.</w:t>
      </w:r>
    </w:p>
    <w:p>
      <w:pPr>
        <w:spacing w:after="0" w:line="68" w:lineRule="exact"/>
        <w:rPr>
          <w:sz w:val="20"/>
          <w:szCs w:val="20"/>
          <w:color w:val="auto"/>
        </w:rPr>
      </w:pPr>
    </w:p>
    <w:p>
      <w:pPr>
        <w:ind w:left="200" w:right="160"/>
        <w:spacing w:after="0" w:line="232" w:lineRule="auto"/>
        <w:rPr>
          <w:sz w:val="20"/>
          <w:szCs w:val="20"/>
          <w:color w:val="auto"/>
        </w:rPr>
      </w:pPr>
      <w:r>
        <w:rPr>
          <w:rFonts w:ascii="Arial" w:cs="Arial" w:eastAsia="Arial" w:hAnsi="Arial"/>
          <w:sz w:val="13"/>
          <w:szCs w:val="13"/>
          <w:color w:val="auto"/>
        </w:rPr>
        <w:t>Our “Named Executive Officers” are those individuals who served as our Chief Executive Officer and Chief Financial Officer during 2011 and our three other most highly compensated officers. Please read “Compensation Discussion and Analysis” beginning on page 31 and “Executive Compensation Tables” beginning on page 55 for additional details about our executive compensation programs, including information about our Named Executive Officers’ fiscal year 2011 compensation.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COMPANY NAME CHANGE</w:t>
      </w:r>
    </w:p>
    <w:p>
      <w:pPr>
        <w:spacing w:after="0" w:line="74" w:lineRule="exact"/>
        <w:rPr>
          <w:sz w:val="20"/>
          <w:szCs w:val="20"/>
          <w:color w:val="auto"/>
        </w:rPr>
      </w:pPr>
    </w:p>
    <w:p>
      <w:pPr>
        <w:ind w:left="200" w:right="100"/>
        <w:spacing w:after="0" w:line="235" w:lineRule="auto"/>
        <w:rPr>
          <w:sz w:val="20"/>
          <w:szCs w:val="20"/>
          <w:color w:val="auto"/>
        </w:rPr>
      </w:pPr>
      <w:r>
        <w:rPr>
          <w:rFonts w:ascii="Arial" w:cs="Arial" w:eastAsia="Arial" w:hAnsi="Arial"/>
          <w:sz w:val="13"/>
          <w:szCs w:val="13"/>
          <w:color w:val="auto"/>
        </w:rPr>
        <w:t xml:space="preserve">We are asking our shareholders to approve an amendment to our Amended and Restated Articles of Incorporation to change our company’s name from Kraft Foods Inc. to </w:t>
      </w:r>
      <w:r>
        <w:rPr>
          <w:rFonts w:ascii="Arial" w:cs="Arial" w:eastAsia="Arial" w:hAnsi="Arial"/>
          <w:sz w:val="13"/>
          <w:szCs w:val="13"/>
          <w:b w:val="1"/>
          <w:bCs w:val="1"/>
          <w:color w:val="auto"/>
        </w:rPr>
        <w:t>Mondelēz</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International, Inc. </w:t>
      </w:r>
      <w:r>
        <w:rPr>
          <w:rFonts w:ascii="Arial" w:cs="Arial" w:eastAsia="Arial" w:hAnsi="Arial"/>
          <w:sz w:val="13"/>
          <w:szCs w:val="13"/>
          <w:color w:val="auto"/>
        </w:rPr>
        <w:t>On August 4, 2011, we publicly announced our intent to create two independent public companies – a global snacks business and a North American grocery business – via a</w:t>
      </w:r>
      <w:r>
        <w:rPr>
          <w:rFonts w:ascii="Arial" w:cs="Arial" w:eastAsia="Arial" w:hAnsi="Arial"/>
          <w:sz w:val="13"/>
          <w:szCs w:val="13"/>
          <w:b w:val="1"/>
          <w:bCs w:val="1"/>
          <w:color w:val="auto"/>
        </w:rPr>
        <w:t xml:space="preserve"> </w:t>
      </w:r>
      <w:r>
        <w:rPr>
          <w:rFonts w:ascii="Arial" w:cs="Arial" w:eastAsia="Arial" w:hAnsi="Arial"/>
          <w:sz w:val="13"/>
          <w:szCs w:val="13"/>
          <w:color w:val="auto"/>
        </w:rPr>
        <w:t>spin-off of the North American grocery business. Having determined that the Kraft name should remain with the grocery business, the Board sought and decided on a new name which it believes appropriately reflects the key attributes of the future global snacks business. The Board has adopted a proposed amendment to the Amended and Restated Articles of Incorporation to change the company’s name and recommends that the amendment be approved by our shareholders. For more information, please see page 74 in this Proxy Statement.</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AUDITORS</w:t>
      </w:r>
    </w:p>
    <w:p>
      <w:pPr>
        <w:spacing w:after="0" w:line="90" w:lineRule="exact"/>
        <w:rPr>
          <w:sz w:val="20"/>
          <w:szCs w:val="20"/>
          <w:color w:val="auto"/>
        </w:rPr>
      </w:pPr>
    </w:p>
    <w:p>
      <w:pPr>
        <w:ind w:left="200" w:right="120"/>
        <w:spacing w:after="0" w:line="236" w:lineRule="auto"/>
        <w:rPr>
          <w:sz w:val="20"/>
          <w:szCs w:val="20"/>
          <w:color w:val="auto"/>
        </w:rPr>
      </w:pPr>
      <w:r>
        <w:rPr>
          <w:rFonts w:ascii="Arial" w:cs="Arial" w:eastAsia="Arial" w:hAnsi="Arial"/>
          <w:sz w:val="13"/>
          <w:szCs w:val="13"/>
          <w:color w:val="auto"/>
        </w:rPr>
        <w:t>As a matter of good governance, we are asking shareholders to ratify the selection of PricewaterhouseCoopers as our independent auditors for 2012. We provide information on fees paid to PwC in 2011 and 2010 on page 22 of this Proxy Statement.</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SHAREHOLDER PROPOSALS</w:t>
      </w:r>
    </w:p>
    <w:p>
      <w:pPr>
        <w:spacing w:after="0" w:line="90" w:lineRule="exact"/>
        <w:rPr>
          <w:sz w:val="20"/>
          <w:szCs w:val="20"/>
          <w:color w:val="auto"/>
        </w:rPr>
      </w:pPr>
    </w:p>
    <w:p>
      <w:pPr>
        <w:ind w:left="200" w:right="420"/>
        <w:spacing w:after="0" w:line="236" w:lineRule="auto"/>
        <w:rPr>
          <w:sz w:val="20"/>
          <w:szCs w:val="20"/>
          <w:color w:val="auto"/>
        </w:rPr>
      </w:pPr>
      <w:r>
        <w:rPr>
          <w:rFonts w:ascii="Arial" w:cs="Arial" w:eastAsia="Arial" w:hAnsi="Arial"/>
          <w:sz w:val="13"/>
          <w:szCs w:val="13"/>
          <w:color w:val="auto"/>
        </w:rPr>
        <w:t>In accordance with SEC rules, we include in this Proxy Statement three shareholder proposals (Items 5 through 7). The Board recommends a vote AGAINST each of these proposals for the reasons set forth following each proposal.</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FREQUENTLY ASKED QUESTIONS</w:t>
      </w:r>
    </w:p>
    <w:p>
      <w:pPr>
        <w:spacing w:after="0" w:line="90" w:lineRule="exact"/>
        <w:rPr>
          <w:sz w:val="20"/>
          <w:szCs w:val="20"/>
          <w:color w:val="auto"/>
        </w:rPr>
      </w:pPr>
    </w:p>
    <w:p>
      <w:pPr>
        <w:ind w:left="200" w:right="120"/>
        <w:spacing w:after="0" w:line="236" w:lineRule="auto"/>
        <w:rPr>
          <w:sz w:val="20"/>
          <w:szCs w:val="20"/>
          <w:color w:val="auto"/>
        </w:rPr>
      </w:pPr>
      <w:r>
        <w:rPr>
          <w:rFonts w:ascii="Arial" w:cs="Arial" w:eastAsia="Arial" w:hAnsi="Arial"/>
          <w:sz w:val="13"/>
          <w:szCs w:val="13"/>
          <w:color w:val="auto"/>
        </w:rPr>
        <w:t>We provide answers to many frequently asked questions about the annual meeting and voting, including how to vote shares held in employee benefit plans, in the Q&amp;A section beginning on page 83 of this Proxy Statement.</w:t>
      </w: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80"/>
          </w:cols>
          <w:pgMar w:left="240" w:top="443" w:right="37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ITEM 1. ELECTION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Process for Nominating Directors</w:t>
      </w:r>
    </w:p>
    <w:p>
      <w:pPr>
        <w:spacing w:after="0" w:line="170"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Governance, Membership and Public Affairs Committee of our Board of Directors, which we also refer to in this “Item 1. Election of Directors” section as the “Committee,” is responsible for identifying, evaluating and recommending to the Board nominees for election at the 2012 Annual Meeting of Shareholders (and any adjournments or postponements of the meeting) (the “Annual Meeting”). The Committee relies on nominee suggestions from the directors, shareholders, management and others. From time to time, the Committee retains executive search and board advisory firms to assist in identifying and evaluating potential nominees. During 2011, the Committee retained Heidrick &amp; Struggles to assist in the search and recruitment of directors, resulting in the Board’s nomination of Terry J. Lundgren and Jorge S. Mesquita as director nominees at the Annual Meeting.</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General Qualifications</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Board believes all directors should possess certain personal characteristics, including integrity, sound business judgment and vision, to serve on our Board. We believe these characteristics are necessary to establish a competent, ethical and well-functioning Board that best represents the interests of our business, shareholders, employees, business partners and consumers. Under our Corporate Governance Guidelines (the “Guidelines”), when evaluating the suitability of individuals for nomination, the Committee takes into account many factors. These include the individual’s general understanding of the varied disciplines relevant to the success of a large, publicly traded company in a global business environment, understanding of our global businesses and markets, professional expertise and education. The Committee also considers an individual’s ability to devote sufficient time and effort to fulfill his or her Kraft Foods’ responsibilities, taking into account the individual’s other commitments. In addition, the Board considers whether an individual meets various independence requirements, including whether his or her service on boards and committees of other organizations is consistent with our conflicts of interest policy.</w:t>
      </w:r>
    </w:p>
    <w:p>
      <w:pPr>
        <w:spacing w:after="0" w:line="150" w:lineRule="exact"/>
        <w:rPr>
          <w:sz w:val="20"/>
          <w:szCs w:val="20"/>
          <w:color w:val="auto"/>
        </w:rPr>
      </w:pPr>
    </w:p>
    <w:p>
      <w:pPr>
        <w:ind w:right="200"/>
        <w:spacing w:after="0" w:line="237" w:lineRule="auto"/>
        <w:rPr>
          <w:sz w:val="20"/>
          <w:szCs w:val="20"/>
          <w:color w:val="auto"/>
        </w:rPr>
      </w:pPr>
      <w:r>
        <w:rPr>
          <w:rFonts w:ascii="Arial" w:cs="Arial" w:eastAsia="Arial" w:hAnsi="Arial"/>
          <w:sz w:val="17"/>
          <w:szCs w:val="17"/>
          <w:color w:val="auto"/>
        </w:rPr>
        <w:t>When determining whether to recommend a director for re-election, the Committee also considers the director’s attendance at Board and committee meetings and participation in, and contributions to, Board and committee activities. In addition, under the Guidelines, the Committee generally will not recommend, and the Board will not approve, the nomination for re-election of an independent director who has reached the age of 75. However, if the Board determines that the director’s nomination for re-election is in our shareholders’ best interests, the Committee may recommend, and the Board may approve, the director’s nomination for re-election for up to two annual terms following his or her 75th birthday. An employee director must resign from the Board upon ceasing to be a Kraft Foods’ officer.</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Diversity</w:t>
      </w:r>
    </w:p>
    <w:p>
      <w:pPr>
        <w:spacing w:after="0" w:line="15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Guidelines provide that the Committee will consider factors that promote diversity of views and experience when evaluating the suitability of individuals for nomination. While we have no formal written policy regarding what specific factors would create a diversity of views and experience, the Committee recognizes diversity’s significant benefit to the Board and Kraft Foods, as varying viewpoints contribute to a more informed and effective decision-making process. The Committee seeks broad experience in relevant industries, professions and areas of expertise important to our operations, including global business, manufacturing, marketing, science, finance and accounting, academia, law and government. The Committee also recognizes the importance of having directors with significant international experiences and backgrounds given our global, multicultural business.</w:t>
      </w:r>
    </w:p>
    <w:p>
      <w:pPr>
        <w:spacing w:after="0" w:line="147" w:lineRule="exact"/>
        <w:rPr>
          <w:sz w:val="20"/>
          <w:szCs w:val="20"/>
          <w:color w:val="auto"/>
        </w:rPr>
      </w:pPr>
    </w:p>
    <w:p>
      <w:pPr>
        <w:ind w:right="520"/>
        <w:spacing w:after="0" w:line="241" w:lineRule="auto"/>
        <w:rPr>
          <w:sz w:val="20"/>
          <w:szCs w:val="20"/>
          <w:color w:val="auto"/>
        </w:rPr>
      </w:pPr>
      <w:r>
        <w:rPr>
          <w:rFonts w:ascii="Arial" w:cs="Arial" w:eastAsia="Arial" w:hAnsi="Arial"/>
          <w:sz w:val="17"/>
          <w:szCs w:val="17"/>
          <w:color w:val="auto"/>
        </w:rPr>
        <w:t>As shown below, our director nominees have varied experiences, backgrounds and personal characteristics, which ensure that the Board will have a diversity of viewpoints and enable it to effectively represent our business, shareholders, employees, business partners and consumers:</w:t>
      </w:r>
    </w:p>
    <w:p>
      <w:pPr>
        <w:spacing w:after="0" w:line="68" w:lineRule="exact"/>
        <w:rPr>
          <w:sz w:val="20"/>
          <w:szCs w:val="20"/>
          <w:color w:val="auto"/>
        </w:rPr>
      </w:pPr>
    </w:p>
    <w:p>
      <w:pPr>
        <w:ind w:left="5660" w:right="2540" w:hanging="5095"/>
        <w:spacing w:after="0" w:line="414" w:lineRule="auto"/>
        <w:tabs>
          <w:tab w:leader="none" w:pos="877" w:val="left"/>
        </w:tabs>
        <w:numPr>
          <w:ilvl w:val="0"/>
          <w:numId w:val="10"/>
        </w:numPr>
        <w:rPr>
          <w:rFonts w:ascii="Arial" w:cs="Arial" w:eastAsia="Arial" w:hAnsi="Arial"/>
          <w:sz w:val="17"/>
          <w:szCs w:val="17"/>
          <w:color w:val="auto"/>
        </w:rPr>
      </w:pPr>
      <w:r>
        <w:rPr>
          <w:rFonts w:ascii="Arial" w:cs="Arial" w:eastAsia="Arial" w:hAnsi="Arial"/>
          <w:sz w:val="17"/>
          <w:szCs w:val="17"/>
          <w:color w:val="auto"/>
        </w:rPr>
        <w:t>7 director nominees are current or former presidents or chief executive officers of large, complex enterprises; 3</w:t>
      </w:r>
    </w:p>
    <w:p>
      <w:pPr>
        <w:sectPr>
          <w:pgSz w:w="11900" w:h="16838" w:orient="portrait"/>
          <w:cols w:equalWidth="0" w:num="1">
            <w:col w:w="11420"/>
          </w:cols>
          <w:pgMar w:left="240" w:top="443"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left="880" w:right="700" w:hanging="315"/>
        <w:spacing w:after="0" w:line="241"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7 director nominees currently hold or held key positions at major consumer products or retail companies, including food and beverage companies;</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3 director nominees have significant financial and accounting backgrounds;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2 director nominees are current or former professors at leading institutions;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3 director nominees are women, including the Chairman;</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3 director nominees are living and working or have lived and worked outside the United States;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 director nominee is African-American;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age range for the director nominees is 42 – 71.</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Individual Skills and Experience</w:t>
      </w:r>
    </w:p>
    <w:p>
      <w:pPr>
        <w:spacing w:after="0" w:line="15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When evaluating potential director nominees, the Committee considers each individual’s professional expertise and educational background in addition to the general qualifications. The Committee evaluates each individual in the context of the Board as a whole. The Committee works with the Board to determine the appropriate mix of backgrounds and experiences that would establish and maintain a Board that is strong in its collective knowledge, allowing the Board to fulfill its responsibilities and best perpetuate our long-term success and represent our shareholders’ interests. To help the Committee determine whether director nominees qualify to serve on our Board and would contribute to the Board’s current and future needs, director nominees complete questionnaires regarding their backgrounds, qualifications, skills and potential conflicts of interest. Additionally, the Committee annually conducts evaluations of the Board, the Board’s committees and individual directors that assess the experience, skills, qualifications, diversity and contributions of each individual and of the group as a whole.</w:t>
      </w:r>
    </w:p>
    <w:p>
      <w:pPr>
        <w:spacing w:after="0" w:line="151" w:lineRule="exact"/>
        <w:rPr>
          <w:sz w:val="20"/>
          <w:szCs w:val="20"/>
          <w:color w:val="auto"/>
        </w:rPr>
      </w:pPr>
    </w:p>
    <w:p>
      <w:pPr>
        <w:ind w:right="480"/>
        <w:spacing w:after="0" w:line="241" w:lineRule="auto"/>
        <w:rPr>
          <w:sz w:val="20"/>
          <w:szCs w:val="20"/>
          <w:color w:val="auto"/>
        </w:rPr>
      </w:pPr>
      <w:r>
        <w:rPr>
          <w:rFonts w:ascii="Arial" w:cs="Arial" w:eastAsia="Arial" w:hAnsi="Arial"/>
          <w:sz w:val="17"/>
          <w:szCs w:val="17"/>
          <w:color w:val="auto"/>
        </w:rPr>
        <w:t>The Committee regularly communicates with the Board to identify characteristics, professional experience and areas of expertise that are particularly desirable for our directors to possess to help meet specific Board needs, including:</w:t>
      </w:r>
    </w:p>
    <w:p>
      <w:pPr>
        <w:spacing w:after="0" w:line="50" w:lineRule="exact"/>
        <w:rPr>
          <w:sz w:val="20"/>
          <w:szCs w:val="20"/>
          <w:color w:val="auto"/>
        </w:rPr>
      </w:pPr>
    </w:p>
    <w:p>
      <w:pPr>
        <w:ind w:left="880" w:hanging="315"/>
        <w:spacing w:after="0" w:line="263"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industry knowledge</w:t>
      </w:r>
      <w:r>
        <w:rPr>
          <w:rFonts w:ascii="Arial" w:cs="Arial" w:eastAsia="Arial" w:hAnsi="Arial"/>
          <w:sz w:val="17"/>
          <w:szCs w:val="17"/>
          <w:color w:val="auto"/>
        </w:rPr>
        <w:t>, which is vital in understanding and reviewing our strategy, including the acquisition of businesses that offer complementary</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or services;</w:t>
      </w:r>
    </w:p>
    <w:p>
      <w:pPr>
        <w:spacing w:after="0" w:line="32" w:lineRule="exact"/>
        <w:rPr>
          <w:rFonts w:ascii="Arial" w:cs="Arial" w:eastAsia="Arial" w:hAnsi="Arial"/>
          <w:sz w:val="17"/>
          <w:szCs w:val="17"/>
          <w:color w:val="auto"/>
        </w:rPr>
      </w:pPr>
    </w:p>
    <w:p>
      <w:pPr>
        <w:ind w:left="880" w:right="120" w:hanging="315"/>
        <w:spacing w:after="0" w:line="263"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significant operating experience </w:t>
      </w:r>
      <w:r>
        <w:rPr>
          <w:rFonts w:ascii="Arial" w:cs="Arial" w:eastAsia="Arial" w:hAnsi="Arial"/>
          <w:sz w:val="17"/>
          <w:szCs w:val="17"/>
          <w:color w:val="auto"/>
        </w:rPr>
        <w:t>as current or former executives, which gives directors specific insight into, and expertise that will foster active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participation in, the development and implementation of our operating plan and business strategy;</w:t>
      </w:r>
    </w:p>
    <w:p>
      <w:pPr>
        <w:spacing w:after="0" w:line="32" w:lineRule="exact"/>
        <w:rPr>
          <w:rFonts w:ascii="Arial" w:cs="Arial" w:eastAsia="Arial" w:hAnsi="Arial"/>
          <w:sz w:val="17"/>
          <w:szCs w:val="17"/>
          <w:color w:val="auto"/>
        </w:rPr>
      </w:pPr>
    </w:p>
    <w:p>
      <w:pPr>
        <w:ind w:left="880" w:right="60" w:hanging="315"/>
        <w:spacing w:after="0" w:line="263"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leadership experience</w:t>
      </w:r>
      <w:r>
        <w:rPr>
          <w:rFonts w:ascii="Arial" w:cs="Arial" w:eastAsia="Arial" w:hAnsi="Arial"/>
          <w:sz w:val="17"/>
          <w:szCs w:val="17"/>
          <w:color w:val="auto"/>
        </w:rPr>
        <w:t>, as directors who have served in significant leadership positions possess strong abilities to motivate and manage others</w:t>
      </w:r>
      <w:r>
        <w:rPr>
          <w:rFonts w:ascii="Arial" w:cs="Arial" w:eastAsia="Arial" w:hAnsi="Arial"/>
          <w:sz w:val="17"/>
          <w:szCs w:val="17"/>
          <w:i w:val="1"/>
          <w:iCs w:val="1"/>
          <w:color w:val="auto"/>
        </w:rPr>
        <w:t xml:space="preserve"> </w:t>
      </w:r>
      <w:r>
        <w:rPr>
          <w:rFonts w:ascii="Arial" w:cs="Arial" w:eastAsia="Arial" w:hAnsi="Arial"/>
          <w:sz w:val="17"/>
          <w:szCs w:val="17"/>
          <w:color w:val="auto"/>
        </w:rPr>
        <w:t>and to identify and develop leadership qualities in others;</w:t>
      </w:r>
    </w:p>
    <w:p>
      <w:pPr>
        <w:spacing w:after="0" w:line="32" w:lineRule="exact"/>
        <w:rPr>
          <w:rFonts w:ascii="Arial" w:cs="Arial" w:eastAsia="Arial" w:hAnsi="Arial"/>
          <w:sz w:val="17"/>
          <w:szCs w:val="17"/>
          <w:color w:val="auto"/>
        </w:rPr>
      </w:pPr>
    </w:p>
    <w:p>
      <w:pPr>
        <w:ind w:left="880" w:hanging="315"/>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substantial global business experience</w:t>
      </w:r>
      <w:r>
        <w:rPr>
          <w:rFonts w:ascii="Arial" w:cs="Arial" w:eastAsia="Arial" w:hAnsi="Arial"/>
          <w:sz w:val="17"/>
          <w:szCs w:val="17"/>
          <w:color w:val="auto"/>
        </w:rPr>
        <w:t>, which is particularly important given our global presence;</w:t>
      </w:r>
    </w:p>
    <w:p>
      <w:pPr>
        <w:spacing w:after="0" w:line="73" w:lineRule="exact"/>
        <w:rPr>
          <w:rFonts w:ascii="Arial" w:cs="Arial" w:eastAsia="Arial" w:hAnsi="Arial"/>
          <w:sz w:val="17"/>
          <w:szCs w:val="17"/>
          <w:color w:val="auto"/>
        </w:rPr>
      </w:pPr>
    </w:p>
    <w:p>
      <w:pPr>
        <w:ind w:left="880" w:right="660" w:hanging="315"/>
        <w:spacing w:after="0" w:line="263"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accounting and financial expertise</w:t>
      </w:r>
      <w:r>
        <w:rPr>
          <w:rFonts w:ascii="Arial" w:cs="Arial" w:eastAsia="Arial" w:hAnsi="Arial"/>
          <w:sz w:val="17"/>
          <w:szCs w:val="17"/>
          <w:color w:val="auto"/>
        </w:rPr>
        <w:t>, which enables directors to analyze our financial statements, capital structure and complex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and oversee our accounting and financial reporting processes;</w:t>
      </w:r>
    </w:p>
    <w:p>
      <w:pPr>
        <w:spacing w:after="0" w:line="32" w:lineRule="exact"/>
        <w:rPr>
          <w:rFonts w:ascii="Arial" w:cs="Arial" w:eastAsia="Arial" w:hAnsi="Arial"/>
          <w:sz w:val="17"/>
          <w:szCs w:val="17"/>
          <w:color w:val="auto"/>
        </w:rPr>
      </w:pPr>
    </w:p>
    <w:p>
      <w:pPr>
        <w:ind w:left="880" w:right="200" w:hanging="315"/>
        <w:spacing w:after="0" w:line="263"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product development and marketing experience </w:t>
      </w:r>
      <w:r>
        <w:rPr>
          <w:rFonts w:ascii="Arial" w:cs="Arial" w:eastAsia="Arial" w:hAnsi="Arial"/>
          <w:sz w:val="17"/>
          <w:szCs w:val="17"/>
          <w:color w:val="auto"/>
        </w:rPr>
        <w:t>in complementary industries, which contributes to our identification and development of new</w:t>
      </w:r>
      <w:r>
        <w:rPr>
          <w:rFonts w:ascii="Arial" w:cs="Arial" w:eastAsia="Arial" w:hAnsi="Arial"/>
          <w:sz w:val="17"/>
          <w:szCs w:val="17"/>
          <w:i w:val="1"/>
          <w:iCs w:val="1"/>
          <w:color w:val="auto"/>
        </w:rPr>
        <w:t xml:space="preserve"> </w:t>
      </w:r>
      <w:r>
        <w:rPr>
          <w:rFonts w:ascii="Arial" w:cs="Arial" w:eastAsia="Arial" w:hAnsi="Arial"/>
          <w:sz w:val="17"/>
          <w:szCs w:val="17"/>
          <w:color w:val="auto"/>
        </w:rPr>
        <w:t>food and beverage products and implementation of marketing strategies that will improve our performance;</w:t>
      </w:r>
    </w:p>
    <w:p>
      <w:pPr>
        <w:spacing w:after="0" w:line="32" w:lineRule="exact"/>
        <w:rPr>
          <w:rFonts w:ascii="Arial" w:cs="Arial" w:eastAsia="Arial" w:hAnsi="Arial"/>
          <w:sz w:val="17"/>
          <w:szCs w:val="17"/>
          <w:color w:val="auto"/>
        </w:rPr>
      </w:pPr>
    </w:p>
    <w:p>
      <w:pPr>
        <w:ind w:left="880" w:right="560" w:hanging="315"/>
        <w:spacing w:after="0" w:line="249"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public company board and corporate governance experience </w:t>
      </w:r>
      <w:r>
        <w:rPr>
          <w:rFonts w:ascii="Arial" w:cs="Arial" w:eastAsia="Arial" w:hAnsi="Arial"/>
          <w:sz w:val="17"/>
          <w:szCs w:val="17"/>
          <w:color w:val="auto"/>
        </w:rPr>
        <w:t>at large publicly traded companies, which provides directors with a solid</w:t>
      </w:r>
      <w:r>
        <w:rPr>
          <w:rFonts w:ascii="Arial" w:cs="Arial" w:eastAsia="Arial" w:hAnsi="Arial"/>
          <w:sz w:val="17"/>
          <w:szCs w:val="17"/>
          <w:i w:val="1"/>
          <w:iCs w:val="1"/>
          <w:color w:val="auto"/>
        </w:rPr>
        <w:t xml:space="preserve"> </w:t>
      </w:r>
      <w:r>
        <w:rPr>
          <w:rFonts w:ascii="Arial" w:cs="Arial" w:eastAsia="Arial" w:hAnsi="Arial"/>
          <w:sz w:val="17"/>
          <w:szCs w:val="17"/>
          <w:color w:val="auto"/>
        </w:rPr>
        <w:t>understanding of their extensive and complex oversight responsibilities and furthers our goals of greater transparency, accountability for management and the Board and protection of shareholder interests; and</w:t>
      </w:r>
    </w:p>
    <w:p>
      <w:pPr>
        <w:spacing w:after="0" w:line="43" w:lineRule="exact"/>
        <w:rPr>
          <w:rFonts w:ascii="Arial" w:cs="Arial" w:eastAsia="Arial" w:hAnsi="Arial"/>
          <w:sz w:val="17"/>
          <w:szCs w:val="17"/>
          <w:color w:val="auto"/>
        </w:rPr>
      </w:pPr>
    </w:p>
    <w:p>
      <w:pPr>
        <w:ind w:left="880" w:right="340" w:hanging="315"/>
        <w:spacing w:after="0" w:line="263"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academic and research experience</w:t>
      </w:r>
      <w:r>
        <w:rPr>
          <w:rFonts w:ascii="Arial" w:cs="Arial" w:eastAsia="Arial" w:hAnsi="Arial"/>
          <w:sz w:val="17"/>
          <w:szCs w:val="17"/>
          <w:color w:val="auto"/>
        </w:rPr>
        <w:t>, which brings to the Board strong critical thinking and verbal communications skills as well as a greater</w:t>
      </w:r>
      <w:r>
        <w:rPr>
          <w:rFonts w:ascii="Arial" w:cs="Arial" w:eastAsia="Arial" w:hAnsi="Arial"/>
          <w:sz w:val="17"/>
          <w:szCs w:val="17"/>
          <w:i w:val="1"/>
          <w:iCs w:val="1"/>
          <w:color w:val="auto"/>
        </w:rPr>
        <w:t xml:space="preserve"> </w:t>
      </w:r>
      <w:r>
        <w:rPr>
          <w:rFonts w:ascii="Arial" w:cs="Arial" w:eastAsia="Arial" w:hAnsi="Arial"/>
          <w:sz w:val="17"/>
          <w:szCs w:val="17"/>
          <w:color w:val="auto"/>
        </w:rPr>
        <w:t>diversity of views and backgrounds.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00"/>
          </w:cols>
          <w:pgMar w:left="240" w:top="443" w:right="25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following table highlights each director nominee’s specific skills, knowledge and experiences that the Committee relied upon when determining whether to nominate the individual for election. A particular nominee may possess other skills, knowledge or experience even though they are not indicated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7"/>
              </w:rPr>
              <w:t>Public</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80" w:type="dxa"/>
            <w:vAlign w:val="bottom"/>
            <w:gridSpan w:val="2"/>
          </w:tcPr>
          <w:p>
            <w:pPr>
              <w:jc w:val="center"/>
              <w:ind w:right="480"/>
              <w:spacing w:after="0" w:line="141" w:lineRule="exact"/>
              <w:rPr>
                <w:sz w:val="20"/>
                <w:szCs w:val="20"/>
                <w:color w:val="auto"/>
              </w:rPr>
            </w:pPr>
            <w:r>
              <w:rPr>
                <w:rFonts w:ascii="Arial" w:cs="Arial" w:eastAsia="Arial" w:hAnsi="Arial"/>
                <w:sz w:val="13"/>
                <w:szCs w:val="13"/>
                <w:b w:val="1"/>
                <w:bCs w:val="1"/>
                <w:color w:val="auto"/>
                <w:w w:val="97"/>
              </w:rPr>
              <w:t>Product</w:t>
            </w:r>
          </w:p>
        </w:tc>
        <w:tc>
          <w:tcPr>
            <w:tcW w:w="1240" w:type="dxa"/>
            <w:vAlign w:val="bottom"/>
            <w:gridSpan w:val="2"/>
          </w:tcPr>
          <w:p>
            <w:pPr>
              <w:jc w:val="center"/>
              <w:ind w:right="500"/>
              <w:spacing w:after="0" w:line="141" w:lineRule="exact"/>
              <w:rPr>
                <w:sz w:val="20"/>
                <w:szCs w:val="20"/>
                <w:color w:val="auto"/>
              </w:rPr>
            </w:pPr>
            <w:r>
              <w:rPr>
                <w:rFonts w:ascii="Arial" w:cs="Arial" w:eastAsia="Arial" w:hAnsi="Arial"/>
                <w:sz w:val="13"/>
                <w:szCs w:val="13"/>
                <w:b w:val="1"/>
                <w:bCs w:val="1"/>
                <w:color w:val="auto"/>
                <w:w w:val="97"/>
              </w:rPr>
              <w:t>Company</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2"/>
          </w:tcPr>
          <w:p>
            <w:pPr>
              <w:jc w:val="center"/>
              <w:ind w:right="500"/>
              <w:spacing w:after="0" w:line="141" w:lineRule="exact"/>
              <w:rPr>
                <w:sz w:val="20"/>
                <w:szCs w:val="20"/>
                <w:color w:val="auto"/>
              </w:rPr>
            </w:pPr>
            <w:r>
              <w:rPr>
                <w:rFonts w:ascii="Arial" w:cs="Arial" w:eastAsia="Arial" w:hAnsi="Arial"/>
                <w:sz w:val="13"/>
                <w:szCs w:val="13"/>
                <w:b w:val="1"/>
                <w:bCs w:val="1"/>
                <w:color w:val="auto"/>
                <w:w w:val="97"/>
              </w:rPr>
              <w:t>Accounting</w:t>
            </w:r>
          </w:p>
        </w:tc>
        <w:tc>
          <w:tcPr>
            <w:tcW w:w="1280" w:type="dxa"/>
            <w:vAlign w:val="bottom"/>
            <w:gridSpan w:val="2"/>
          </w:tcPr>
          <w:p>
            <w:pPr>
              <w:jc w:val="center"/>
              <w:ind w:right="480"/>
              <w:spacing w:after="0" w:line="141" w:lineRule="exact"/>
              <w:rPr>
                <w:sz w:val="20"/>
                <w:szCs w:val="20"/>
                <w:color w:val="auto"/>
              </w:rPr>
            </w:pPr>
            <w:r>
              <w:rPr>
                <w:rFonts w:ascii="Arial" w:cs="Arial" w:eastAsia="Arial" w:hAnsi="Arial"/>
                <w:sz w:val="13"/>
                <w:szCs w:val="13"/>
                <w:b w:val="1"/>
                <w:bCs w:val="1"/>
                <w:color w:val="auto"/>
                <w:w w:val="97"/>
              </w:rPr>
              <w:t>Development</w:t>
            </w:r>
          </w:p>
        </w:tc>
        <w:tc>
          <w:tcPr>
            <w:tcW w:w="1240" w:type="dxa"/>
            <w:vAlign w:val="bottom"/>
            <w:gridSpan w:val="2"/>
          </w:tcPr>
          <w:p>
            <w:pPr>
              <w:jc w:val="center"/>
              <w:ind w:right="480"/>
              <w:spacing w:after="0" w:line="141" w:lineRule="exact"/>
              <w:rPr>
                <w:sz w:val="20"/>
                <w:szCs w:val="20"/>
                <w:color w:val="auto"/>
              </w:rPr>
            </w:pPr>
            <w:r>
              <w:rPr>
                <w:rFonts w:ascii="Arial" w:cs="Arial" w:eastAsia="Arial" w:hAnsi="Arial"/>
                <w:sz w:val="13"/>
                <w:szCs w:val="13"/>
                <w:b w:val="1"/>
                <w:bCs w:val="1"/>
                <w:color w:val="auto"/>
                <w:w w:val="97"/>
              </w:rPr>
              <w:t>Board/</w:t>
            </w:r>
          </w:p>
        </w:tc>
        <w:tc>
          <w:tcPr>
            <w:tcW w:w="6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Academic</w:t>
            </w:r>
          </w:p>
        </w:tc>
        <w:tc>
          <w:tcPr>
            <w:tcW w:w="0" w:type="dxa"/>
            <w:vAlign w:val="bottom"/>
          </w:tcPr>
          <w:p>
            <w:pPr>
              <w:spacing w:after="0"/>
              <w:rPr>
                <w:sz w:val="1"/>
                <w:szCs w:val="1"/>
                <w:color w:val="auto"/>
              </w:rPr>
            </w:pPr>
          </w:p>
        </w:tc>
      </w:tr>
      <w:tr>
        <w:trPr>
          <w:trHeight w:val="141"/>
        </w:trPr>
        <w:tc>
          <w:tcPr>
            <w:tcW w:w="2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60" w:type="dxa"/>
            <w:vAlign w:val="bottom"/>
            <w:gridSpan w:val="2"/>
          </w:tcPr>
          <w:p>
            <w:pPr>
              <w:jc w:val="center"/>
              <w:ind w:right="500"/>
              <w:spacing w:after="0" w:line="141" w:lineRule="exact"/>
              <w:rPr>
                <w:sz w:val="20"/>
                <w:szCs w:val="20"/>
                <w:color w:val="auto"/>
              </w:rPr>
            </w:pPr>
            <w:r>
              <w:rPr>
                <w:rFonts w:ascii="Arial" w:cs="Arial" w:eastAsia="Arial" w:hAnsi="Arial"/>
                <w:sz w:val="13"/>
                <w:szCs w:val="13"/>
                <w:b w:val="1"/>
                <w:bCs w:val="1"/>
                <w:color w:val="auto"/>
                <w:w w:val="98"/>
              </w:rPr>
              <w:t>Global</w:t>
            </w:r>
          </w:p>
        </w:tc>
        <w:tc>
          <w:tcPr>
            <w:tcW w:w="1200" w:type="dxa"/>
            <w:vAlign w:val="bottom"/>
            <w:gridSpan w:val="2"/>
          </w:tcPr>
          <w:p>
            <w:pPr>
              <w:jc w:val="center"/>
              <w:ind w:right="500"/>
              <w:spacing w:after="0" w:line="141" w:lineRule="exact"/>
              <w:rPr>
                <w:sz w:val="20"/>
                <w:szCs w:val="20"/>
                <w:color w:val="auto"/>
              </w:rPr>
            </w:pPr>
            <w:r>
              <w:rPr>
                <w:rFonts w:ascii="Arial" w:cs="Arial" w:eastAsia="Arial" w:hAnsi="Arial"/>
                <w:sz w:val="13"/>
                <w:szCs w:val="13"/>
                <w:b w:val="1"/>
                <w:bCs w:val="1"/>
                <w:color w:val="auto"/>
                <w:w w:val="94"/>
              </w:rPr>
              <w:t>and</w:t>
            </w:r>
          </w:p>
        </w:tc>
        <w:tc>
          <w:tcPr>
            <w:tcW w:w="1280" w:type="dxa"/>
            <w:vAlign w:val="bottom"/>
            <w:gridSpan w:val="2"/>
          </w:tcPr>
          <w:p>
            <w:pPr>
              <w:jc w:val="center"/>
              <w:ind w:right="500"/>
              <w:spacing w:after="0" w:line="141" w:lineRule="exact"/>
              <w:rPr>
                <w:sz w:val="20"/>
                <w:szCs w:val="20"/>
                <w:color w:val="auto"/>
              </w:rPr>
            </w:pPr>
            <w:r>
              <w:rPr>
                <w:rFonts w:ascii="Arial" w:cs="Arial" w:eastAsia="Arial" w:hAnsi="Arial"/>
                <w:sz w:val="13"/>
                <w:szCs w:val="13"/>
                <w:b w:val="1"/>
                <w:bCs w:val="1"/>
                <w:color w:val="auto"/>
                <w:w w:val="94"/>
              </w:rPr>
              <w:t>and</w:t>
            </w:r>
          </w:p>
        </w:tc>
        <w:tc>
          <w:tcPr>
            <w:tcW w:w="1240" w:type="dxa"/>
            <w:vAlign w:val="bottom"/>
            <w:gridSpan w:val="2"/>
          </w:tcPr>
          <w:p>
            <w:pPr>
              <w:jc w:val="center"/>
              <w:ind w:right="500"/>
              <w:spacing w:after="0" w:line="141" w:lineRule="exact"/>
              <w:rPr>
                <w:sz w:val="20"/>
                <w:szCs w:val="20"/>
                <w:color w:val="auto"/>
              </w:rPr>
            </w:pPr>
            <w:r>
              <w:rPr>
                <w:rFonts w:ascii="Arial" w:cs="Arial" w:eastAsia="Arial" w:hAnsi="Arial"/>
                <w:sz w:val="13"/>
                <w:szCs w:val="13"/>
                <w:b w:val="1"/>
                <w:bCs w:val="1"/>
                <w:color w:val="auto"/>
                <w:w w:val="99"/>
              </w:rPr>
              <w:t>Corporate</w:t>
            </w:r>
          </w:p>
        </w:tc>
        <w:tc>
          <w:tcPr>
            <w:tcW w:w="6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rPr>
              <w:t>and</w:t>
            </w:r>
          </w:p>
        </w:tc>
        <w:tc>
          <w:tcPr>
            <w:tcW w:w="0" w:type="dxa"/>
            <w:vAlign w:val="bottom"/>
          </w:tcPr>
          <w:p>
            <w:pPr>
              <w:spacing w:after="0"/>
              <w:rPr>
                <w:sz w:val="1"/>
                <w:szCs w:val="1"/>
                <w:color w:val="auto"/>
              </w:rPr>
            </w:pPr>
          </w:p>
        </w:tc>
      </w:tr>
      <w:tr>
        <w:trPr>
          <w:trHeight w:val="157"/>
        </w:trPr>
        <w:tc>
          <w:tcPr>
            <w:tcW w:w="2760" w:type="dxa"/>
            <w:vAlign w:val="bottom"/>
            <w:vMerge w:val="restart"/>
          </w:tcPr>
          <w:p>
            <w:pPr>
              <w:spacing w:after="0"/>
              <w:rPr>
                <w:sz w:val="20"/>
                <w:szCs w:val="20"/>
                <w:color w:val="auto"/>
              </w:rPr>
            </w:pPr>
            <w:r>
              <w:rPr>
                <w:rFonts w:ascii="Arial" w:cs="Arial" w:eastAsia="Arial" w:hAnsi="Arial"/>
                <w:sz w:val="17"/>
                <w:szCs w:val="17"/>
                <w:color w:val="auto"/>
              </w:rPr>
              <w:t>Myra M. Hart</w:t>
            </w:r>
          </w:p>
        </w:tc>
        <w:tc>
          <w:tcPr>
            <w:tcW w:w="100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Industry</w:t>
            </w:r>
          </w:p>
        </w:tc>
        <w:tc>
          <w:tcPr>
            <w:tcW w:w="110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Operating</w:t>
            </w:r>
          </w:p>
        </w:tc>
        <w:tc>
          <w:tcPr>
            <w:tcW w:w="11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Leadership</w:t>
            </w:r>
          </w:p>
        </w:tc>
        <w:tc>
          <w:tcPr>
            <w:tcW w:w="10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Business</w:t>
            </w:r>
          </w:p>
        </w:tc>
        <w:tc>
          <w:tcPr>
            <w:tcW w:w="120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9"/>
              </w:rPr>
              <w:t>Financial</w:t>
            </w:r>
          </w:p>
        </w:tc>
        <w:tc>
          <w:tcPr>
            <w:tcW w:w="12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7"/>
              </w:rPr>
              <w:t>Marketing</w:t>
            </w:r>
          </w:p>
        </w:tc>
        <w:tc>
          <w:tcPr>
            <w:tcW w:w="12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8"/>
              </w:rPr>
              <w:t>Governance</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95"/>
              </w:rPr>
              <w:t>Research</w:t>
            </w:r>
          </w:p>
        </w:tc>
        <w:tc>
          <w:tcPr>
            <w:tcW w:w="0" w:type="dxa"/>
            <w:vAlign w:val="bottom"/>
          </w:tcPr>
          <w:p>
            <w:pPr>
              <w:spacing w:after="0"/>
              <w:rPr>
                <w:sz w:val="1"/>
                <w:szCs w:val="1"/>
                <w:color w:val="auto"/>
              </w:rPr>
            </w:pPr>
          </w:p>
        </w:tc>
      </w:tr>
      <w:tr>
        <w:trPr>
          <w:trHeight w:val="197"/>
        </w:trPr>
        <w:tc>
          <w:tcPr>
            <w:tcW w:w="2760" w:type="dxa"/>
            <w:vAlign w:val="bottom"/>
            <w:vMerge w:val="continue"/>
          </w:tcPr>
          <w:p>
            <w:pPr>
              <w:spacing w:after="0"/>
              <w:rPr>
                <w:sz w:val="17"/>
                <w:szCs w:val="17"/>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6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tcPr>
          <w:p>
            <w:pPr>
              <w:spacing w:after="0"/>
              <w:rPr>
                <w:sz w:val="17"/>
                <w:szCs w:val="17"/>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Ö</w:t>
            </w:r>
          </w:p>
        </w:tc>
        <w:tc>
          <w:tcPr>
            <w:tcW w:w="0" w:type="dxa"/>
            <w:vAlign w:val="bottom"/>
          </w:tcPr>
          <w:p>
            <w:pPr>
              <w:spacing w:after="0"/>
              <w:rPr>
                <w:sz w:val="1"/>
                <w:szCs w:val="1"/>
                <w:color w:val="auto"/>
              </w:rPr>
            </w:pPr>
          </w:p>
        </w:tc>
      </w:tr>
      <w:tr>
        <w:trPr>
          <w:trHeight w:val="205"/>
        </w:trPr>
        <w:tc>
          <w:tcPr>
            <w:tcW w:w="2760" w:type="dxa"/>
            <w:vAlign w:val="bottom"/>
            <w:shd w:val="clear" w:color="auto" w:fill="D8D8D8"/>
          </w:tcPr>
          <w:p>
            <w:pPr>
              <w:spacing w:after="0"/>
              <w:rPr>
                <w:sz w:val="20"/>
                <w:szCs w:val="20"/>
                <w:color w:val="auto"/>
              </w:rPr>
            </w:pPr>
            <w:r>
              <w:rPr>
                <w:rFonts w:ascii="Arial" w:cs="Arial" w:eastAsia="Arial" w:hAnsi="Arial"/>
                <w:sz w:val="17"/>
                <w:szCs w:val="17"/>
                <w:color w:val="auto"/>
              </w:rPr>
              <w:t>Peter B. Henry</w:t>
            </w:r>
          </w:p>
        </w:tc>
        <w:tc>
          <w:tcPr>
            <w:tcW w:w="520" w:type="dxa"/>
            <w:vAlign w:val="bottom"/>
            <w:shd w:val="clear" w:color="auto" w:fill="D8D8D8"/>
          </w:tcPr>
          <w:p>
            <w:pPr>
              <w:spacing w:after="0"/>
              <w:rPr>
                <w:sz w:val="17"/>
                <w:szCs w:val="17"/>
                <w:color w:val="auto"/>
              </w:rPr>
            </w:pPr>
          </w:p>
        </w:tc>
        <w:tc>
          <w:tcPr>
            <w:tcW w:w="480" w:type="dxa"/>
            <w:vAlign w:val="bottom"/>
            <w:shd w:val="clear" w:color="auto" w:fill="D8D8D8"/>
          </w:tcPr>
          <w:p>
            <w:pPr>
              <w:spacing w:after="0"/>
              <w:rPr>
                <w:sz w:val="17"/>
                <w:szCs w:val="17"/>
                <w:color w:val="auto"/>
              </w:rPr>
            </w:pPr>
          </w:p>
        </w:tc>
        <w:tc>
          <w:tcPr>
            <w:tcW w:w="620" w:type="dxa"/>
            <w:vAlign w:val="bottom"/>
            <w:shd w:val="clear" w:color="auto" w:fill="D8D8D8"/>
          </w:tcPr>
          <w:p>
            <w:pPr>
              <w:spacing w:after="0"/>
              <w:rPr>
                <w:sz w:val="17"/>
                <w:szCs w:val="17"/>
                <w:color w:val="auto"/>
              </w:rPr>
            </w:pP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58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shd w:val="clear" w:color="auto" w:fill="D8D8D8"/>
          </w:tcPr>
          <w:p>
            <w:pPr>
              <w:spacing w:after="0"/>
              <w:rPr>
                <w:sz w:val="17"/>
                <w:szCs w:val="17"/>
                <w:color w:val="auto"/>
              </w:rPr>
            </w:pPr>
          </w:p>
        </w:tc>
        <w:tc>
          <w:tcPr>
            <w:tcW w:w="800" w:type="dxa"/>
            <w:vAlign w:val="bottom"/>
            <w:shd w:val="clear" w:color="auto" w:fill="D8D8D8"/>
          </w:tcPr>
          <w:p>
            <w:pPr>
              <w:spacing w:after="0"/>
              <w:rPr>
                <w:sz w:val="17"/>
                <w:szCs w:val="17"/>
                <w:color w:val="auto"/>
              </w:rPr>
            </w:pPr>
          </w:p>
        </w:tc>
        <w:tc>
          <w:tcPr>
            <w:tcW w:w="480" w:type="dxa"/>
            <w:vAlign w:val="bottom"/>
            <w:shd w:val="clear" w:color="auto" w:fill="D8D8D8"/>
          </w:tcPr>
          <w:p>
            <w:pPr>
              <w:spacing w:after="0"/>
              <w:rPr>
                <w:sz w:val="17"/>
                <w:szCs w:val="17"/>
                <w:color w:val="auto"/>
              </w:rPr>
            </w:pPr>
          </w:p>
        </w:tc>
        <w:tc>
          <w:tcPr>
            <w:tcW w:w="740" w:type="dxa"/>
            <w:vAlign w:val="bottom"/>
            <w:shd w:val="clear" w:color="auto" w:fill="D8D8D8"/>
          </w:tcPr>
          <w:p>
            <w:pPr>
              <w:spacing w:after="0"/>
              <w:rPr>
                <w:sz w:val="17"/>
                <w:szCs w:val="17"/>
                <w:color w:val="auto"/>
              </w:rPr>
            </w:pPr>
          </w:p>
        </w:tc>
        <w:tc>
          <w:tcPr>
            <w:tcW w:w="500" w:type="dxa"/>
            <w:vAlign w:val="bottom"/>
            <w:shd w:val="clear" w:color="auto" w:fill="D8D8D8"/>
          </w:tcPr>
          <w:p>
            <w:pPr>
              <w:spacing w:after="0"/>
              <w:rPr>
                <w:sz w:val="17"/>
                <w:szCs w:val="17"/>
                <w:color w:val="auto"/>
              </w:rPr>
            </w:pPr>
          </w:p>
        </w:tc>
        <w:tc>
          <w:tcPr>
            <w:tcW w:w="6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0" w:type="dxa"/>
            <w:vAlign w:val="bottom"/>
          </w:tcPr>
          <w:p>
            <w:pPr>
              <w:spacing w:after="0"/>
              <w:rPr>
                <w:sz w:val="1"/>
                <w:szCs w:val="1"/>
                <w:color w:val="auto"/>
              </w:rPr>
            </w:pPr>
          </w:p>
        </w:tc>
      </w:tr>
      <w:tr>
        <w:trPr>
          <w:trHeight w:val="205"/>
        </w:trPr>
        <w:tc>
          <w:tcPr>
            <w:tcW w:w="2760" w:type="dxa"/>
            <w:vAlign w:val="bottom"/>
          </w:tcPr>
          <w:p>
            <w:pPr>
              <w:spacing w:after="0"/>
              <w:rPr>
                <w:sz w:val="20"/>
                <w:szCs w:val="20"/>
                <w:color w:val="auto"/>
              </w:rPr>
            </w:pPr>
            <w:r>
              <w:rPr>
                <w:rFonts w:ascii="Arial" w:cs="Arial" w:eastAsia="Arial" w:hAnsi="Arial"/>
                <w:sz w:val="17"/>
                <w:szCs w:val="17"/>
                <w:color w:val="auto"/>
              </w:rPr>
              <w:t>Lois D. Juliber</w:t>
            </w:r>
          </w:p>
        </w:tc>
        <w:tc>
          <w:tcPr>
            <w:tcW w:w="52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60" w:type="dxa"/>
            <w:vAlign w:val="bottom"/>
            <w:shd w:val="clear" w:color="auto" w:fill="D8D8D8"/>
          </w:tcPr>
          <w:p>
            <w:pPr>
              <w:spacing w:after="0"/>
              <w:rPr>
                <w:sz w:val="20"/>
                <w:szCs w:val="20"/>
                <w:color w:val="auto"/>
              </w:rPr>
            </w:pPr>
            <w:r>
              <w:rPr>
                <w:rFonts w:ascii="Arial" w:cs="Arial" w:eastAsia="Arial" w:hAnsi="Arial"/>
                <w:sz w:val="17"/>
                <w:szCs w:val="17"/>
                <w:color w:val="auto"/>
              </w:rPr>
              <w:t>Mark D. Ketchum</w:t>
            </w:r>
          </w:p>
        </w:tc>
        <w:tc>
          <w:tcPr>
            <w:tcW w:w="52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62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58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spacing w:after="0"/>
              <w:rPr>
                <w:sz w:val="17"/>
                <w:szCs w:val="17"/>
                <w:color w:val="auto"/>
              </w:rPr>
            </w:pPr>
          </w:p>
        </w:tc>
        <w:tc>
          <w:tcPr>
            <w:tcW w:w="50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4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shd w:val="clear" w:color="auto" w:fill="D8D8D8"/>
          </w:tcPr>
          <w:p>
            <w:pPr>
              <w:spacing w:after="0"/>
              <w:rPr>
                <w:sz w:val="17"/>
                <w:szCs w:val="17"/>
                <w:color w:val="auto"/>
              </w:rPr>
            </w:pPr>
          </w:p>
        </w:tc>
        <w:tc>
          <w:tcPr>
            <w:tcW w:w="6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60" w:type="dxa"/>
            <w:vAlign w:val="bottom"/>
          </w:tcPr>
          <w:p>
            <w:pPr>
              <w:spacing w:after="0"/>
              <w:rPr>
                <w:sz w:val="20"/>
                <w:szCs w:val="20"/>
                <w:color w:val="auto"/>
              </w:rPr>
            </w:pPr>
            <w:r>
              <w:rPr>
                <w:rFonts w:ascii="Arial" w:cs="Arial" w:eastAsia="Arial" w:hAnsi="Arial"/>
                <w:sz w:val="17"/>
                <w:szCs w:val="17"/>
                <w:color w:val="auto"/>
              </w:rPr>
              <w:t>Terry J. Lundgren</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60" w:type="dxa"/>
            <w:vAlign w:val="bottom"/>
            <w:shd w:val="clear" w:color="auto" w:fill="D8D8D8"/>
          </w:tcPr>
          <w:p>
            <w:pPr>
              <w:spacing w:after="0"/>
              <w:rPr>
                <w:sz w:val="20"/>
                <w:szCs w:val="20"/>
                <w:color w:val="auto"/>
              </w:rPr>
            </w:pPr>
            <w:r>
              <w:rPr>
                <w:rFonts w:ascii="Arial" w:cs="Arial" w:eastAsia="Arial" w:hAnsi="Arial"/>
                <w:sz w:val="17"/>
                <w:szCs w:val="17"/>
                <w:color w:val="auto"/>
              </w:rPr>
              <w:t>Mackey J. McDonald</w:t>
            </w:r>
          </w:p>
        </w:tc>
        <w:tc>
          <w:tcPr>
            <w:tcW w:w="52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62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58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spacing w:after="0"/>
              <w:rPr>
                <w:sz w:val="17"/>
                <w:szCs w:val="17"/>
                <w:color w:val="auto"/>
              </w:rPr>
            </w:pPr>
          </w:p>
        </w:tc>
        <w:tc>
          <w:tcPr>
            <w:tcW w:w="500" w:type="dxa"/>
            <w:vAlign w:val="bottom"/>
            <w:shd w:val="clear" w:color="auto" w:fill="D8D8D8"/>
          </w:tcPr>
          <w:p>
            <w:pPr>
              <w:spacing w:after="0"/>
              <w:rPr>
                <w:sz w:val="17"/>
                <w:szCs w:val="17"/>
                <w:color w:val="auto"/>
              </w:rPr>
            </w:pPr>
          </w:p>
        </w:tc>
        <w:tc>
          <w:tcPr>
            <w:tcW w:w="800" w:type="dxa"/>
            <w:vAlign w:val="bottom"/>
            <w:shd w:val="clear" w:color="auto" w:fill="D8D8D8"/>
          </w:tcPr>
          <w:p>
            <w:pPr>
              <w:spacing w:after="0"/>
              <w:rPr>
                <w:sz w:val="17"/>
                <w:szCs w:val="17"/>
                <w:color w:val="auto"/>
              </w:rPr>
            </w:pPr>
          </w:p>
        </w:tc>
        <w:tc>
          <w:tcPr>
            <w:tcW w:w="480" w:type="dxa"/>
            <w:vAlign w:val="bottom"/>
            <w:shd w:val="clear" w:color="auto" w:fill="D8D8D8"/>
          </w:tcPr>
          <w:p>
            <w:pPr>
              <w:spacing w:after="0"/>
              <w:rPr>
                <w:sz w:val="17"/>
                <w:szCs w:val="17"/>
                <w:color w:val="auto"/>
              </w:rPr>
            </w:pPr>
          </w:p>
        </w:tc>
        <w:tc>
          <w:tcPr>
            <w:tcW w:w="74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shd w:val="clear" w:color="auto" w:fill="D8D8D8"/>
          </w:tcPr>
          <w:p>
            <w:pPr>
              <w:spacing w:after="0"/>
              <w:rPr>
                <w:sz w:val="17"/>
                <w:szCs w:val="17"/>
                <w:color w:val="auto"/>
              </w:rPr>
            </w:pPr>
          </w:p>
        </w:tc>
        <w:tc>
          <w:tcPr>
            <w:tcW w:w="6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60" w:type="dxa"/>
            <w:vAlign w:val="bottom"/>
          </w:tcPr>
          <w:p>
            <w:pPr>
              <w:spacing w:after="0"/>
              <w:rPr>
                <w:sz w:val="20"/>
                <w:szCs w:val="20"/>
                <w:color w:val="auto"/>
              </w:rPr>
            </w:pPr>
            <w:r>
              <w:rPr>
                <w:rFonts w:ascii="Arial" w:cs="Arial" w:eastAsia="Arial" w:hAnsi="Arial"/>
                <w:sz w:val="17"/>
                <w:szCs w:val="17"/>
                <w:color w:val="auto"/>
              </w:rPr>
              <w:t>Jorge S. Mesquita</w:t>
            </w:r>
          </w:p>
        </w:tc>
        <w:tc>
          <w:tcPr>
            <w:tcW w:w="52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60" w:type="dxa"/>
            <w:vAlign w:val="bottom"/>
            <w:shd w:val="clear" w:color="auto" w:fill="D8D8D8"/>
          </w:tcPr>
          <w:p>
            <w:pPr>
              <w:spacing w:after="0"/>
              <w:rPr>
                <w:sz w:val="20"/>
                <w:szCs w:val="20"/>
                <w:color w:val="auto"/>
              </w:rPr>
            </w:pPr>
            <w:r>
              <w:rPr>
                <w:rFonts w:ascii="Arial" w:cs="Arial" w:eastAsia="Arial" w:hAnsi="Arial"/>
                <w:sz w:val="17"/>
                <w:szCs w:val="17"/>
                <w:color w:val="auto"/>
              </w:rPr>
              <w:t>John C. Pope</w:t>
            </w:r>
          </w:p>
        </w:tc>
        <w:tc>
          <w:tcPr>
            <w:tcW w:w="520" w:type="dxa"/>
            <w:vAlign w:val="bottom"/>
            <w:shd w:val="clear" w:color="auto" w:fill="D8D8D8"/>
          </w:tcPr>
          <w:p>
            <w:pPr>
              <w:spacing w:after="0"/>
              <w:rPr>
                <w:sz w:val="17"/>
                <w:szCs w:val="17"/>
                <w:color w:val="auto"/>
              </w:rPr>
            </w:pPr>
          </w:p>
        </w:tc>
        <w:tc>
          <w:tcPr>
            <w:tcW w:w="480" w:type="dxa"/>
            <w:vAlign w:val="bottom"/>
            <w:shd w:val="clear" w:color="auto" w:fill="D8D8D8"/>
          </w:tcPr>
          <w:p>
            <w:pPr>
              <w:spacing w:after="0"/>
              <w:rPr>
                <w:sz w:val="17"/>
                <w:szCs w:val="17"/>
                <w:color w:val="auto"/>
              </w:rPr>
            </w:pPr>
          </w:p>
        </w:tc>
        <w:tc>
          <w:tcPr>
            <w:tcW w:w="62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58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4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shd w:val="clear" w:color="auto" w:fill="D8D8D8"/>
          </w:tcPr>
          <w:p>
            <w:pPr>
              <w:spacing w:after="0"/>
              <w:rPr>
                <w:sz w:val="17"/>
                <w:szCs w:val="17"/>
                <w:color w:val="auto"/>
              </w:rPr>
            </w:pPr>
          </w:p>
        </w:tc>
        <w:tc>
          <w:tcPr>
            <w:tcW w:w="6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60" w:type="dxa"/>
            <w:vAlign w:val="bottom"/>
          </w:tcPr>
          <w:p>
            <w:pPr>
              <w:spacing w:after="0"/>
              <w:rPr>
                <w:sz w:val="20"/>
                <w:szCs w:val="20"/>
                <w:color w:val="auto"/>
              </w:rPr>
            </w:pPr>
            <w:r>
              <w:rPr>
                <w:rFonts w:ascii="Arial" w:cs="Arial" w:eastAsia="Arial" w:hAnsi="Arial"/>
                <w:sz w:val="17"/>
                <w:szCs w:val="17"/>
                <w:color w:val="auto"/>
              </w:rPr>
              <w:t>Fredric G. Reynolds</w:t>
            </w:r>
          </w:p>
        </w:tc>
        <w:tc>
          <w:tcPr>
            <w:tcW w:w="52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60" w:type="dxa"/>
            <w:vAlign w:val="bottom"/>
            <w:shd w:val="clear" w:color="auto" w:fill="D8D8D8"/>
          </w:tcPr>
          <w:p>
            <w:pPr>
              <w:spacing w:after="0"/>
              <w:rPr>
                <w:sz w:val="20"/>
                <w:szCs w:val="20"/>
                <w:color w:val="auto"/>
              </w:rPr>
            </w:pPr>
            <w:r>
              <w:rPr>
                <w:rFonts w:ascii="Arial" w:cs="Arial" w:eastAsia="Arial" w:hAnsi="Arial"/>
                <w:sz w:val="17"/>
                <w:szCs w:val="17"/>
                <w:color w:val="auto"/>
              </w:rPr>
              <w:t>Irene B. Rosenfeld</w:t>
            </w:r>
          </w:p>
        </w:tc>
        <w:tc>
          <w:tcPr>
            <w:tcW w:w="52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62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58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00" w:type="dxa"/>
            <w:vAlign w:val="bottom"/>
            <w:shd w:val="clear" w:color="auto" w:fill="D8D8D8"/>
          </w:tcPr>
          <w:p>
            <w:pPr>
              <w:spacing w:after="0"/>
              <w:rPr>
                <w:sz w:val="17"/>
                <w:szCs w:val="17"/>
                <w:color w:val="auto"/>
              </w:rPr>
            </w:pPr>
          </w:p>
        </w:tc>
        <w:tc>
          <w:tcPr>
            <w:tcW w:w="50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shd w:val="clear" w:color="auto" w:fill="D8D8D8"/>
          </w:tcPr>
          <w:p>
            <w:pPr>
              <w:spacing w:after="0"/>
              <w:rPr>
                <w:sz w:val="17"/>
                <w:szCs w:val="17"/>
                <w:color w:val="auto"/>
              </w:rPr>
            </w:pPr>
          </w:p>
        </w:tc>
        <w:tc>
          <w:tcPr>
            <w:tcW w:w="740" w:type="dxa"/>
            <w:vAlign w:val="bottom"/>
            <w:shd w:val="clear" w:color="auto" w:fill="D8D8D8"/>
          </w:tcPr>
          <w:p>
            <w:pPr>
              <w:jc w:val="center"/>
              <w:spacing w:after="0"/>
              <w:rPr>
                <w:sz w:val="20"/>
                <w:szCs w:val="20"/>
                <w:color w:val="auto"/>
              </w:rPr>
            </w:pPr>
            <w:r>
              <w:rPr>
                <w:rFonts w:ascii="Arial" w:cs="Arial" w:eastAsia="Arial" w:hAnsi="Arial"/>
                <w:sz w:val="17"/>
                <w:szCs w:val="17"/>
                <w:color w:val="auto"/>
                <w:w w:val="90"/>
              </w:rPr>
              <w:t>Ö</w:t>
            </w:r>
          </w:p>
        </w:tc>
        <w:tc>
          <w:tcPr>
            <w:tcW w:w="500" w:type="dxa"/>
            <w:vAlign w:val="bottom"/>
            <w:shd w:val="clear" w:color="auto" w:fill="D8D8D8"/>
          </w:tcPr>
          <w:p>
            <w:pPr>
              <w:spacing w:after="0"/>
              <w:rPr>
                <w:sz w:val="17"/>
                <w:szCs w:val="17"/>
                <w:color w:val="auto"/>
              </w:rPr>
            </w:pPr>
          </w:p>
        </w:tc>
        <w:tc>
          <w:tcPr>
            <w:tcW w:w="6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60" w:type="dxa"/>
            <w:vAlign w:val="bottom"/>
          </w:tcPr>
          <w:p>
            <w:pPr>
              <w:spacing w:after="0"/>
              <w:rPr>
                <w:sz w:val="20"/>
                <w:szCs w:val="20"/>
                <w:color w:val="auto"/>
              </w:rPr>
            </w:pPr>
            <w:r>
              <w:rPr>
                <w:rFonts w:ascii="Arial" w:cs="Arial" w:eastAsia="Arial" w:hAnsi="Arial"/>
                <w:sz w:val="17"/>
                <w:szCs w:val="17"/>
                <w:color w:val="auto"/>
              </w:rPr>
              <w:t>Jean-François M.L. van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6"/>
                <w:szCs w:val="16"/>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6"/>
                <w:szCs w:val="16"/>
                <w:color w:val="auto"/>
              </w:rPr>
            </w:pPr>
          </w:p>
        </w:tc>
        <w:tc>
          <w:tcPr>
            <w:tcW w:w="580" w:type="dxa"/>
            <w:vAlign w:val="bottom"/>
            <w:vMerge w:val="restart"/>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0"/>
              </w:rPr>
              <w:t>Ö</w:t>
            </w: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760" w:type="dxa"/>
            <w:vAlign w:val="bottom"/>
          </w:tcPr>
          <w:p>
            <w:pPr>
              <w:ind w:left="200"/>
              <w:spacing w:after="0"/>
              <w:rPr>
                <w:sz w:val="20"/>
                <w:szCs w:val="20"/>
                <w:color w:val="auto"/>
              </w:rPr>
            </w:pPr>
            <w:r>
              <w:rPr>
                <w:rFonts w:ascii="Arial" w:cs="Arial" w:eastAsia="Arial" w:hAnsi="Arial"/>
                <w:sz w:val="17"/>
                <w:szCs w:val="17"/>
                <w:color w:val="auto"/>
              </w:rPr>
              <w:t>Boxmeer</w:t>
            </w:r>
          </w:p>
        </w:tc>
        <w:tc>
          <w:tcPr>
            <w:tcW w:w="5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The Board believes that all the director nominees for election at the Annual Meeting are highly qualified. As the table shows, the nominees have significant leadership and professional experience, knowledge and skills that qualify them for service on our Board. As a group they represent diverse views, experiences and backgrounds. Each nominee other than the Chairman satisfies independence requirements. All director nominees satisfy the criteria set forth in our Guidelines and possess the personal characteristics that are essential for the proper and effective functioning of the Board. Each nominee’s biography below contains additional information regarding his or her professional experience, qualifications and skills.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Nominees</w:t>
      </w:r>
    </w:p>
    <w:p>
      <w:pPr>
        <w:spacing w:after="0" w:line="170"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All Board members are subject to annual election. Our Board currently has 11 directors all of whom were elected at the 2011 Annual Meeting. Ajaypal S. Banga and Richard A. Lerner have declined to stand for re-election due to other commitments and will step down from the Board at the time of the Annual Meeting. The balance of our current directors are standing for re-election. Additionally, Terry J. Lundgren and Jorge S. Mesquita will stand for election.</w:t>
      </w:r>
    </w:p>
    <w:p>
      <w:pPr>
        <w:spacing w:after="0" w:line="129" w:lineRule="exact"/>
        <w:rPr>
          <w:sz w:val="20"/>
          <w:szCs w:val="20"/>
          <w:color w:val="auto"/>
        </w:rPr>
      </w:pPr>
    </w:p>
    <w:p>
      <w:pPr>
        <w:jc w:val="both"/>
        <w:ind w:right="100"/>
        <w:spacing w:after="0" w:line="250" w:lineRule="auto"/>
        <w:rPr>
          <w:sz w:val="20"/>
          <w:szCs w:val="20"/>
          <w:color w:val="auto"/>
        </w:rPr>
      </w:pPr>
      <w:r>
        <w:rPr>
          <w:rFonts w:ascii="Arial" w:cs="Arial" w:eastAsia="Arial" w:hAnsi="Arial"/>
          <w:sz w:val="16"/>
          <w:szCs w:val="16"/>
          <w:color w:val="auto"/>
        </w:rPr>
        <w:t>In March 2012, the Committee recommended, and the Board nominated, each of the 11 director nominees listed below for election at the Annual Meeting, for a term ending at the 2013 Annual Meeting or until his or her successor has been duly elected and qualified. Each nominee has consented to his or her nomination for election to the Board. As we announced on August 4, 2011, our company is pursuing the creation of two independent public companies – a global snacks business and a North American grocery business – via a spin-off of the North American grocery business (the “Spin-off”) by year-end 2012.</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connection with the Spin-off, we anticipate that some of our directors will become directors of the North American grocery company, to be known as Kraft Foods Group, Inc., and therefore will resign from our Board of Directors. The Spin-off is subject to various conditions precedent, including approval by our Board of Directors, and there can be no assurance that the transaction will be completed.</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43"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following table presents information regarding each director nominee as of March 23, 2012, including information about each nominee’s professional experience, educational background and qualifications that led the Board to nominate him or her for election. The following also includes information about all public company directorships each nominee currently holds and held during the past five years. In addition to the public company directorships listed below, the nominees also serve on the boards of various charitable, educational and cultural institutions.</w:t>
      </w:r>
    </w:p>
    <w:p>
      <w:pPr>
        <w:spacing w:after="0" w:line="146"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 persons named as proxies in the proxy card or electronic voting form will vote the shares represented by the proxy card or electronic voting form FOR or AGAINST the director nominees or ABSTAIN from voting, as instructed in the proxy card or electronic voting form. If a director nominee should become unavailable to serve as a director, an event that we do not anticipate occurring, the persons named as proxies intend to vote the shares for the person whom the Board may designate to replace that nominee. In lieu of naming a substitute, the Board may reduce the number of directors on our Board.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recommends shareholders vote FOR the election of each of these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72536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8020" w:type="dxa"/>
            <w:vAlign w:val="bottom"/>
          </w:tcPr>
          <w:p>
            <w:pPr>
              <w:ind w:left="140"/>
              <w:spacing w:after="0"/>
              <w:rPr>
                <w:sz w:val="20"/>
                <w:szCs w:val="20"/>
                <w:color w:val="auto"/>
              </w:rPr>
            </w:pPr>
            <w:r>
              <w:rPr>
                <w:rFonts w:ascii="Arial" w:cs="Arial" w:eastAsia="Arial" w:hAnsi="Arial"/>
                <w:sz w:val="17"/>
                <w:szCs w:val="17"/>
                <w:i w:val="1"/>
                <w:iCs w:val="1"/>
                <w:color w:val="auto"/>
              </w:rPr>
              <w:t>Professional Experience:</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8020" w:type="dxa"/>
            <w:vAlign w:val="bottom"/>
          </w:tcPr>
          <w:p>
            <w:pPr>
              <w:ind w:left="140"/>
              <w:spacing w:after="0" w:line="192" w:lineRule="exact"/>
              <w:rPr>
                <w:sz w:val="20"/>
                <w:szCs w:val="20"/>
                <w:color w:val="auto"/>
              </w:rPr>
            </w:pPr>
            <w:r>
              <w:rPr>
                <w:rFonts w:ascii="Arial" w:cs="Arial" w:eastAsia="Arial" w:hAnsi="Arial"/>
                <w:sz w:val="17"/>
                <w:szCs w:val="17"/>
                <w:color w:val="auto"/>
                <w:w w:val="98"/>
              </w:rPr>
              <w:t>Dr. Hart joined the faculty of the Harvard Business School in 1995 as a professor of management practice</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8020" w:type="dxa"/>
            <w:vAlign w:val="bottom"/>
          </w:tcPr>
          <w:p>
            <w:pPr>
              <w:ind w:left="140"/>
              <w:spacing w:after="0" w:line="192" w:lineRule="exact"/>
              <w:rPr>
                <w:sz w:val="20"/>
                <w:szCs w:val="20"/>
                <w:color w:val="auto"/>
              </w:rPr>
            </w:pPr>
            <w:r>
              <w:rPr>
                <w:rFonts w:ascii="Arial" w:cs="Arial" w:eastAsia="Arial" w:hAnsi="Arial"/>
                <w:sz w:val="17"/>
                <w:szCs w:val="17"/>
                <w:color w:val="auto"/>
              </w:rPr>
              <w:t>and retired to its senior faculty in 2008. From 1985 until 1990, Dr. Hart was a member of the team that</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8020" w:type="dxa"/>
            <w:vAlign w:val="bottom"/>
          </w:tcPr>
          <w:p>
            <w:pPr>
              <w:ind w:left="140"/>
              <w:spacing w:after="0" w:line="192" w:lineRule="exact"/>
              <w:rPr>
                <w:sz w:val="20"/>
                <w:szCs w:val="20"/>
                <w:color w:val="auto"/>
              </w:rPr>
            </w:pPr>
            <w:r>
              <w:rPr>
                <w:rFonts w:ascii="Arial" w:cs="Arial" w:eastAsia="Arial" w:hAnsi="Arial"/>
                <w:sz w:val="17"/>
                <w:szCs w:val="17"/>
                <w:color w:val="auto"/>
                <w:w w:val="98"/>
              </w:rPr>
              <w:t>founded Staples, Inc., an office supply retail store chain, leading operations, strategic planning and growth</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8020" w:type="dxa"/>
            <w:vAlign w:val="bottom"/>
          </w:tcPr>
          <w:p>
            <w:pPr>
              <w:ind w:left="140"/>
              <w:spacing w:after="0" w:line="192" w:lineRule="exact"/>
              <w:rPr>
                <w:sz w:val="20"/>
                <w:szCs w:val="20"/>
                <w:color w:val="auto"/>
              </w:rPr>
            </w:pPr>
            <w:r>
              <w:rPr>
                <w:rFonts w:ascii="Arial" w:cs="Arial" w:eastAsia="Arial" w:hAnsi="Arial"/>
                <w:sz w:val="17"/>
                <w:szCs w:val="17"/>
                <w:color w:val="auto"/>
              </w:rPr>
              <w:t>implementation in new and existing markets. She was Director of Marketing for Star Market, a division of</w:t>
            </w:r>
          </w:p>
        </w:tc>
        <w:tc>
          <w:tcPr>
            <w:tcW w:w="0" w:type="dxa"/>
            <w:vAlign w:val="bottom"/>
          </w:tcPr>
          <w:p>
            <w:pPr>
              <w:spacing w:after="0"/>
              <w:rPr>
                <w:sz w:val="1"/>
                <w:szCs w:val="1"/>
                <w:color w:val="auto"/>
              </w:rPr>
            </w:pPr>
          </w:p>
        </w:tc>
      </w:tr>
      <w:tr>
        <w:trPr>
          <w:trHeight w:val="200"/>
        </w:trPr>
        <w:tc>
          <w:tcPr>
            <w:tcW w:w="3400" w:type="dxa"/>
            <w:vAlign w:val="bottom"/>
          </w:tcPr>
          <w:p>
            <w:pPr>
              <w:spacing w:after="0"/>
              <w:rPr>
                <w:sz w:val="17"/>
                <w:szCs w:val="17"/>
                <w:color w:val="auto"/>
              </w:rPr>
            </w:pPr>
          </w:p>
        </w:tc>
        <w:tc>
          <w:tcPr>
            <w:tcW w:w="8020" w:type="dxa"/>
            <w:vAlign w:val="bottom"/>
          </w:tcPr>
          <w:p>
            <w:pPr>
              <w:ind w:left="140"/>
              <w:spacing w:after="0"/>
              <w:rPr>
                <w:sz w:val="20"/>
                <w:szCs w:val="20"/>
                <w:color w:val="auto"/>
              </w:rPr>
            </w:pPr>
            <w:r>
              <w:rPr>
                <w:rFonts w:ascii="Arial" w:cs="Arial" w:eastAsia="Arial" w:hAnsi="Arial"/>
                <w:sz w:val="17"/>
                <w:szCs w:val="17"/>
                <w:color w:val="auto"/>
              </w:rPr>
              <w:t>SUPERVALU Inc., a U.S. grocery company, from 1983 to 1985.</w:t>
            </w:r>
          </w:p>
        </w:tc>
        <w:tc>
          <w:tcPr>
            <w:tcW w:w="0" w:type="dxa"/>
            <w:vAlign w:val="bottom"/>
          </w:tcPr>
          <w:p>
            <w:pPr>
              <w:spacing w:after="0"/>
              <w:rPr>
                <w:sz w:val="1"/>
                <w:szCs w:val="1"/>
                <w:color w:val="auto"/>
              </w:rPr>
            </w:pPr>
          </w:p>
        </w:tc>
      </w:tr>
      <w:tr>
        <w:trPr>
          <w:trHeight w:val="260"/>
        </w:trPr>
        <w:tc>
          <w:tcPr>
            <w:tcW w:w="3400" w:type="dxa"/>
            <w:vAlign w:val="bottom"/>
          </w:tcPr>
          <w:p>
            <w:pPr>
              <w:spacing w:after="0"/>
              <w:rPr>
                <w:sz w:val="22"/>
                <w:szCs w:val="22"/>
                <w:color w:val="auto"/>
              </w:rPr>
            </w:pPr>
          </w:p>
        </w:tc>
        <w:tc>
          <w:tcPr>
            <w:tcW w:w="8020" w:type="dxa"/>
            <w:vAlign w:val="bottom"/>
          </w:tcPr>
          <w:p>
            <w:pPr>
              <w:ind w:left="140"/>
              <w:spacing w:after="0"/>
              <w:rPr>
                <w:sz w:val="20"/>
                <w:szCs w:val="20"/>
                <w:color w:val="auto"/>
              </w:rPr>
            </w:pPr>
            <w:r>
              <w:rPr>
                <w:rFonts w:ascii="Arial" w:cs="Arial" w:eastAsia="Arial" w:hAnsi="Arial"/>
                <w:sz w:val="17"/>
                <w:szCs w:val="17"/>
                <w:i w:val="1"/>
                <w:iCs w:val="1"/>
                <w:color w:val="auto"/>
              </w:rPr>
              <w:t>Education:</w:t>
            </w:r>
          </w:p>
        </w:tc>
        <w:tc>
          <w:tcPr>
            <w:tcW w:w="0" w:type="dxa"/>
            <w:vAlign w:val="bottom"/>
          </w:tcPr>
          <w:p>
            <w:pPr>
              <w:spacing w:after="0"/>
              <w:rPr>
                <w:sz w:val="1"/>
                <w:szCs w:val="1"/>
                <w:color w:val="auto"/>
              </w:rPr>
            </w:pPr>
          </w:p>
        </w:tc>
      </w:tr>
      <w:tr>
        <w:trPr>
          <w:trHeight w:val="192"/>
        </w:trPr>
        <w:tc>
          <w:tcPr>
            <w:tcW w:w="3400" w:type="dxa"/>
            <w:vAlign w:val="bottom"/>
          </w:tcPr>
          <w:p>
            <w:pPr>
              <w:spacing w:after="0"/>
              <w:rPr>
                <w:sz w:val="16"/>
                <w:szCs w:val="16"/>
                <w:color w:val="auto"/>
              </w:rPr>
            </w:pPr>
          </w:p>
        </w:tc>
        <w:tc>
          <w:tcPr>
            <w:tcW w:w="8020" w:type="dxa"/>
            <w:vAlign w:val="bottom"/>
          </w:tcPr>
          <w:p>
            <w:pPr>
              <w:ind w:left="140"/>
              <w:spacing w:after="0" w:line="192" w:lineRule="exact"/>
              <w:rPr>
                <w:sz w:val="20"/>
                <w:szCs w:val="20"/>
                <w:color w:val="auto"/>
              </w:rPr>
            </w:pPr>
            <w:r>
              <w:rPr>
                <w:rFonts w:ascii="Arial" w:cs="Arial" w:eastAsia="Arial" w:hAnsi="Arial"/>
                <w:sz w:val="17"/>
                <w:szCs w:val="17"/>
                <w:color w:val="auto"/>
                <w:w w:val="97"/>
              </w:rPr>
              <w:t>Dr. Hart received a Bachelor’s Degree from Cornell University and a Master of Business Administration and</w:t>
            </w:r>
          </w:p>
        </w:tc>
        <w:tc>
          <w:tcPr>
            <w:tcW w:w="0" w:type="dxa"/>
            <w:vAlign w:val="bottom"/>
          </w:tcPr>
          <w:p>
            <w:pPr>
              <w:spacing w:after="0"/>
              <w:rPr>
                <w:sz w:val="1"/>
                <w:szCs w:val="1"/>
                <w:color w:val="auto"/>
              </w:rPr>
            </w:pPr>
          </w:p>
        </w:tc>
      </w:tr>
      <w:tr>
        <w:trPr>
          <w:trHeight w:val="200"/>
        </w:trPr>
        <w:tc>
          <w:tcPr>
            <w:tcW w:w="3400" w:type="dxa"/>
            <w:vAlign w:val="bottom"/>
          </w:tcPr>
          <w:p>
            <w:pPr>
              <w:spacing w:after="0"/>
              <w:rPr>
                <w:sz w:val="17"/>
                <w:szCs w:val="17"/>
                <w:color w:val="auto"/>
              </w:rPr>
            </w:pPr>
          </w:p>
        </w:tc>
        <w:tc>
          <w:tcPr>
            <w:tcW w:w="8020" w:type="dxa"/>
            <w:vAlign w:val="bottom"/>
          </w:tcPr>
          <w:p>
            <w:pPr>
              <w:ind w:left="140"/>
              <w:spacing w:after="0"/>
              <w:rPr>
                <w:sz w:val="20"/>
                <w:szCs w:val="20"/>
                <w:color w:val="auto"/>
              </w:rPr>
            </w:pPr>
            <w:r>
              <w:rPr>
                <w:rFonts w:ascii="Arial" w:cs="Arial" w:eastAsia="Arial" w:hAnsi="Arial"/>
                <w:sz w:val="17"/>
                <w:szCs w:val="17"/>
                <w:color w:val="auto"/>
              </w:rPr>
              <w:t>a Doctor of Business Administration from Harvard University.</w:t>
            </w:r>
          </w:p>
        </w:tc>
        <w:tc>
          <w:tcPr>
            <w:tcW w:w="0" w:type="dxa"/>
            <w:vAlign w:val="bottom"/>
          </w:tcPr>
          <w:p>
            <w:pPr>
              <w:spacing w:after="0"/>
              <w:rPr>
                <w:sz w:val="1"/>
                <w:szCs w:val="1"/>
                <w:color w:val="auto"/>
              </w:rPr>
            </w:pPr>
          </w:p>
        </w:tc>
      </w:tr>
      <w:tr>
        <w:trPr>
          <w:trHeight w:val="260"/>
        </w:trPr>
        <w:tc>
          <w:tcPr>
            <w:tcW w:w="3400" w:type="dxa"/>
            <w:vAlign w:val="bottom"/>
          </w:tcPr>
          <w:p>
            <w:pPr>
              <w:spacing w:after="0"/>
              <w:rPr>
                <w:sz w:val="20"/>
                <w:szCs w:val="20"/>
                <w:color w:val="auto"/>
              </w:rPr>
            </w:pPr>
            <w:r>
              <w:rPr>
                <w:rFonts w:ascii="Arial" w:cs="Arial" w:eastAsia="Arial" w:hAnsi="Arial"/>
                <w:sz w:val="17"/>
                <w:szCs w:val="17"/>
                <w:color w:val="auto"/>
              </w:rPr>
              <w:t>Myra M. Hart</w:t>
            </w:r>
          </w:p>
        </w:tc>
        <w:tc>
          <w:tcPr>
            <w:tcW w:w="8020" w:type="dxa"/>
            <w:vAlign w:val="bottom"/>
          </w:tcPr>
          <w:p>
            <w:pPr>
              <w:ind w:left="140"/>
              <w:spacing w:after="0"/>
              <w:rPr>
                <w:sz w:val="20"/>
                <w:szCs w:val="20"/>
                <w:color w:val="auto"/>
              </w:rPr>
            </w:pPr>
            <w:r>
              <w:rPr>
                <w:rFonts w:ascii="Arial" w:cs="Arial" w:eastAsia="Arial" w:hAnsi="Arial"/>
                <w:sz w:val="17"/>
                <w:szCs w:val="17"/>
                <w:i w:val="1"/>
                <w:iCs w:val="1"/>
                <w:color w:val="auto"/>
              </w:rPr>
              <w:t>Public Company Boards:</w:t>
            </w:r>
          </w:p>
        </w:tc>
        <w:tc>
          <w:tcPr>
            <w:tcW w:w="0" w:type="dxa"/>
            <w:vAlign w:val="bottom"/>
          </w:tcPr>
          <w:p>
            <w:pPr>
              <w:spacing w:after="0"/>
              <w:rPr>
                <w:sz w:val="1"/>
                <w:szCs w:val="1"/>
                <w:color w:val="auto"/>
              </w:rPr>
            </w:pPr>
          </w:p>
        </w:tc>
      </w:tr>
      <w:tr>
        <w:trPr>
          <w:trHeight w:val="192"/>
        </w:trPr>
        <w:tc>
          <w:tcPr>
            <w:tcW w:w="3400" w:type="dxa"/>
            <w:vAlign w:val="bottom"/>
          </w:tcPr>
          <w:p>
            <w:pPr>
              <w:spacing w:after="0" w:line="192" w:lineRule="exact"/>
              <w:rPr>
                <w:sz w:val="20"/>
                <w:szCs w:val="20"/>
                <w:color w:val="auto"/>
              </w:rPr>
            </w:pPr>
            <w:r>
              <w:rPr>
                <w:rFonts w:ascii="Arial" w:cs="Arial" w:eastAsia="Arial" w:hAnsi="Arial"/>
                <w:sz w:val="17"/>
                <w:szCs w:val="17"/>
                <w:color w:val="auto"/>
              </w:rPr>
              <w:t>Professor, Harvard Business School</w:t>
            </w:r>
          </w:p>
        </w:tc>
        <w:tc>
          <w:tcPr>
            <w:tcW w:w="8020" w:type="dxa"/>
            <w:vAlign w:val="bottom"/>
          </w:tcPr>
          <w:p>
            <w:pPr>
              <w:ind w:left="140"/>
              <w:spacing w:after="0" w:line="192" w:lineRule="exact"/>
              <w:rPr>
                <w:sz w:val="20"/>
                <w:szCs w:val="20"/>
                <w:color w:val="auto"/>
              </w:rPr>
            </w:pPr>
            <w:r>
              <w:rPr>
                <w:rFonts w:ascii="Arial" w:cs="Arial" w:eastAsia="Arial" w:hAnsi="Arial"/>
                <w:sz w:val="17"/>
                <w:szCs w:val="17"/>
                <w:color w:val="auto"/>
              </w:rPr>
              <w:t>Dr. Hart is a director of Office Depot Inc. and was formerly a director of Royal Ahold N.V. and Summer</w:t>
            </w:r>
          </w:p>
        </w:tc>
        <w:tc>
          <w:tcPr>
            <w:tcW w:w="0" w:type="dxa"/>
            <w:vAlign w:val="bottom"/>
          </w:tcPr>
          <w:p>
            <w:pPr>
              <w:spacing w:after="0"/>
              <w:rPr>
                <w:sz w:val="1"/>
                <w:szCs w:val="1"/>
                <w:color w:val="auto"/>
              </w:rPr>
            </w:pPr>
          </w:p>
        </w:tc>
      </w:tr>
      <w:tr>
        <w:trPr>
          <w:trHeight w:val="226"/>
        </w:trPr>
        <w:tc>
          <w:tcPr>
            <w:tcW w:w="3400" w:type="dxa"/>
            <w:vAlign w:val="bottom"/>
          </w:tcPr>
          <w:p>
            <w:pPr>
              <w:spacing w:after="0"/>
              <w:rPr>
                <w:sz w:val="20"/>
                <w:szCs w:val="20"/>
                <w:color w:val="auto"/>
              </w:rPr>
            </w:pPr>
            <w:r>
              <w:rPr>
                <w:rFonts w:ascii="Arial" w:cs="Arial" w:eastAsia="Arial" w:hAnsi="Arial"/>
                <w:sz w:val="17"/>
                <w:szCs w:val="17"/>
                <w:color w:val="auto"/>
              </w:rPr>
              <w:t>(Retired)</w:t>
            </w:r>
          </w:p>
        </w:tc>
        <w:tc>
          <w:tcPr>
            <w:tcW w:w="8020" w:type="dxa"/>
            <w:vAlign w:val="bottom"/>
          </w:tcPr>
          <w:p>
            <w:pPr>
              <w:ind w:left="140"/>
              <w:spacing w:after="0"/>
              <w:rPr>
                <w:sz w:val="20"/>
                <w:szCs w:val="20"/>
                <w:color w:val="auto"/>
              </w:rPr>
            </w:pPr>
            <w:r>
              <w:rPr>
                <w:rFonts w:ascii="Arial" w:cs="Arial" w:eastAsia="Arial" w:hAnsi="Arial"/>
                <w:sz w:val="17"/>
                <w:szCs w:val="17"/>
                <w:color w:val="auto"/>
              </w:rPr>
              <w:t>Infant, Inc.</w:t>
            </w: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r>
              <w:rPr>
                <w:rFonts w:ascii="Arial" w:cs="Arial" w:eastAsia="Arial" w:hAnsi="Arial"/>
                <w:sz w:val="17"/>
                <w:szCs w:val="17"/>
                <w:color w:val="auto"/>
              </w:rPr>
              <w:t>Director since December 2007</w:t>
            </w:r>
          </w:p>
        </w:tc>
        <w:tc>
          <w:tcPr>
            <w:tcW w:w="8020" w:type="dxa"/>
            <w:vAlign w:val="bottom"/>
          </w:tcPr>
          <w:p>
            <w:pPr>
              <w:ind w:left="140"/>
              <w:spacing w:after="0"/>
              <w:rPr>
                <w:sz w:val="20"/>
                <w:szCs w:val="20"/>
                <w:color w:val="auto"/>
              </w:rPr>
            </w:pPr>
            <w:r>
              <w:rPr>
                <w:rFonts w:ascii="Arial" w:cs="Arial" w:eastAsia="Arial" w:hAnsi="Arial"/>
                <w:sz w:val="17"/>
                <w:szCs w:val="17"/>
                <w:i w:val="1"/>
                <w:iCs w:val="1"/>
                <w:color w:val="auto"/>
              </w:rPr>
              <w:t>Director Qualifications:</w:t>
            </w:r>
          </w:p>
        </w:tc>
        <w:tc>
          <w:tcPr>
            <w:tcW w:w="0" w:type="dxa"/>
            <w:vAlign w:val="bottom"/>
          </w:tcPr>
          <w:p>
            <w:pPr>
              <w:spacing w:after="0"/>
              <w:rPr>
                <w:sz w:val="1"/>
                <w:szCs w:val="1"/>
                <w:color w:val="auto"/>
              </w:rPr>
            </w:pPr>
          </w:p>
        </w:tc>
      </w:tr>
      <w:tr>
        <w:trPr>
          <w:trHeight w:val="192"/>
        </w:trPr>
        <w:tc>
          <w:tcPr>
            <w:tcW w:w="3400" w:type="dxa"/>
            <w:vAlign w:val="bottom"/>
            <w:vMerge w:val="restart"/>
          </w:tcPr>
          <w:p>
            <w:pPr>
              <w:spacing w:after="0"/>
              <w:rPr>
                <w:sz w:val="20"/>
                <w:szCs w:val="20"/>
                <w:color w:val="auto"/>
              </w:rPr>
            </w:pPr>
            <w:r>
              <w:rPr>
                <w:rFonts w:ascii="Arial" w:cs="Arial" w:eastAsia="Arial" w:hAnsi="Arial"/>
                <w:sz w:val="17"/>
                <w:szCs w:val="17"/>
                <w:color w:val="auto"/>
              </w:rPr>
              <w:t>Committees:</w:t>
            </w:r>
          </w:p>
        </w:tc>
        <w:tc>
          <w:tcPr>
            <w:tcW w:w="8020" w:type="dxa"/>
            <w:vAlign w:val="bottom"/>
          </w:tcPr>
          <w:p>
            <w:pPr>
              <w:ind w:left="460"/>
              <w:spacing w:after="0" w:line="192" w:lineRule="exact"/>
              <w:rPr>
                <w:sz w:val="20"/>
                <w:szCs w:val="20"/>
                <w:color w:val="auto"/>
              </w:rPr>
            </w:pPr>
            <w:r>
              <w:rPr>
                <w:rFonts w:ascii="Arial" w:cs="Arial" w:eastAsia="Arial" w:hAnsi="Arial"/>
                <w:sz w:val="17"/>
                <w:szCs w:val="17"/>
                <w:color w:val="auto"/>
              </w:rPr>
              <w:t>•  Leadership and Operating experience – founding officer of a global office products company</w:t>
            </w:r>
          </w:p>
        </w:tc>
        <w:tc>
          <w:tcPr>
            <w:tcW w:w="0" w:type="dxa"/>
            <w:vAlign w:val="bottom"/>
          </w:tcPr>
          <w:p>
            <w:pPr>
              <w:spacing w:after="0"/>
              <w:rPr>
                <w:sz w:val="1"/>
                <w:szCs w:val="1"/>
                <w:color w:val="auto"/>
              </w:rPr>
            </w:pPr>
          </w:p>
        </w:tc>
      </w:tr>
      <w:tr>
        <w:trPr>
          <w:trHeight w:val="102"/>
        </w:trPr>
        <w:tc>
          <w:tcPr>
            <w:tcW w:w="3400" w:type="dxa"/>
            <w:vAlign w:val="bottom"/>
            <w:vMerge w:val="continue"/>
          </w:tcPr>
          <w:p>
            <w:pPr>
              <w:spacing w:after="0"/>
              <w:rPr>
                <w:sz w:val="8"/>
                <w:szCs w:val="8"/>
                <w:color w:val="auto"/>
              </w:rPr>
            </w:pPr>
          </w:p>
        </w:tc>
        <w:tc>
          <w:tcPr>
            <w:tcW w:w="8020" w:type="dxa"/>
            <w:vAlign w:val="bottom"/>
            <w:vMerge w:val="restart"/>
          </w:tcPr>
          <w:p>
            <w:pPr>
              <w:ind w:left="460"/>
              <w:spacing w:after="0" w:line="192" w:lineRule="exact"/>
              <w:rPr>
                <w:sz w:val="20"/>
                <w:szCs w:val="20"/>
                <w:color w:val="auto"/>
              </w:rPr>
            </w:pPr>
            <w:r>
              <w:rPr>
                <w:rFonts w:ascii="Arial" w:cs="Arial" w:eastAsia="Arial" w:hAnsi="Arial"/>
                <w:sz w:val="17"/>
                <w:szCs w:val="17"/>
                <w:color w:val="auto"/>
              </w:rPr>
              <w:t>•  Industry Knowledge and Marketing experience – former Director of Marketing of a division of a</w:t>
            </w:r>
          </w:p>
        </w:tc>
        <w:tc>
          <w:tcPr>
            <w:tcW w:w="0" w:type="dxa"/>
            <w:vAlign w:val="bottom"/>
          </w:tcPr>
          <w:p>
            <w:pPr>
              <w:spacing w:after="0"/>
              <w:rPr>
                <w:sz w:val="1"/>
                <w:szCs w:val="1"/>
                <w:color w:val="auto"/>
              </w:rPr>
            </w:pPr>
          </w:p>
        </w:tc>
      </w:tr>
      <w:tr>
        <w:trPr>
          <w:trHeight w:val="90"/>
        </w:trPr>
        <w:tc>
          <w:tcPr>
            <w:tcW w:w="3400" w:type="dxa"/>
            <w:vAlign w:val="bottom"/>
            <w:vMerge w:val="restart"/>
          </w:tcPr>
          <w:p>
            <w:pPr>
              <w:ind w:left="300"/>
              <w:spacing w:after="0" w:line="192" w:lineRule="exact"/>
              <w:rPr>
                <w:sz w:val="20"/>
                <w:szCs w:val="20"/>
                <w:color w:val="auto"/>
              </w:rPr>
            </w:pPr>
            <w:r>
              <w:rPr>
                <w:rFonts w:ascii="Arial" w:cs="Arial" w:eastAsia="Arial" w:hAnsi="Arial"/>
                <w:sz w:val="17"/>
                <w:szCs w:val="17"/>
                <w:color w:val="auto"/>
              </w:rPr>
              <w:t>•  Chair, Governance, Membership and</w:t>
            </w:r>
          </w:p>
        </w:tc>
        <w:tc>
          <w:tcPr>
            <w:tcW w:w="8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400" w:type="dxa"/>
            <w:vAlign w:val="bottom"/>
            <w:vMerge w:val="continue"/>
          </w:tcPr>
          <w:p>
            <w:pPr>
              <w:spacing w:after="0"/>
              <w:rPr>
                <w:sz w:val="8"/>
                <w:szCs w:val="8"/>
                <w:color w:val="auto"/>
              </w:rPr>
            </w:pPr>
          </w:p>
        </w:tc>
        <w:tc>
          <w:tcPr>
            <w:tcW w:w="8020" w:type="dxa"/>
            <w:vAlign w:val="bottom"/>
            <w:vMerge w:val="restart"/>
          </w:tcPr>
          <w:p>
            <w:pPr>
              <w:ind w:left="760"/>
              <w:spacing w:after="0" w:line="192" w:lineRule="exact"/>
              <w:rPr>
                <w:sz w:val="20"/>
                <w:szCs w:val="20"/>
                <w:color w:val="auto"/>
              </w:rPr>
            </w:pPr>
            <w:r>
              <w:rPr>
                <w:rFonts w:ascii="Arial" w:cs="Arial" w:eastAsia="Arial" w:hAnsi="Arial"/>
                <w:sz w:val="17"/>
                <w:szCs w:val="17"/>
                <w:color w:val="auto"/>
              </w:rPr>
              <w:t>large U.S. grocery company and former Director of a global supermarket company</w:t>
            </w:r>
          </w:p>
        </w:tc>
        <w:tc>
          <w:tcPr>
            <w:tcW w:w="0" w:type="dxa"/>
            <w:vAlign w:val="bottom"/>
          </w:tcPr>
          <w:p>
            <w:pPr>
              <w:spacing w:after="0"/>
              <w:rPr>
                <w:sz w:val="1"/>
                <w:szCs w:val="1"/>
                <w:color w:val="auto"/>
              </w:rPr>
            </w:pPr>
          </w:p>
        </w:tc>
      </w:tr>
      <w:tr>
        <w:trPr>
          <w:trHeight w:val="90"/>
        </w:trPr>
        <w:tc>
          <w:tcPr>
            <w:tcW w:w="3400" w:type="dxa"/>
            <w:vAlign w:val="bottom"/>
            <w:vMerge w:val="restart"/>
          </w:tcPr>
          <w:p>
            <w:pPr>
              <w:ind w:left="620"/>
              <w:spacing w:after="0" w:line="192" w:lineRule="exact"/>
              <w:rPr>
                <w:sz w:val="20"/>
                <w:szCs w:val="20"/>
                <w:color w:val="auto"/>
              </w:rPr>
            </w:pPr>
            <w:r>
              <w:rPr>
                <w:rFonts w:ascii="Arial" w:cs="Arial" w:eastAsia="Arial" w:hAnsi="Arial"/>
                <w:sz w:val="17"/>
                <w:szCs w:val="17"/>
                <w:color w:val="auto"/>
              </w:rPr>
              <w:t>Public Affairs</w:t>
            </w:r>
          </w:p>
        </w:tc>
        <w:tc>
          <w:tcPr>
            <w:tcW w:w="8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400" w:type="dxa"/>
            <w:vAlign w:val="bottom"/>
            <w:vMerge w:val="continue"/>
          </w:tcPr>
          <w:p>
            <w:pPr>
              <w:spacing w:after="0"/>
              <w:rPr>
                <w:sz w:val="8"/>
                <w:szCs w:val="8"/>
                <w:color w:val="auto"/>
              </w:rPr>
            </w:pPr>
          </w:p>
        </w:tc>
        <w:tc>
          <w:tcPr>
            <w:tcW w:w="8020" w:type="dxa"/>
            <w:vAlign w:val="bottom"/>
            <w:vMerge w:val="restart"/>
          </w:tcPr>
          <w:p>
            <w:pPr>
              <w:ind w:left="460"/>
              <w:spacing w:after="0" w:line="192" w:lineRule="exact"/>
              <w:rPr>
                <w:sz w:val="20"/>
                <w:szCs w:val="20"/>
                <w:color w:val="auto"/>
              </w:rPr>
            </w:pPr>
            <w:r>
              <w:rPr>
                <w:rFonts w:ascii="Arial" w:cs="Arial" w:eastAsia="Arial" w:hAnsi="Arial"/>
                <w:sz w:val="17"/>
                <w:szCs w:val="17"/>
                <w:color w:val="auto"/>
              </w:rPr>
              <w:t>•  Public Company Board and Corporate Governance experience – current and former director of</w:t>
            </w:r>
          </w:p>
        </w:tc>
        <w:tc>
          <w:tcPr>
            <w:tcW w:w="0" w:type="dxa"/>
            <w:vAlign w:val="bottom"/>
          </w:tcPr>
          <w:p>
            <w:pPr>
              <w:spacing w:after="0"/>
              <w:rPr>
                <w:sz w:val="1"/>
                <w:szCs w:val="1"/>
                <w:color w:val="auto"/>
              </w:rPr>
            </w:pPr>
          </w:p>
        </w:tc>
      </w:tr>
      <w:tr>
        <w:trPr>
          <w:trHeight w:val="90"/>
        </w:trPr>
        <w:tc>
          <w:tcPr>
            <w:tcW w:w="3400" w:type="dxa"/>
            <w:vAlign w:val="bottom"/>
            <w:vMerge w:val="restart"/>
          </w:tcPr>
          <w:p>
            <w:pPr>
              <w:ind w:left="300"/>
              <w:spacing w:after="0"/>
              <w:rPr>
                <w:sz w:val="20"/>
                <w:szCs w:val="20"/>
                <w:color w:val="auto"/>
              </w:rPr>
            </w:pPr>
            <w:r>
              <w:rPr>
                <w:rFonts w:ascii="Arial" w:cs="Arial" w:eastAsia="Arial" w:hAnsi="Arial"/>
                <w:sz w:val="17"/>
                <w:szCs w:val="17"/>
                <w:color w:val="auto"/>
              </w:rPr>
              <w:t>•  Audit</w:t>
            </w:r>
          </w:p>
        </w:tc>
        <w:tc>
          <w:tcPr>
            <w:tcW w:w="8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3400" w:type="dxa"/>
            <w:vAlign w:val="bottom"/>
            <w:vMerge w:val="continue"/>
          </w:tcPr>
          <w:p>
            <w:pPr>
              <w:spacing w:after="0"/>
              <w:rPr>
                <w:sz w:val="9"/>
                <w:szCs w:val="9"/>
                <w:color w:val="auto"/>
              </w:rPr>
            </w:pPr>
          </w:p>
        </w:tc>
        <w:tc>
          <w:tcPr>
            <w:tcW w:w="8020" w:type="dxa"/>
            <w:vAlign w:val="bottom"/>
            <w:vMerge w:val="restart"/>
          </w:tcPr>
          <w:p>
            <w:pPr>
              <w:ind w:left="760"/>
              <w:spacing w:after="0" w:line="192" w:lineRule="exact"/>
              <w:rPr>
                <w:sz w:val="20"/>
                <w:szCs w:val="20"/>
                <w:color w:val="auto"/>
              </w:rPr>
            </w:pPr>
            <w:r>
              <w:rPr>
                <w:rFonts w:ascii="Arial" w:cs="Arial" w:eastAsia="Arial" w:hAnsi="Arial"/>
                <w:sz w:val="17"/>
                <w:szCs w:val="17"/>
                <w:color w:val="auto"/>
              </w:rPr>
              <w:t>several public companies</w:t>
            </w:r>
          </w:p>
        </w:tc>
        <w:tc>
          <w:tcPr>
            <w:tcW w:w="0" w:type="dxa"/>
            <w:vAlign w:val="bottom"/>
          </w:tcPr>
          <w:p>
            <w:pPr>
              <w:spacing w:after="0"/>
              <w:rPr>
                <w:sz w:val="1"/>
                <w:szCs w:val="1"/>
                <w:color w:val="auto"/>
              </w:rPr>
            </w:pPr>
          </w:p>
        </w:tc>
      </w:tr>
      <w:tr>
        <w:trPr>
          <w:trHeight w:val="81"/>
        </w:trPr>
        <w:tc>
          <w:tcPr>
            <w:tcW w:w="3400" w:type="dxa"/>
            <w:vAlign w:val="bottom"/>
            <w:vMerge w:val="restart"/>
          </w:tcPr>
          <w:p>
            <w:pPr>
              <w:spacing w:after="0"/>
              <w:rPr>
                <w:sz w:val="20"/>
                <w:szCs w:val="20"/>
                <w:color w:val="auto"/>
              </w:rPr>
            </w:pPr>
            <w:r>
              <w:rPr>
                <w:rFonts w:ascii="Arial" w:cs="Arial" w:eastAsia="Arial" w:hAnsi="Arial"/>
                <w:sz w:val="17"/>
                <w:szCs w:val="17"/>
                <w:color w:val="auto"/>
              </w:rPr>
              <w:t>Age: 71</w:t>
            </w:r>
          </w:p>
        </w:tc>
        <w:tc>
          <w:tcPr>
            <w:tcW w:w="8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3400" w:type="dxa"/>
            <w:vAlign w:val="bottom"/>
            <w:tcBorders>
              <w:bottom w:val="single" w:sz="8" w:color="auto"/>
            </w:tcBorders>
            <w:vMerge w:val="continue"/>
          </w:tcPr>
          <w:p>
            <w:pPr>
              <w:spacing w:after="0"/>
              <w:rPr>
                <w:sz w:val="17"/>
                <w:szCs w:val="17"/>
                <w:color w:val="auto"/>
              </w:rPr>
            </w:pPr>
          </w:p>
        </w:tc>
        <w:tc>
          <w:tcPr>
            <w:tcW w:w="8020" w:type="dxa"/>
            <w:vAlign w:val="bottom"/>
            <w:tcBorders>
              <w:bottom w:val="single" w:sz="8" w:color="auto"/>
            </w:tcBorders>
          </w:tcPr>
          <w:p>
            <w:pPr>
              <w:ind w:left="460"/>
              <w:spacing w:after="0"/>
              <w:rPr>
                <w:sz w:val="20"/>
                <w:szCs w:val="20"/>
                <w:color w:val="auto"/>
              </w:rPr>
            </w:pPr>
            <w:r>
              <w:rPr>
                <w:rFonts w:ascii="Arial" w:cs="Arial" w:eastAsia="Arial" w:hAnsi="Arial"/>
                <w:sz w:val="17"/>
                <w:szCs w:val="17"/>
                <w:color w:val="auto"/>
              </w:rPr>
              <w:t>•  Academic experience – retired professor of management practice at a leading business school</w:t>
            </w:r>
          </w:p>
        </w:tc>
        <w:tc>
          <w:tcPr>
            <w:tcW w:w="0" w:type="dxa"/>
            <w:vAlign w:val="bottom"/>
          </w:tcPr>
          <w:p>
            <w:pPr>
              <w:spacing w:after="0"/>
              <w:rPr>
                <w:sz w:val="1"/>
                <w:szCs w:val="1"/>
                <w:color w:val="auto"/>
              </w:rPr>
            </w:pPr>
          </w:p>
        </w:tc>
      </w:tr>
      <w:tr>
        <w:trPr>
          <w:trHeight w:val="338"/>
        </w:trPr>
        <w:tc>
          <w:tcPr>
            <w:tcW w:w="3400" w:type="dxa"/>
            <w:vAlign w:val="bottom"/>
          </w:tcPr>
          <w:p>
            <w:pPr>
              <w:spacing w:after="0"/>
              <w:rPr>
                <w:sz w:val="24"/>
                <w:szCs w:val="24"/>
                <w:color w:val="auto"/>
              </w:rPr>
            </w:pPr>
          </w:p>
        </w:tc>
        <w:tc>
          <w:tcPr>
            <w:tcW w:w="8020" w:type="dxa"/>
            <w:vAlign w:val="bottom"/>
          </w:tcPr>
          <w:p>
            <w:pPr>
              <w:ind w:left="226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43" w:right="23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208915</wp:posOffset>
            </wp:positionV>
            <wp:extent cx="72536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Peter B. Henry</w:t>
      </w:r>
    </w:p>
    <w:p>
      <w:pPr>
        <w:spacing w:after="0" w:line="73"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Dean, Leonard N. Stern School of Business, New York University</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May 2011</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Committees:</w:t>
      </w:r>
    </w:p>
    <w:p>
      <w:pPr>
        <w:spacing w:after="0" w:line="73" w:lineRule="exact"/>
        <w:rPr>
          <w:sz w:val="20"/>
          <w:szCs w:val="20"/>
          <w:color w:val="auto"/>
        </w:rPr>
      </w:pPr>
    </w:p>
    <w:p>
      <w:pPr>
        <w:ind w:left="620" w:hanging="208"/>
        <w:spacing w:after="0" w:line="241"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Governance, Membership and Public Affairs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Age: 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Professional Experience:</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Dr. Henry has been Dean of the Leonard N. Stern School of Business at New York University since January 2010. Prior to that, Dr. Henry was on the faculty at Stanford University since 1997, where he held various positions, including Konosuke Matsushita Professor of International Economics, John and Cynthia Fry Gunn Faculty Scholar and Associate Director of the Stanford Center for Global Business and the Economy from 2008 to 2009, Professor of Economics from 2007 to 2008 and Tenured Associate Professor of Economics from 2005 to 2007.</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Education:</w:t>
      </w:r>
    </w:p>
    <w:p>
      <w:pPr>
        <w:spacing w:after="0" w:line="1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Dr. Henry received a Bachelor’s Degree in Economics from the University of North Carolina at Chapel Hill; a Bachelor’s Degree in Mathematics from Oxford University; and a Doctor of Philosophy in Economics from Massachusetts Institute of Technology.</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 Qualifications:</w:t>
      </w:r>
    </w:p>
    <w:p>
      <w:pPr>
        <w:spacing w:after="0" w:line="14" w:lineRule="exact"/>
        <w:rPr>
          <w:sz w:val="20"/>
          <w:szCs w:val="20"/>
          <w:color w:val="auto"/>
        </w:rPr>
      </w:pPr>
    </w:p>
    <w:p>
      <w:pPr>
        <w:ind w:left="620" w:right="140" w:hanging="205"/>
        <w:spacing w:after="0" w:line="235"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Leadership and Global Business experience and Financial expertise – Dean of a leading business school and associate director of a global business center; served in governmental advisory roles, including leadership of President Obama’s Transition Team’s review of international lending agencies and an economic advisor to governments in developing markets</w:t>
      </w:r>
    </w:p>
    <w:p>
      <w:pPr>
        <w:spacing w:after="0" w:line="1" w:lineRule="exact"/>
        <w:rPr>
          <w:rFonts w:ascii="Arial" w:cs="Arial" w:eastAsia="Arial" w:hAnsi="Arial"/>
          <w:sz w:val="17"/>
          <w:szCs w:val="17"/>
          <w:color w:val="auto"/>
        </w:rPr>
      </w:pPr>
    </w:p>
    <w:p>
      <w:pPr>
        <w:ind w:left="620" w:right="560" w:hanging="205"/>
        <w:spacing w:after="0" w:line="241" w:lineRule="auto"/>
        <w:tabs>
          <w:tab w:leader="none" w:pos="511"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Academic and Research experience – Dean and professor of economics at leading business schools and member of economic research and foreign relations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90170</wp:posOffset>
            </wp:positionV>
            <wp:extent cx="72536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35" w:lineRule="exact"/>
        <w:rPr>
          <w:sz w:val="20"/>
          <w:szCs w:val="20"/>
          <w:color w:val="auto"/>
        </w:rPr>
      </w:pPr>
    </w:p>
    <w:p>
      <w:pPr>
        <w:sectPr>
          <w:pgSz w:w="11900" w:h="16838" w:orient="portrait"/>
          <w:cols w:equalWidth="0" w:num="2">
            <w:col w:w="3260" w:space="280"/>
            <w:col w:w="7880"/>
          </w:cols>
          <w:pgMar w:left="240" w:top="443" w:right="239" w:bottom="1440" w:gutter="0" w:footer="0" w:header="0"/>
          <w:type w:val="continuous"/>
        </w:sectPr>
      </w:pP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8000" w:type="dxa"/>
            <w:vAlign w:val="bottom"/>
          </w:tcPr>
          <w:p>
            <w:pPr>
              <w:ind w:left="120"/>
              <w:spacing w:after="0"/>
              <w:rPr>
                <w:sz w:val="20"/>
                <w:szCs w:val="20"/>
                <w:color w:val="auto"/>
              </w:rPr>
            </w:pPr>
            <w:r>
              <w:rPr>
                <w:rFonts w:ascii="Arial" w:cs="Arial" w:eastAsia="Arial" w:hAnsi="Arial"/>
                <w:sz w:val="17"/>
                <w:szCs w:val="17"/>
                <w:i w:val="1"/>
                <w:iCs w:val="1"/>
                <w:color w:val="auto"/>
              </w:rPr>
              <w:t>Professional Experience:</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8000" w:type="dxa"/>
            <w:vAlign w:val="bottom"/>
          </w:tcPr>
          <w:p>
            <w:pPr>
              <w:ind w:left="120"/>
              <w:spacing w:after="0" w:line="192" w:lineRule="exact"/>
              <w:rPr>
                <w:sz w:val="20"/>
                <w:szCs w:val="20"/>
                <w:color w:val="auto"/>
              </w:rPr>
            </w:pPr>
            <w:r>
              <w:rPr>
                <w:rFonts w:ascii="Arial" w:cs="Arial" w:eastAsia="Arial" w:hAnsi="Arial"/>
                <w:sz w:val="17"/>
                <w:szCs w:val="17"/>
                <w:color w:val="auto"/>
              </w:rPr>
              <w:t>Ms. Juliber served as a Vice Chairman of the Colgate-Palmolive Company, a global consumer products</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8000" w:type="dxa"/>
            <w:vAlign w:val="bottom"/>
          </w:tcPr>
          <w:p>
            <w:pPr>
              <w:ind w:left="120"/>
              <w:spacing w:after="0" w:line="192" w:lineRule="exact"/>
              <w:rPr>
                <w:sz w:val="20"/>
                <w:szCs w:val="20"/>
                <w:color w:val="auto"/>
              </w:rPr>
            </w:pPr>
            <w:r>
              <w:rPr>
                <w:rFonts w:ascii="Arial" w:cs="Arial" w:eastAsia="Arial" w:hAnsi="Arial"/>
                <w:sz w:val="17"/>
                <w:szCs w:val="17"/>
                <w:color w:val="auto"/>
                <w:w w:val="98"/>
              </w:rPr>
              <w:t>company, from July 2004 until April 2005. She served as Colgate-Palmolive’s Chief Operating Officer from</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8000" w:type="dxa"/>
            <w:vAlign w:val="bottom"/>
          </w:tcPr>
          <w:p>
            <w:pPr>
              <w:ind w:left="120"/>
              <w:spacing w:after="0" w:line="192" w:lineRule="exact"/>
              <w:rPr>
                <w:sz w:val="20"/>
                <w:szCs w:val="20"/>
                <w:color w:val="auto"/>
              </w:rPr>
            </w:pPr>
            <w:r>
              <w:rPr>
                <w:rFonts w:ascii="Arial" w:cs="Arial" w:eastAsia="Arial" w:hAnsi="Arial"/>
                <w:sz w:val="17"/>
                <w:szCs w:val="17"/>
                <w:color w:val="auto"/>
              </w:rPr>
              <w:t>March 2000 to July 2004, Executive Vice President – North America and Europe from 1997 until March</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8000" w:type="dxa"/>
            <w:vAlign w:val="bottom"/>
          </w:tcPr>
          <w:p>
            <w:pPr>
              <w:ind w:left="120"/>
              <w:spacing w:after="0" w:line="192" w:lineRule="exact"/>
              <w:rPr>
                <w:sz w:val="20"/>
                <w:szCs w:val="20"/>
                <w:color w:val="auto"/>
              </w:rPr>
            </w:pPr>
            <w:r>
              <w:rPr>
                <w:rFonts w:ascii="Arial" w:cs="Arial" w:eastAsia="Arial" w:hAnsi="Arial"/>
                <w:sz w:val="17"/>
                <w:szCs w:val="17"/>
                <w:color w:val="auto"/>
              </w:rPr>
              <w:t>2000 and President of Colgate North America from 1994 to 1997. Prior to joining Colgate-Palmolive,</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8000" w:type="dxa"/>
            <w:vAlign w:val="bottom"/>
          </w:tcPr>
          <w:p>
            <w:pPr>
              <w:ind w:left="120"/>
              <w:spacing w:after="0" w:line="192" w:lineRule="exact"/>
              <w:rPr>
                <w:sz w:val="20"/>
                <w:szCs w:val="20"/>
                <w:color w:val="auto"/>
              </w:rPr>
            </w:pPr>
            <w:r>
              <w:rPr>
                <w:rFonts w:ascii="Arial" w:cs="Arial" w:eastAsia="Arial" w:hAnsi="Arial"/>
                <w:sz w:val="17"/>
                <w:szCs w:val="17"/>
                <w:color w:val="auto"/>
              </w:rPr>
              <w:t>Ms. Juliber spent 15 years at Kraft Foods’ predecessor, General Foods Corporation, in a variety of key</w:t>
            </w:r>
          </w:p>
        </w:tc>
        <w:tc>
          <w:tcPr>
            <w:tcW w:w="0" w:type="dxa"/>
            <w:vAlign w:val="bottom"/>
          </w:tcPr>
          <w:p>
            <w:pPr>
              <w:spacing w:after="0"/>
              <w:rPr>
                <w:sz w:val="1"/>
                <w:szCs w:val="1"/>
                <w:color w:val="auto"/>
              </w:rPr>
            </w:pPr>
          </w:p>
        </w:tc>
      </w:tr>
      <w:tr>
        <w:trPr>
          <w:trHeight w:val="200"/>
        </w:trPr>
        <w:tc>
          <w:tcPr>
            <w:tcW w:w="3420" w:type="dxa"/>
            <w:vAlign w:val="bottom"/>
          </w:tcPr>
          <w:p>
            <w:pPr>
              <w:spacing w:after="0"/>
              <w:rPr>
                <w:sz w:val="17"/>
                <w:szCs w:val="17"/>
                <w:color w:val="auto"/>
              </w:rPr>
            </w:pPr>
          </w:p>
        </w:tc>
        <w:tc>
          <w:tcPr>
            <w:tcW w:w="8000" w:type="dxa"/>
            <w:vAlign w:val="bottom"/>
          </w:tcPr>
          <w:p>
            <w:pPr>
              <w:ind w:left="120"/>
              <w:spacing w:after="0"/>
              <w:rPr>
                <w:sz w:val="20"/>
                <w:szCs w:val="20"/>
                <w:color w:val="auto"/>
              </w:rPr>
            </w:pPr>
            <w:r>
              <w:rPr>
                <w:rFonts w:ascii="Arial" w:cs="Arial" w:eastAsia="Arial" w:hAnsi="Arial"/>
                <w:sz w:val="17"/>
                <w:szCs w:val="17"/>
                <w:color w:val="auto"/>
              </w:rPr>
              <w:t>marketing and general management positions.</w:t>
            </w:r>
          </w:p>
        </w:tc>
        <w:tc>
          <w:tcPr>
            <w:tcW w:w="0" w:type="dxa"/>
            <w:vAlign w:val="bottom"/>
          </w:tcPr>
          <w:p>
            <w:pPr>
              <w:spacing w:after="0"/>
              <w:rPr>
                <w:sz w:val="1"/>
                <w:szCs w:val="1"/>
                <w:color w:val="auto"/>
              </w:rPr>
            </w:pPr>
          </w:p>
        </w:tc>
      </w:tr>
      <w:tr>
        <w:trPr>
          <w:trHeight w:val="260"/>
        </w:trPr>
        <w:tc>
          <w:tcPr>
            <w:tcW w:w="3420" w:type="dxa"/>
            <w:vAlign w:val="bottom"/>
          </w:tcPr>
          <w:p>
            <w:pPr>
              <w:spacing w:after="0"/>
              <w:rPr>
                <w:sz w:val="22"/>
                <w:szCs w:val="22"/>
                <w:color w:val="auto"/>
              </w:rPr>
            </w:pPr>
          </w:p>
        </w:tc>
        <w:tc>
          <w:tcPr>
            <w:tcW w:w="8000" w:type="dxa"/>
            <w:vAlign w:val="bottom"/>
          </w:tcPr>
          <w:p>
            <w:pPr>
              <w:ind w:left="120"/>
              <w:spacing w:after="0"/>
              <w:rPr>
                <w:sz w:val="20"/>
                <w:szCs w:val="20"/>
                <w:color w:val="auto"/>
              </w:rPr>
            </w:pPr>
            <w:r>
              <w:rPr>
                <w:rFonts w:ascii="Arial" w:cs="Arial" w:eastAsia="Arial" w:hAnsi="Arial"/>
                <w:sz w:val="17"/>
                <w:szCs w:val="17"/>
                <w:i w:val="1"/>
                <w:iCs w:val="1"/>
                <w:color w:val="auto"/>
              </w:rPr>
              <w:t>Education:</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8000" w:type="dxa"/>
            <w:vAlign w:val="bottom"/>
          </w:tcPr>
          <w:p>
            <w:pPr>
              <w:ind w:left="120"/>
              <w:spacing w:after="0" w:line="192" w:lineRule="exact"/>
              <w:rPr>
                <w:sz w:val="20"/>
                <w:szCs w:val="20"/>
                <w:color w:val="auto"/>
              </w:rPr>
            </w:pPr>
            <w:r>
              <w:rPr>
                <w:rFonts w:ascii="Arial" w:cs="Arial" w:eastAsia="Arial" w:hAnsi="Arial"/>
                <w:sz w:val="17"/>
                <w:szCs w:val="17"/>
                <w:color w:val="auto"/>
                <w:w w:val="98"/>
              </w:rPr>
              <w:t>Ms. Juliber received a Bachelor’s Degree from Wellesley College and a Master of Business Administration</w:t>
            </w:r>
          </w:p>
        </w:tc>
        <w:tc>
          <w:tcPr>
            <w:tcW w:w="0" w:type="dxa"/>
            <w:vAlign w:val="bottom"/>
          </w:tcPr>
          <w:p>
            <w:pPr>
              <w:spacing w:after="0"/>
              <w:rPr>
                <w:sz w:val="1"/>
                <w:szCs w:val="1"/>
                <w:color w:val="auto"/>
              </w:rPr>
            </w:pPr>
          </w:p>
        </w:tc>
      </w:tr>
      <w:tr>
        <w:trPr>
          <w:trHeight w:val="226"/>
        </w:trPr>
        <w:tc>
          <w:tcPr>
            <w:tcW w:w="3420" w:type="dxa"/>
            <w:vAlign w:val="bottom"/>
          </w:tcPr>
          <w:p>
            <w:pPr>
              <w:spacing w:after="0"/>
              <w:rPr>
                <w:sz w:val="20"/>
                <w:szCs w:val="20"/>
                <w:color w:val="auto"/>
              </w:rPr>
            </w:pPr>
            <w:r>
              <w:rPr>
                <w:rFonts w:ascii="Arial" w:cs="Arial" w:eastAsia="Arial" w:hAnsi="Arial"/>
                <w:sz w:val="17"/>
                <w:szCs w:val="17"/>
                <w:color w:val="auto"/>
              </w:rPr>
              <w:t>Lois D. Juliber</w:t>
            </w:r>
          </w:p>
        </w:tc>
        <w:tc>
          <w:tcPr>
            <w:tcW w:w="8000" w:type="dxa"/>
            <w:vAlign w:val="bottom"/>
          </w:tcPr>
          <w:p>
            <w:pPr>
              <w:ind w:left="120"/>
              <w:spacing w:after="0"/>
              <w:rPr>
                <w:sz w:val="20"/>
                <w:szCs w:val="20"/>
                <w:color w:val="auto"/>
              </w:rPr>
            </w:pPr>
            <w:r>
              <w:rPr>
                <w:rFonts w:ascii="Arial" w:cs="Arial" w:eastAsia="Arial" w:hAnsi="Arial"/>
                <w:sz w:val="17"/>
                <w:szCs w:val="17"/>
                <w:color w:val="auto"/>
              </w:rPr>
              <w:t>from Harvard University.</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r>
              <w:rPr>
                <w:rFonts w:ascii="Arial" w:cs="Arial" w:eastAsia="Arial" w:hAnsi="Arial"/>
                <w:sz w:val="17"/>
                <w:szCs w:val="17"/>
                <w:color w:val="auto"/>
              </w:rPr>
              <w:t>Former Vice Chairman and</w:t>
            </w:r>
          </w:p>
        </w:tc>
        <w:tc>
          <w:tcPr>
            <w:tcW w:w="8000" w:type="dxa"/>
            <w:vAlign w:val="bottom"/>
          </w:tcPr>
          <w:p>
            <w:pPr>
              <w:ind w:left="120"/>
              <w:spacing w:after="0"/>
              <w:rPr>
                <w:sz w:val="20"/>
                <w:szCs w:val="20"/>
                <w:color w:val="auto"/>
              </w:rPr>
            </w:pPr>
            <w:r>
              <w:rPr>
                <w:rFonts w:ascii="Arial" w:cs="Arial" w:eastAsia="Arial" w:hAnsi="Arial"/>
                <w:sz w:val="17"/>
                <w:szCs w:val="17"/>
                <w:i w:val="1"/>
                <w:iCs w:val="1"/>
                <w:color w:val="auto"/>
              </w:rPr>
              <w:t>Public Company Boards:</w:t>
            </w:r>
          </w:p>
        </w:tc>
        <w:tc>
          <w:tcPr>
            <w:tcW w:w="0" w:type="dxa"/>
            <w:vAlign w:val="bottom"/>
          </w:tcPr>
          <w:p>
            <w:pPr>
              <w:spacing w:after="0"/>
              <w:rPr>
                <w:sz w:val="1"/>
                <w:szCs w:val="1"/>
                <w:color w:val="auto"/>
              </w:rPr>
            </w:pPr>
          </w:p>
        </w:tc>
      </w:tr>
      <w:tr>
        <w:trPr>
          <w:trHeight w:val="217"/>
        </w:trPr>
        <w:tc>
          <w:tcPr>
            <w:tcW w:w="3420" w:type="dxa"/>
            <w:vAlign w:val="bottom"/>
          </w:tcPr>
          <w:p>
            <w:pPr>
              <w:spacing w:after="0"/>
              <w:rPr>
                <w:sz w:val="20"/>
                <w:szCs w:val="20"/>
                <w:color w:val="auto"/>
              </w:rPr>
            </w:pPr>
            <w:r>
              <w:rPr>
                <w:rFonts w:ascii="Arial" w:cs="Arial" w:eastAsia="Arial" w:hAnsi="Arial"/>
                <w:sz w:val="17"/>
                <w:szCs w:val="17"/>
                <w:color w:val="auto"/>
              </w:rPr>
              <w:t>Chief Operating Officer,</w:t>
            </w:r>
          </w:p>
        </w:tc>
        <w:tc>
          <w:tcPr>
            <w:tcW w:w="8000" w:type="dxa"/>
            <w:vAlign w:val="bottom"/>
          </w:tcPr>
          <w:p>
            <w:pPr>
              <w:ind w:left="120"/>
              <w:spacing w:after="0"/>
              <w:rPr>
                <w:sz w:val="20"/>
                <w:szCs w:val="20"/>
                <w:color w:val="auto"/>
              </w:rPr>
            </w:pPr>
            <w:r>
              <w:rPr>
                <w:rFonts w:ascii="Arial" w:cs="Arial" w:eastAsia="Arial" w:hAnsi="Arial"/>
                <w:sz w:val="17"/>
                <w:szCs w:val="17"/>
                <w:color w:val="auto"/>
              </w:rPr>
              <w:t>Ms. Juliber is a director of E.I. du Pont De Nemours and Company and Goldman Sachs Group, Inc.</w:t>
            </w: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7"/>
                <w:szCs w:val="17"/>
                <w:color w:val="auto"/>
              </w:rPr>
              <w:t>Colgate-Palmolive Company</w:t>
            </w:r>
          </w:p>
        </w:tc>
        <w:tc>
          <w:tcPr>
            <w:tcW w:w="8000" w:type="dxa"/>
            <w:vAlign w:val="bottom"/>
          </w:tcPr>
          <w:p>
            <w:pPr>
              <w:ind w:left="120"/>
              <w:spacing w:after="0"/>
              <w:rPr>
                <w:sz w:val="20"/>
                <w:szCs w:val="20"/>
                <w:color w:val="auto"/>
              </w:rPr>
            </w:pPr>
            <w:r>
              <w:rPr>
                <w:rFonts w:ascii="Arial" w:cs="Arial" w:eastAsia="Arial" w:hAnsi="Arial"/>
                <w:sz w:val="17"/>
                <w:szCs w:val="17"/>
                <w:i w:val="1"/>
                <w:iCs w:val="1"/>
                <w:color w:val="auto"/>
              </w:rPr>
              <w:t>Director Qualifications:</w:t>
            </w:r>
          </w:p>
        </w:tc>
        <w:tc>
          <w:tcPr>
            <w:tcW w:w="0" w:type="dxa"/>
            <w:vAlign w:val="bottom"/>
          </w:tcPr>
          <w:p>
            <w:pPr>
              <w:spacing w:after="0"/>
              <w:rPr>
                <w:sz w:val="1"/>
                <w:szCs w:val="1"/>
                <w:color w:val="auto"/>
              </w:rPr>
            </w:pPr>
          </w:p>
        </w:tc>
      </w:tr>
      <w:tr>
        <w:trPr>
          <w:trHeight w:val="192"/>
        </w:trPr>
        <w:tc>
          <w:tcPr>
            <w:tcW w:w="3420" w:type="dxa"/>
            <w:vAlign w:val="bottom"/>
          </w:tcPr>
          <w:p>
            <w:pPr>
              <w:spacing w:after="0" w:line="192" w:lineRule="exact"/>
              <w:rPr>
                <w:sz w:val="20"/>
                <w:szCs w:val="20"/>
                <w:color w:val="auto"/>
              </w:rPr>
            </w:pPr>
            <w:r>
              <w:rPr>
                <w:rFonts w:ascii="Arial" w:cs="Arial" w:eastAsia="Arial" w:hAnsi="Arial"/>
                <w:sz w:val="17"/>
                <w:szCs w:val="17"/>
                <w:color w:val="auto"/>
              </w:rPr>
              <w:t>Director since November 2007</w:t>
            </w:r>
          </w:p>
        </w:tc>
        <w:tc>
          <w:tcPr>
            <w:tcW w:w="8000" w:type="dxa"/>
            <w:vAlign w:val="bottom"/>
          </w:tcPr>
          <w:p>
            <w:pPr>
              <w:ind w:left="440"/>
              <w:spacing w:after="0" w:line="192" w:lineRule="exact"/>
              <w:rPr>
                <w:sz w:val="20"/>
                <w:szCs w:val="20"/>
                <w:color w:val="auto"/>
              </w:rPr>
            </w:pPr>
            <w:r>
              <w:rPr>
                <w:rFonts w:ascii="Arial" w:cs="Arial" w:eastAsia="Arial" w:hAnsi="Arial"/>
                <w:sz w:val="17"/>
                <w:szCs w:val="17"/>
                <w:color w:val="auto"/>
              </w:rPr>
              <w:t>•  Leadership and Operating experience – former Vice Chairman and Chief Operating Officer of a</w:t>
            </w:r>
          </w:p>
        </w:tc>
        <w:tc>
          <w:tcPr>
            <w:tcW w:w="0" w:type="dxa"/>
            <w:vAlign w:val="bottom"/>
          </w:tcPr>
          <w:p>
            <w:pPr>
              <w:spacing w:after="0"/>
              <w:rPr>
                <w:sz w:val="1"/>
                <w:szCs w:val="1"/>
                <w:color w:val="auto"/>
              </w:rPr>
            </w:pPr>
          </w:p>
        </w:tc>
      </w:tr>
      <w:tr>
        <w:trPr>
          <w:trHeight w:val="192"/>
        </w:trPr>
        <w:tc>
          <w:tcPr>
            <w:tcW w:w="3420" w:type="dxa"/>
            <w:vAlign w:val="bottom"/>
            <w:vMerge w:val="restart"/>
          </w:tcPr>
          <w:p>
            <w:pPr>
              <w:spacing w:after="0"/>
              <w:rPr>
                <w:sz w:val="20"/>
                <w:szCs w:val="20"/>
                <w:color w:val="auto"/>
              </w:rPr>
            </w:pPr>
            <w:r>
              <w:rPr>
                <w:rFonts w:ascii="Arial" w:cs="Arial" w:eastAsia="Arial" w:hAnsi="Arial"/>
                <w:sz w:val="17"/>
                <w:szCs w:val="17"/>
                <w:color w:val="auto"/>
              </w:rPr>
              <w:t>Committees:</w:t>
            </w:r>
          </w:p>
        </w:tc>
        <w:tc>
          <w:tcPr>
            <w:tcW w:w="8000" w:type="dxa"/>
            <w:vAlign w:val="bottom"/>
          </w:tcPr>
          <w:p>
            <w:pPr>
              <w:ind w:left="740"/>
              <w:spacing w:after="0" w:line="192" w:lineRule="exact"/>
              <w:rPr>
                <w:sz w:val="20"/>
                <w:szCs w:val="20"/>
                <w:color w:val="auto"/>
              </w:rPr>
            </w:pPr>
            <w:r>
              <w:rPr>
                <w:rFonts w:ascii="Arial" w:cs="Arial" w:eastAsia="Arial" w:hAnsi="Arial"/>
                <w:sz w:val="17"/>
                <w:szCs w:val="17"/>
                <w:color w:val="auto"/>
              </w:rPr>
              <w:t>global consumer products company</w:t>
            </w:r>
          </w:p>
        </w:tc>
        <w:tc>
          <w:tcPr>
            <w:tcW w:w="0" w:type="dxa"/>
            <w:vAlign w:val="bottom"/>
          </w:tcPr>
          <w:p>
            <w:pPr>
              <w:spacing w:after="0"/>
              <w:rPr>
                <w:sz w:val="1"/>
                <w:szCs w:val="1"/>
                <w:color w:val="auto"/>
              </w:rPr>
            </w:pPr>
          </w:p>
        </w:tc>
      </w:tr>
      <w:tr>
        <w:trPr>
          <w:trHeight w:val="111"/>
        </w:trPr>
        <w:tc>
          <w:tcPr>
            <w:tcW w:w="3420" w:type="dxa"/>
            <w:vAlign w:val="bottom"/>
            <w:vMerge w:val="continue"/>
          </w:tcPr>
          <w:p>
            <w:pPr>
              <w:spacing w:after="0"/>
              <w:rPr>
                <w:sz w:val="9"/>
                <w:szCs w:val="9"/>
                <w:color w:val="auto"/>
              </w:rPr>
            </w:pPr>
          </w:p>
        </w:tc>
        <w:tc>
          <w:tcPr>
            <w:tcW w:w="8000" w:type="dxa"/>
            <w:vAlign w:val="bottom"/>
            <w:vMerge w:val="restart"/>
          </w:tcPr>
          <w:p>
            <w:pPr>
              <w:ind w:left="440"/>
              <w:spacing w:after="0" w:line="192" w:lineRule="exact"/>
              <w:rPr>
                <w:sz w:val="20"/>
                <w:szCs w:val="20"/>
                <w:color w:val="auto"/>
              </w:rPr>
            </w:pPr>
            <w:r>
              <w:rPr>
                <w:rFonts w:ascii="Arial" w:cs="Arial" w:eastAsia="Arial" w:hAnsi="Arial"/>
                <w:sz w:val="17"/>
                <w:szCs w:val="17"/>
                <w:color w:val="auto"/>
              </w:rPr>
              <w:t>•  Industry Knowledge and Marketing and Global Business experience – 32 years working in the</w:t>
            </w:r>
          </w:p>
        </w:tc>
        <w:tc>
          <w:tcPr>
            <w:tcW w:w="0" w:type="dxa"/>
            <w:vAlign w:val="bottom"/>
          </w:tcPr>
          <w:p>
            <w:pPr>
              <w:spacing w:after="0"/>
              <w:rPr>
                <w:sz w:val="1"/>
                <w:szCs w:val="1"/>
                <w:color w:val="auto"/>
              </w:rPr>
            </w:pPr>
          </w:p>
        </w:tc>
      </w:tr>
      <w:tr>
        <w:trPr>
          <w:trHeight w:val="81"/>
        </w:trPr>
        <w:tc>
          <w:tcPr>
            <w:tcW w:w="3420" w:type="dxa"/>
            <w:vAlign w:val="bottom"/>
            <w:vMerge w:val="restart"/>
          </w:tcPr>
          <w:p>
            <w:pPr>
              <w:ind w:left="520"/>
              <w:spacing w:after="0"/>
              <w:rPr>
                <w:sz w:val="20"/>
                <w:szCs w:val="20"/>
                <w:color w:val="auto"/>
              </w:rPr>
            </w:pPr>
            <w:r>
              <w:rPr>
                <w:rFonts w:ascii="Arial" w:cs="Arial" w:eastAsia="Arial" w:hAnsi="Arial"/>
                <w:sz w:val="17"/>
                <w:szCs w:val="17"/>
                <w:color w:val="auto"/>
              </w:rPr>
              <w:t>•  Vice Chair, Human Resources and</w:t>
            </w:r>
          </w:p>
        </w:tc>
        <w:tc>
          <w:tcPr>
            <w:tcW w:w="8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3420" w:type="dxa"/>
            <w:vAlign w:val="bottom"/>
            <w:vMerge w:val="continue"/>
          </w:tcPr>
          <w:p>
            <w:pPr>
              <w:spacing w:after="0"/>
              <w:rPr>
                <w:sz w:val="15"/>
                <w:szCs w:val="15"/>
                <w:color w:val="auto"/>
              </w:rPr>
            </w:pPr>
          </w:p>
        </w:tc>
        <w:tc>
          <w:tcPr>
            <w:tcW w:w="8000" w:type="dxa"/>
            <w:vAlign w:val="bottom"/>
          </w:tcPr>
          <w:p>
            <w:pPr>
              <w:ind w:left="740"/>
              <w:spacing w:after="0" w:line="179" w:lineRule="exact"/>
              <w:rPr>
                <w:sz w:val="20"/>
                <w:szCs w:val="20"/>
                <w:color w:val="auto"/>
              </w:rPr>
            </w:pPr>
            <w:r>
              <w:rPr>
                <w:rFonts w:ascii="Arial" w:cs="Arial" w:eastAsia="Arial" w:hAnsi="Arial"/>
                <w:sz w:val="17"/>
                <w:szCs w:val="17"/>
                <w:color w:val="auto"/>
              </w:rPr>
              <w:t>global consumer products industry</w:t>
            </w:r>
          </w:p>
        </w:tc>
        <w:tc>
          <w:tcPr>
            <w:tcW w:w="0" w:type="dxa"/>
            <w:vAlign w:val="bottom"/>
          </w:tcPr>
          <w:p>
            <w:pPr>
              <w:spacing w:after="0"/>
              <w:rPr>
                <w:sz w:val="1"/>
                <w:szCs w:val="1"/>
                <w:color w:val="auto"/>
              </w:rPr>
            </w:pPr>
          </w:p>
        </w:tc>
      </w:tr>
      <w:tr>
        <w:trPr>
          <w:trHeight w:val="192"/>
        </w:trPr>
        <w:tc>
          <w:tcPr>
            <w:tcW w:w="3420" w:type="dxa"/>
            <w:vAlign w:val="bottom"/>
          </w:tcPr>
          <w:p>
            <w:pPr>
              <w:ind w:left="820"/>
              <w:spacing w:after="0" w:line="192" w:lineRule="exact"/>
              <w:rPr>
                <w:sz w:val="20"/>
                <w:szCs w:val="20"/>
                <w:color w:val="auto"/>
              </w:rPr>
            </w:pPr>
            <w:r>
              <w:rPr>
                <w:rFonts w:ascii="Arial" w:cs="Arial" w:eastAsia="Arial" w:hAnsi="Arial"/>
                <w:sz w:val="17"/>
                <w:szCs w:val="17"/>
                <w:color w:val="auto"/>
              </w:rPr>
              <w:t>Compensation</w:t>
            </w:r>
          </w:p>
        </w:tc>
        <w:tc>
          <w:tcPr>
            <w:tcW w:w="8000" w:type="dxa"/>
            <w:vAlign w:val="bottom"/>
          </w:tcPr>
          <w:p>
            <w:pPr>
              <w:ind w:left="440"/>
              <w:spacing w:after="0" w:line="192" w:lineRule="exact"/>
              <w:rPr>
                <w:sz w:val="20"/>
                <w:szCs w:val="20"/>
                <w:color w:val="auto"/>
              </w:rPr>
            </w:pPr>
            <w:r>
              <w:rPr>
                <w:rFonts w:ascii="Arial" w:cs="Arial" w:eastAsia="Arial" w:hAnsi="Arial"/>
                <w:sz w:val="17"/>
                <w:szCs w:val="17"/>
                <w:color w:val="auto"/>
              </w:rPr>
              <w:t>•  Public Company Board and Corporate Governance experience – current director of two global</w:t>
            </w:r>
          </w:p>
        </w:tc>
        <w:tc>
          <w:tcPr>
            <w:tcW w:w="0" w:type="dxa"/>
            <w:vAlign w:val="bottom"/>
          </w:tcPr>
          <w:p>
            <w:pPr>
              <w:spacing w:after="0"/>
              <w:rPr>
                <w:sz w:val="1"/>
                <w:szCs w:val="1"/>
                <w:color w:val="auto"/>
              </w:rPr>
            </w:pPr>
          </w:p>
        </w:tc>
      </w:tr>
      <w:tr>
        <w:trPr>
          <w:trHeight w:val="192"/>
        </w:trPr>
        <w:tc>
          <w:tcPr>
            <w:tcW w:w="3420" w:type="dxa"/>
            <w:vAlign w:val="bottom"/>
          </w:tcPr>
          <w:p>
            <w:pPr>
              <w:ind w:left="520"/>
              <w:spacing w:after="0" w:line="192" w:lineRule="exact"/>
              <w:rPr>
                <w:sz w:val="20"/>
                <w:szCs w:val="20"/>
                <w:color w:val="auto"/>
              </w:rPr>
            </w:pPr>
            <w:r>
              <w:rPr>
                <w:rFonts w:ascii="Arial" w:cs="Arial" w:eastAsia="Arial" w:hAnsi="Arial"/>
                <w:sz w:val="17"/>
                <w:szCs w:val="17"/>
                <w:color w:val="auto"/>
              </w:rPr>
              <w:t>•  Governance, Membership and</w:t>
            </w:r>
          </w:p>
        </w:tc>
        <w:tc>
          <w:tcPr>
            <w:tcW w:w="8000" w:type="dxa"/>
            <w:vAlign w:val="bottom"/>
          </w:tcPr>
          <w:p>
            <w:pPr>
              <w:ind w:left="740"/>
              <w:spacing w:after="0" w:line="192" w:lineRule="exact"/>
              <w:rPr>
                <w:sz w:val="20"/>
                <w:szCs w:val="20"/>
                <w:color w:val="auto"/>
              </w:rPr>
            </w:pPr>
            <w:r>
              <w:rPr>
                <w:rFonts w:ascii="Arial" w:cs="Arial" w:eastAsia="Arial" w:hAnsi="Arial"/>
                <w:sz w:val="17"/>
                <w:szCs w:val="17"/>
                <w:color w:val="auto"/>
              </w:rPr>
              <w:t>public companies</w:t>
            </w:r>
          </w:p>
        </w:tc>
        <w:tc>
          <w:tcPr>
            <w:tcW w:w="0" w:type="dxa"/>
            <w:vAlign w:val="bottom"/>
          </w:tcPr>
          <w:p>
            <w:pPr>
              <w:spacing w:after="0"/>
              <w:rPr>
                <w:sz w:val="1"/>
                <w:szCs w:val="1"/>
                <w:color w:val="auto"/>
              </w:rPr>
            </w:pPr>
          </w:p>
        </w:tc>
      </w:tr>
      <w:tr>
        <w:trPr>
          <w:trHeight w:val="200"/>
        </w:trPr>
        <w:tc>
          <w:tcPr>
            <w:tcW w:w="3420" w:type="dxa"/>
            <w:vAlign w:val="bottom"/>
          </w:tcPr>
          <w:p>
            <w:pPr>
              <w:ind w:left="820"/>
              <w:spacing w:after="0"/>
              <w:rPr>
                <w:sz w:val="20"/>
                <w:szCs w:val="20"/>
                <w:color w:val="auto"/>
              </w:rPr>
            </w:pPr>
            <w:r>
              <w:rPr>
                <w:rFonts w:ascii="Arial" w:cs="Arial" w:eastAsia="Arial" w:hAnsi="Arial"/>
                <w:sz w:val="17"/>
                <w:szCs w:val="17"/>
                <w:color w:val="auto"/>
              </w:rPr>
              <w:t>Public Affairs</w:t>
            </w:r>
          </w:p>
        </w:tc>
        <w:tc>
          <w:tcPr>
            <w:tcW w:w="8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3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Age: 63</w:t>
            </w:r>
          </w:p>
        </w:tc>
        <w:tc>
          <w:tcPr>
            <w:tcW w:w="80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8"/>
        </w:trPr>
        <w:tc>
          <w:tcPr>
            <w:tcW w:w="3420" w:type="dxa"/>
            <w:vAlign w:val="bottom"/>
          </w:tcPr>
          <w:p>
            <w:pPr>
              <w:spacing w:after="0"/>
              <w:rPr>
                <w:sz w:val="24"/>
                <w:szCs w:val="24"/>
                <w:color w:val="auto"/>
              </w:rPr>
            </w:pPr>
          </w:p>
        </w:tc>
        <w:tc>
          <w:tcPr>
            <w:tcW w:w="8000" w:type="dxa"/>
            <w:vAlign w:val="bottom"/>
          </w:tcPr>
          <w:p>
            <w:pPr>
              <w:ind w:left="22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-2980055</wp:posOffset>
            </wp:positionV>
            <wp:extent cx="715010" cy="1039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10" cy="103949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type w:val="continuous"/>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208915</wp:posOffset>
            </wp:positionV>
            <wp:extent cx="72536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Mark D. Ketchum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-1287145</wp:posOffset>
            </wp:positionV>
            <wp:extent cx="715010" cy="1039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010" cy="103949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Former President and</w:t>
      </w:r>
    </w:p>
    <w:p>
      <w:pPr>
        <w:spacing w:after="0" w:line="241" w:lineRule="auto"/>
        <w:rPr>
          <w:sz w:val="20"/>
          <w:szCs w:val="20"/>
          <w:color w:val="auto"/>
        </w:rPr>
      </w:pPr>
      <w:r>
        <w:rPr>
          <w:rFonts w:ascii="Arial" w:cs="Arial" w:eastAsia="Arial" w:hAnsi="Arial"/>
          <w:sz w:val="17"/>
          <w:szCs w:val="17"/>
          <w:color w:val="auto"/>
        </w:rPr>
        <w:t>Chief Executive Officer, Newell Rubbermaid Inc.</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April 2007</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Lead Director since January 2009</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Committees:</w:t>
      </w:r>
    </w:p>
    <w:p>
      <w:pPr>
        <w:spacing w:after="0" w:line="73" w:lineRule="exact"/>
        <w:rPr>
          <w:sz w:val="20"/>
          <w:szCs w:val="20"/>
          <w:color w:val="auto"/>
        </w:rPr>
      </w:pPr>
    </w:p>
    <w:p>
      <w:pPr>
        <w:ind w:left="740" w:hanging="226"/>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Audit</w:t>
      </w:r>
    </w:p>
    <w:p>
      <w:pPr>
        <w:spacing w:after="0" w:line="73"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Age: 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Professional Experience:</w:t>
      </w:r>
    </w:p>
    <w:p>
      <w:pPr>
        <w:spacing w:after="0" w:line="1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Mr. Ketchum served as President and Chief Executive Officer of Newell Rubbermaid Inc., a global marketer of consumer and commercial products, from October 2005 to June 2011 and has been a member of its board of directors since November 2004. From 1999 to 2004, Mr. Ketchum was President, Global Baby and Family Care of The Procter &amp; Gamble Company, a global marketer of consumer products.</w:t>
      </w:r>
    </w:p>
    <w:p>
      <w:pPr>
        <w:spacing w:after="0" w:line="1" w:lineRule="exact"/>
        <w:rPr>
          <w:sz w:val="20"/>
          <w:szCs w:val="20"/>
          <w:color w:val="auto"/>
        </w:rPr>
      </w:pPr>
    </w:p>
    <w:p>
      <w:pPr>
        <w:ind w:right="340"/>
        <w:spacing w:after="0" w:line="239" w:lineRule="auto"/>
        <w:rPr>
          <w:sz w:val="20"/>
          <w:szCs w:val="20"/>
          <w:color w:val="auto"/>
        </w:rPr>
      </w:pPr>
      <w:r>
        <w:rPr>
          <w:rFonts w:ascii="Arial" w:cs="Arial" w:eastAsia="Arial" w:hAnsi="Arial"/>
          <w:sz w:val="17"/>
          <w:szCs w:val="17"/>
          <w:color w:val="auto"/>
        </w:rPr>
        <w:t>Mr. Ketchum joined The Procter &amp; Gamble Company in 1971, where he served in a variety of roles, including Vice President and General Manager – Tissue/Towel from 1990 to 1996 and President–North American Paper Sector from 1996 to 1999.</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Education:</w:t>
      </w:r>
    </w:p>
    <w:p>
      <w:pPr>
        <w:spacing w:after="0" w:line="14" w:lineRule="exact"/>
        <w:rPr>
          <w:sz w:val="20"/>
          <w:szCs w:val="20"/>
          <w:color w:val="auto"/>
        </w:rPr>
      </w:pPr>
    </w:p>
    <w:p>
      <w:pPr>
        <w:ind w:right="560"/>
        <w:spacing w:after="0" w:line="241" w:lineRule="auto"/>
        <w:rPr>
          <w:sz w:val="20"/>
          <w:szCs w:val="20"/>
          <w:color w:val="auto"/>
        </w:rPr>
      </w:pPr>
      <w:r>
        <w:rPr>
          <w:rFonts w:ascii="Arial" w:cs="Arial" w:eastAsia="Arial" w:hAnsi="Arial"/>
          <w:sz w:val="17"/>
          <w:szCs w:val="17"/>
          <w:color w:val="auto"/>
        </w:rPr>
        <w:t>Mr. Ketchum received a Bachelor’s Degree in Industrial Engineering and Operations Research from Cornell University.</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Public Company Boards:</w:t>
      </w:r>
    </w:p>
    <w:p>
      <w:pPr>
        <w:spacing w:after="0" w:line="14"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Mr. Ketchum is a director of Newell Rubbermaid Inc. He was formerly a director of Hillenbrand Industries, Inc.</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 Qualifications:</w:t>
      </w:r>
    </w:p>
    <w:p>
      <w:pPr>
        <w:spacing w:after="0" w:line="14" w:lineRule="exact"/>
        <w:rPr>
          <w:sz w:val="20"/>
          <w:szCs w:val="20"/>
          <w:color w:val="auto"/>
        </w:rPr>
      </w:pPr>
    </w:p>
    <w:p>
      <w:pPr>
        <w:jc w:val="center"/>
        <w:ind w:left="620" w:right="300" w:hanging="205"/>
        <w:spacing w:after="0" w:line="250"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Leadership and Operating experience – former President and Chief Executive Officer of a global products company and former President of a division of a global consumer products company</w:t>
      </w:r>
    </w:p>
    <w:p>
      <w:pPr>
        <w:ind w:left="620" w:right="180" w:hanging="205"/>
        <w:spacing w:after="0" w:line="235"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Industry Knowledge and Product Development, Marketing and Global Business experience – held key roles at global consumer products companies for four decades</w:t>
      </w:r>
    </w:p>
    <w:p>
      <w:pPr>
        <w:ind w:left="620" w:right="400" w:hanging="205"/>
        <w:spacing w:after="0" w:line="241"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Public Company Board and Corporate Governance experience – current and former director of global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-2245995</wp:posOffset>
            </wp:positionH>
            <wp:positionV relativeFrom="paragraph">
              <wp:posOffset>635</wp:posOffset>
            </wp:positionV>
            <wp:extent cx="72536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320"/>
            <w:col w:w="7880"/>
          </w:cols>
          <w:pgMar w:left="240" w:top="443" w:right="2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8780" w:type="dxa"/>
            <w:vAlign w:val="bottom"/>
          </w:tcPr>
          <w:p>
            <w:pPr>
              <w:ind w:left="900"/>
              <w:spacing w:after="0"/>
              <w:rPr>
                <w:sz w:val="20"/>
                <w:szCs w:val="20"/>
                <w:color w:val="auto"/>
              </w:rPr>
            </w:pPr>
            <w:r>
              <w:rPr>
                <w:rFonts w:ascii="Arial" w:cs="Arial" w:eastAsia="Arial" w:hAnsi="Arial"/>
                <w:sz w:val="17"/>
                <w:szCs w:val="17"/>
                <w:i w:val="1"/>
                <w:iCs w:val="1"/>
                <w:color w:val="auto"/>
              </w:rPr>
              <w:t>Professional Experience:</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8780" w:type="dxa"/>
            <w:vAlign w:val="bottom"/>
          </w:tcPr>
          <w:p>
            <w:pPr>
              <w:ind w:left="900"/>
              <w:spacing w:after="0" w:line="192" w:lineRule="exact"/>
              <w:rPr>
                <w:sz w:val="20"/>
                <w:szCs w:val="20"/>
                <w:color w:val="auto"/>
              </w:rPr>
            </w:pPr>
            <w:r>
              <w:rPr>
                <w:rFonts w:ascii="Arial" w:cs="Arial" w:eastAsia="Arial" w:hAnsi="Arial"/>
                <w:sz w:val="17"/>
                <w:szCs w:val="17"/>
                <w:color w:val="auto"/>
                <w:w w:val="98"/>
              </w:rPr>
              <w:t>Mr. Lundgren has served as President and Chief Executive Officer of Macy’s, Inc., a national retailer, since</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8780" w:type="dxa"/>
            <w:vAlign w:val="bottom"/>
          </w:tcPr>
          <w:p>
            <w:pPr>
              <w:ind w:left="900"/>
              <w:spacing w:after="0" w:line="192" w:lineRule="exact"/>
              <w:rPr>
                <w:sz w:val="20"/>
                <w:szCs w:val="20"/>
                <w:color w:val="auto"/>
              </w:rPr>
            </w:pPr>
            <w:r>
              <w:rPr>
                <w:rFonts w:ascii="Arial" w:cs="Arial" w:eastAsia="Arial" w:hAnsi="Arial"/>
                <w:sz w:val="17"/>
                <w:szCs w:val="17"/>
                <w:color w:val="auto"/>
                <w:w w:val="99"/>
              </w:rPr>
              <w:t>2003 and has served as a director since 1997, becoming Chairman of the Board in 2004. Prior to that, he</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8780" w:type="dxa"/>
            <w:vAlign w:val="bottom"/>
          </w:tcPr>
          <w:p>
            <w:pPr>
              <w:ind w:left="900"/>
              <w:spacing w:after="0" w:line="192" w:lineRule="exact"/>
              <w:rPr>
                <w:sz w:val="20"/>
                <w:szCs w:val="20"/>
                <w:color w:val="auto"/>
              </w:rPr>
            </w:pPr>
            <w:r>
              <w:rPr>
                <w:rFonts w:ascii="Arial" w:cs="Arial" w:eastAsia="Arial" w:hAnsi="Arial"/>
                <w:sz w:val="17"/>
                <w:szCs w:val="17"/>
                <w:color w:val="auto"/>
              </w:rPr>
              <w:t>served as the President and Chief Operating Officer from 2002 to 2003, President and Chief</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8780" w:type="dxa"/>
            <w:vAlign w:val="bottom"/>
          </w:tcPr>
          <w:p>
            <w:pPr>
              <w:ind w:left="900"/>
              <w:spacing w:after="0" w:line="192" w:lineRule="exact"/>
              <w:rPr>
                <w:sz w:val="20"/>
                <w:szCs w:val="20"/>
                <w:color w:val="auto"/>
              </w:rPr>
            </w:pPr>
            <w:r>
              <w:rPr>
                <w:rFonts w:ascii="Arial" w:cs="Arial" w:eastAsia="Arial" w:hAnsi="Arial"/>
                <w:sz w:val="17"/>
                <w:szCs w:val="17"/>
                <w:color w:val="auto"/>
              </w:rPr>
              <w:t>Merchandising Officer from 1997 until 2002 and Chairman and Chief Executive Officer, Federated</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8780" w:type="dxa"/>
            <w:vAlign w:val="bottom"/>
          </w:tcPr>
          <w:p>
            <w:pPr>
              <w:ind w:left="900"/>
              <w:spacing w:after="0" w:line="192" w:lineRule="exact"/>
              <w:rPr>
                <w:sz w:val="20"/>
                <w:szCs w:val="20"/>
                <w:color w:val="auto"/>
              </w:rPr>
            </w:pPr>
            <w:r>
              <w:rPr>
                <w:rFonts w:ascii="Arial" w:cs="Arial" w:eastAsia="Arial" w:hAnsi="Arial"/>
                <w:sz w:val="17"/>
                <w:szCs w:val="17"/>
                <w:color w:val="auto"/>
              </w:rPr>
              <w:t>Merchandising Group from 1994 until 1997. Prior to joining Federated Department Stores, Inc., Macy’s</w:t>
            </w: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8780" w:type="dxa"/>
            <w:vAlign w:val="bottom"/>
          </w:tcPr>
          <w:p>
            <w:pPr>
              <w:ind w:left="900"/>
              <w:spacing w:after="0" w:line="192" w:lineRule="exact"/>
              <w:rPr>
                <w:sz w:val="20"/>
                <w:szCs w:val="20"/>
                <w:color w:val="auto"/>
              </w:rPr>
            </w:pPr>
            <w:r>
              <w:rPr>
                <w:rFonts w:ascii="Arial" w:cs="Arial" w:eastAsia="Arial" w:hAnsi="Arial"/>
                <w:sz w:val="17"/>
                <w:szCs w:val="17"/>
                <w:color w:val="auto"/>
              </w:rPr>
              <w:t>predecessor, in 1994, Mr. Lundgren was with The Neiman Marcus Group from 1988 to 1994, serving as</w:t>
            </w:r>
          </w:p>
        </w:tc>
        <w:tc>
          <w:tcPr>
            <w:tcW w:w="0" w:type="dxa"/>
            <w:vAlign w:val="bottom"/>
          </w:tcPr>
          <w:p>
            <w:pPr>
              <w:spacing w:after="0"/>
              <w:rPr>
                <w:sz w:val="1"/>
                <w:szCs w:val="1"/>
                <w:color w:val="auto"/>
              </w:rPr>
            </w:pPr>
          </w:p>
        </w:tc>
      </w:tr>
      <w:tr>
        <w:trPr>
          <w:trHeight w:val="200"/>
        </w:trPr>
        <w:tc>
          <w:tcPr>
            <w:tcW w:w="2640" w:type="dxa"/>
            <w:vAlign w:val="bottom"/>
          </w:tcPr>
          <w:p>
            <w:pPr>
              <w:spacing w:after="0"/>
              <w:rPr>
                <w:sz w:val="17"/>
                <w:szCs w:val="17"/>
                <w:color w:val="auto"/>
              </w:rPr>
            </w:pPr>
          </w:p>
        </w:tc>
        <w:tc>
          <w:tcPr>
            <w:tcW w:w="8780" w:type="dxa"/>
            <w:vAlign w:val="bottom"/>
          </w:tcPr>
          <w:p>
            <w:pPr>
              <w:ind w:left="900"/>
              <w:spacing w:after="0"/>
              <w:rPr>
                <w:sz w:val="20"/>
                <w:szCs w:val="20"/>
                <w:color w:val="auto"/>
              </w:rPr>
            </w:pPr>
            <w:r>
              <w:rPr>
                <w:rFonts w:ascii="Arial" w:cs="Arial" w:eastAsia="Arial" w:hAnsi="Arial"/>
                <w:sz w:val="17"/>
                <w:szCs w:val="17"/>
                <w:color w:val="auto"/>
              </w:rPr>
              <w:t>Chairman and Chief Executive Officer, Neiman Marcus Stores from 1990 to 1994.</w:t>
            </w:r>
          </w:p>
        </w:tc>
        <w:tc>
          <w:tcPr>
            <w:tcW w:w="0" w:type="dxa"/>
            <w:vAlign w:val="bottom"/>
          </w:tcPr>
          <w:p>
            <w:pPr>
              <w:spacing w:after="0"/>
              <w:rPr>
                <w:sz w:val="1"/>
                <w:szCs w:val="1"/>
                <w:color w:val="auto"/>
              </w:rPr>
            </w:pPr>
          </w:p>
        </w:tc>
      </w:tr>
      <w:tr>
        <w:trPr>
          <w:trHeight w:val="260"/>
        </w:trPr>
        <w:tc>
          <w:tcPr>
            <w:tcW w:w="2640" w:type="dxa"/>
            <w:vAlign w:val="bottom"/>
          </w:tcPr>
          <w:p>
            <w:pPr>
              <w:spacing w:after="0"/>
              <w:rPr>
                <w:sz w:val="22"/>
                <w:szCs w:val="22"/>
                <w:color w:val="auto"/>
              </w:rPr>
            </w:pPr>
          </w:p>
        </w:tc>
        <w:tc>
          <w:tcPr>
            <w:tcW w:w="8780" w:type="dxa"/>
            <w:vAlign w:val="bottom"/>
          </w:tcPr>
          <w:p>
            <w:pPr>
              <w:ind w:left="900"/>
              <w:spacing w:after="0"/>
              <w:rPr>
                <w:sz w:val="20"/>
                <w:szCs w:val="20"/>
                <w:color w:val="auto"/>
              </w:rPr>
            </w:pPr>
            <w:r>
              <w:rPr>
                <w:rFonts w:ascii="Arial" w:cs="Arial" w:eastAsia="Arial" w:hAnsi="Arial"/>
                <w:sz w:val="17"/>
                <w:szCs w:val="17"/>
                <w:i w:val="1"/>
                <w:iCs w:val="1"/>
                <w:color w:val="auto"/>
              </w:rPr>
              <w:t>Education:</w:t>
            </w:r>
          </w:p>
        </w:tc>
        <w:tc>
          <w:tcPr>
            <w:tcW w:w="0" w:type="dxa"/>
            <w:vAlign w:val="bottom"/>
          </w:tcPr>
          <w:p>
            <w:pPr>
              <w:spacing w:after="0"/>
              <w:rPr>
                <w:sz w:val="1"/>
                <w:szCs w:val="1"/>
                <w:color w:val="auto"/>
              </w:rPr>
            </w:pPr>
          </w:p>
        </w:tc>
      </w:tr>
      <w:tr>
        <w:trPr>
          <w:trHeight w:val="226"/>
        </w:trPr>
        <w:tc>
          <w:tcPr>
            <w:tcW w:w="2640" w:type="dxa"/>
            <w:vAlign w:val="bottom"/>
          </w:tcPr>
          <w:p>
            <w:pPr>
              <w:spacing w:after="0"/>
              <w:rPr>
                <w:sz w:val="20"/>
                <w:szCs w:val="20"/>
                <w:color w:val="auto"/>
              </w:rPr>
            </w:pPr>
            <w:r>
              <w:rPr>
                <w:rFonts w:ascii="Arial" w:cs="Arial" w:eastAsia="Arial" w:hAnsi="Arial"/>
                <w:sz w:val="17"/>
                <w:szCs w:val="17"/>
                <w:color w:val="auto"/>
              </w:rPr>
              <w:t>Terry J. Lundgren</w:t>
            </w:r>
          </w:p>
        </w:tc>
        <w:tc>
          <w:tcPr>
            <w:tcW w:w="8780" w:type="dxa"/>
            <w:vAlign w:val="bottom"/>
          </w:tcPr>
          <w:p>
            <w:pPr>
              <w:ind w:left="900"/>
              <w:spacing w:after="0"/>
              <w:rPr>
                <w:sz w:val="20"/>
                <w:szCs w:val="20"/>
                <w:color w:val="auto"/>
              </w:rPr>
            </w:pPr>
            <w:r>
              <w:rPr>
                <w:rFonts w:ascii="Arial" w:cs="Arial" w:eastAsia="Arial" w:hAnsi="Arial"/>
                <w:sz w:val="17"/>
                <w:szCs w:val="17"/>
                <w:color w:val="auto"/>
              </w:rPr>
              <w:t>Mr. Lundgren received a Bachelor’s Degree from the University of Arizona.</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r>
              <w:rPr>
                <w:rFonts w:ascii="Arial" w:cs="Arial" w:eastAsia="Arial" w:hAnsi="Arial"/>
                <w:sz w:val="17"/>
                <w:szCs w:val="17"/>
                <w:color w:val="auto"/>
              </w:rPr>
              <w:t>President and</w:t>
            </w:r>
          </w:p>
        </w:tc>
        <w:tc>
          <w:tcPr>
            <w:tcW w:w="8780" w:type="dxa"/>
            <w:vAlign w:val="bottom"/>
          </w:tcPr>
          <w:p>
            <w:pPr>
              <w:ind w:left="900"/>
              <w:spacing w:after="0"/>
              <w:rPr>
                <w:sz w:val="20"/>
                <w:szCs w:val="20"/>
                <w:color w:val="auto"/>
              </w:rPr>
            </w:pPr>
            <w:r>
              <w:rPr>
                <w:rFonts w:ascii="Arial" w:cs="Arial" w:eastAsia="Arial" w:hAnsi="Arial"/>
                <w:sz w:val="17"/>
                <w:szCs w:val="17"/>
                <w:i w:val="1"/>
                <w:iCs w:val="1"/>
                <w:color w:val="auto"/>
              </w:rPr>
              <w:t>Public Company Boards:</w:t>
            </w:r>
          </w:p>
        </w:tc>
        <w:tc>
          <w:tcPr>
            <w:tcW w:w="0" w:type="dxa"/>
            <w:vAlign w:val="bottom"/>
          </w:tcPr>
          <w:p>
            <w:pPr>
              <w:spacing w:after="0"/>
              <w:rPr>
                <w:sz w:val="1"/>
                <w:szCs w:val="1"/>
                <w:color w:val="auto"/>
              </w:rPr>
            </w:pPr>
          </w:p>
        </w:tc>
      </w:tr>
      <w:tr>
        <w:trPr>
          <w:trHeight w:val="217"/>
        </w:trPr>
        <w:tc>
          <w:tcPr>
            <w:tcW w:w="2640" w:type="dxa"/>
            <w:vAlign w:val="bottom"/>
          </w:tcPr>
          <w:p>
            <w:pPr>
              <w:spacing w:after="0"/>
              <w:rPr>
                <w:sz w:val="20"/>
                <w:szCs w:val="20"/>
                <w:color w:val="auto"/>
              </w:rPr>
            </w:pPr>
            <w:r>
              <w:rPr>
                <w:rFonts w:ascii="Arial" w:cs="Arial" w:eastAsia="Arial" w:hAnsi="Arial"/>
                <w:sz w:val="17"/>
                <w:szCs w:val="17"/>
                <w:color w:val="auto"/>
              </w:rPr>
              <w:t>Chief Executive Officer,</w:t>
            </w:r>
          </w:p>
        </w:tc>
        <w:tc>
          <w:tcPr>
            <w:tcW w:w="8780" w:type="dxa"/>
            <w:vAlign w:val="bottom"/>
          </w:tcPr>
          <w:p>
            <w:pPr>
              <w:ind w:left="900"/>
              <w:spacing w:after="0"/>
              <w:rPr>
                <w:sz w:val="20"/>
                <w:szCs w:val="20"/>
                <w:color w:val="auto"/>
              </w:rPr>
            </w:pPr>
            <w:r>
              <w:rPr>
                <w:rFonts w:ascii="Arial" w:cs="Arial" w:eastAsia="Arial" w:hAnsi="Arial"/>
                <w:sz w:val="17"/>
                <w:szCs w:val="17"/>
                <w:color w:val="auto"/>
              </w:rPr>
              <w:t>Mr. Lundgren is a director of Macy’s, Inc.</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0"/>
                <w:szCs w:val="20"/>
                <w:color w:val="auto"/>
              </w:rPr>
            </w:pPr>
            <w:r>
              <w:rPr>
                <w:rFonts w:ascii="Arial" w:cs="Arial" w:eastAsia="Arial" w:hAnsi="Arial"/>
                <w:sz w:val="17"/>
                <w:szCs w:val="17"/>
                <w:color w:val="auto"/>
              </w:rPr>
              <w:t>Macy’s, Inc.</w:t>
            </w:r>
          </w:p>
        </w:tc>
        <w:tc>
          <w:tcPr>
            <w:tcW w:w="8780" w:type="dxa"/>
            <w:vAlign w:val="bottom"/>
          </w:tcPr>
          <w:p>
            <w:pPr>
              <w:ind w:left="900"/>
              <w:spacing w:after="0"/>
              <w:rPr>
                <w:sz w:val="20"/>
                <w:szCs w:val="20"/>
                <w:color w:val="auto"/>
              </w:rPr>
            </w:pPr>
            <w:r>
              <w:rPr>
                <w:rFonts w:ascii="Arial" w:cs="Arial" w:eastAsia="Arial" w:hAnsi="Arial"/>
                <w:sz w:val="17"/>
                <w:szCs w:val="17"/>
                <w:i w:val="1"/>
                <w:iCs w:val="1"/>
                <w:color w:val="auto"/>
              </w:rPr>
              <w:t>Director Qualifications:</w:t>
            </w:r>
          </w:p>
        </w:tc>
        <w:tc>
          <w:tcPr>
            <w:tcW w:w="0" w:type="dxa"/>
            <w:vAlign w:val="bottom"/>
          </w:tcPr>
          <w:p>
            <w:pPr>
              <w:spacing w:after="0"/>
              <w:rPr>
                <w:sz w:val="1"/>
                <w:szCs w:val="1"/>
                <w:color w:val="auto"/>
              </w:rPr>
            </w:pPr>
          </w:p>
        </w:tc>
      </w:tr>
      <w:tr>
        <w:trPr>
          <w:trHeight w:val="192"/>
        </w:trPr>
        <w:tc>
          <w:tcPr>
            <w:tcW w:w="2640" w:type="dxa"/>
            <w:vAlign w:val="bottom"/>
          </w:tcPr>
          <w:p>
            <w:pPr>
              <w:spacing w:after="0" w:line="192" w:lineRule="exact"/>
              <w:rPr>
                <w:sz w:val="20"/>
                <w:szCs w:val="20"/>
                <w:color w:val="auto"/>
              </w:rPr>
            </w:pPr>
            <w:r>
              <w:rPr>
                <w:rFonts w:ascii="Arial" w:cs="Arial" w:eastAsia="Arial" w:hAnsi="Arial"/>
                <w:sz w:val="17"/>
                <w:szCs w:val="17"/>
                <w:color w:val="auto"/>
              </w:rPr>
              <w:t>New Nominee</w:t>
            </w:r>
          </w:p>
        </w:tc>
        <w:tc>
          <w:tcPr>
            <w:tcW w:w="8780" w:type="dxa"/>
            <w:vAlign w:val="bottom"/>
          </w:tcPr>
          <w:p>
            <w:pPr>
              <w:ind w:left="1220"/>
              <w:spacing w:after="0" w:line="192" w:lineRule="exact"/>
              <w:rPr>
                <w:sz w:val="20"/>
                <w:szCs w:val="20"/>
                <w:color w:val="auto"/>
              </w:rPr>
            </w:pPr>
            <w:r>
              <w:rPr>
                <w:rFonts w:ascii="Arial" w:cs="Arial" w:eastAsia="Arial" w:hAnsi="Arial"/>
                <w:sz w:val="17"/>
                <w:szCs w:val="17"/>
                <w:color w:val="auto"/>
              </w:rPr>
              <w:t>•  Leadership, Operating and Marketing experience – current President and Chief Executive Officer,</w:t>
            </w:r>
          </w:p>
        </w:tc>
        <w:tc>
          <w:tcPr>
            <w:tcW w:w="0" w:type="dxa"/>
            <w:vAlign w:val="bottom"/>
          </w:tcPr>
          <w:p>
            <w:pPr>
              <w:spacing w:after="0"/>
              <w:rPr>
                <w:sz w:val="1"/>
                <w:szCs w:val="1"/>
                <w:color w:val="auto"/>
              </w:rPr>
            </w:pPr>
          </w:p>
        </w:tc>
      </w:tr>
      <w:tr>
        <w:trPr>
          <w:trHeight w:val="192"/>
        </w:trPr>
        <w:tc>
          <w:tcPr>
            <w:tcW w:w="2640" w:type="dxa"/>
            <w:vAlign w:val="bottom"/>
            <w:vMerge w:val="restart"/>
          </w:tcPr>
          <w:p>
            <w:pPr>
              <w:spacing w:after="0"/>
              <w:rPr>
                <w:sz w:val="20"/>
                <w:szCs w:val="20"/>
                <w:color w:val="auto"/>
              </w:rPr>
            </w:pPr>
            <w:r>
              <w:rPr>
                <w:rFonts w:ascii="Arial" w:cs="Arial" w:eastAsia="Arial" w:hAnsi="Arial"/>
                <w:sz w:val="17"/>
                <w:szCs w:val="17"/>
                <w:color w:val="auto"/>
              </w:rPr>
              <w:t>Age: 60</w:t>
            </w:r>
          </w:p>
        </w:tc>
        <w:tc>
          <w:tcPr>
            <w:tcW w:w="8780" w:type="dxa"/>
            <w:vAlign w:val="bottom"/>
          </w:tcPr>
          <w:p>
            <w:pPr>
              <w:ind w:left="1520"/>
              <w:spacing w:after="0" w:line="192" w:lineRule="exact"/>
              <w:rPr>
                <w:sz w:val="20"/>
                <w:szCs w:val="20"/>
                <w:color w:val="auto"/>
              </w:rPr>
            </w:pPr>
            <w:r>
              <w:rPr>
                <w:rFonts w:ascii="Arial" w:cs="Arial" w:eastAsia="Arial" w:hAnsi="Arial"/>
                <w:sz w:val="17"/>
                <w:szCs w:val="17"/>
                <w:color w:val="auto"/>
              </w:rPr>
              <w:t>and former Chief Operating Officer and Chief Merchandising Office, of a leading national retailer</w:t>
            </w:r>
          </w:p>
        </w:tc>
        <w:tc>
          <w:tcPr>
            <w:tcW w:w="0" w:type="dxa"/>
            <w:vAlign w:val="bottom"/>
          </w:tcPr>
          <w:p>
            <w:pPr>
              <w:spacing w:after="0"/>
              <w:rPr>
                <w:sz w:val="1"/>
                <w:szCs w:val="1"/>
                <w:color w:val="auto"/>
              </w:rPr>
            </w:pPr>
          </w:p>
        </w:tc>
      </w:tr>
      <w:tr>
        <w:trPr>
          <w:trHeight w:val="111"/>
        </w:trPr>
        <w:tc>
          <w:tcPr>
            <w:tcW w:w="2640" w:type="dxa"/>
            <w:vAlign w:val="bottom"/>
            <w:vMerge w:val="continue"/>
          </w:tcPr>
          <w:p>
            <w:pPr>
              <w:spacing w:after="0"/>
              <w:rPr>
                <w:sz w:val="9"/>
                <w:szCs w:val="9"/>
                <w:color w:val="auto"/>
              </w:rPr>
            </w:pPr>
          </w:p>
        </w:tc>
        <w:tc>
          <w:tcPr>
            <w:tcW w:w="8780" w:type="dxa"/>
            <w:vAlign w:val="bottom"/>
            <w:vMerge w:val="restart"/>
          </w:tcPr>
          <w:p>
            <w:pPr>
              <w:ind w:left="1220"/>
              <w:spacing w:after="0" w:line="192" w:lineRule="exact"/>
              <w:rPr>
                <w:sz w:val="20"/>
                <w:szCs w:val="20"/>
                <w:color w:val="auto"/>
              </w:rPr>
            </w:pPr>
            <w:r>
              <w:rPr>
                <w:rFonts w:ascii="Arial" w:cs="Arial" w:eastAsia="Arial" w:hAnsi="Arial"/>
                <w:sz w:val="17"/>
                <w:szCs w:val="17"/>
                <w:color w:val="auto"/>
              </w:rPr>
              <w:t>•  Public Company Board and Corporate Governance experience – many years’ experience as a</w:t>
            </w:r>
          </w:p>
        </w:tc>
        <w:tc>
          <w:tcPr>
            <w:tcW w:w="0" w:type="dxa"/>
            <w:vAlign w:val="bottom"/>
          </w:tcPr>
          <w:p>
            <w:pPr>
              <w:spacing w:after="0"/>
              <w:rPr>
                <w:sz w:val="1"/>
                <w:szCs w:val="1"/>
                <w:color w:val="auto"/>
              </w:rPr>
            </w:pPr>
          </w:p>
        </w:tc>
      </w:tr>
      <w:tr>
        <w:trPr>
          <w:trHeight w:val="81"/>
        </w:trPr>
        <w:tc>
          <w:tcPr>
            <w:tcW w:w="2640" w:type="dxa"/>
            <w:vAlign w:val="bottom"/>
          </w:tcPr>
          <w:p>
            <w:pPr>
              <w:spacing w:after="0"/>
              <w:rPr>
                <w:sz w:val="7"/>
                <w:szCs w:val="7"/>
                <w:color w:val="auto"/>
              </w:rPr>
            </w:pPr>
          </w:p>
        </w:tc>
        <w:tc>
          <w:tcPr>
            <w:tcW w:w="8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2640" w:type="dxa"/>
            <w:vAlign w:val="bottom"/>
            <w:tcBorders>
              <w:bottom w:val="single" w:sz="8" w:color="auto"/>
            </w:tcBorders>
          </w:tcPr>
          <w:p>
            <w:pPr>
              <w:spacing w:after="0"/>
              <w:rPr>
                <w:sz w:val="17"/>
                <w:szCs w:val="17"/>
                <w:color w:val="auto"/>
              </w:rPr>
            </w:pPr>
          </w:p>
        </w:tc>
        <w:tc>
          <w:tcPr>
            <w:tcW w:w="8780" w:type="dxa"/>
            <w:vAlign w:val="bottom"/>
            <w:tcBorders>
              <w:bottom w:val="single" w:sz="8" w:color="auto"/>
            </w:tcBorders>
          </w:tcPr>
          <w:p>
            <w:pPr>
              <w:ind w:left="1520"/>
              <w:spacing w:after="0"/>
              <w:rPr>
                <w:sz w:val="20"/>
                <w:szCs w:val="20"/>
                <w:color w:val="auto"/>
              </w:rPr>
            </w:pPr>
            <w:r>
              <w:rPr>
                <w:rFonts w:ascii="Arial" w:cs="Arial" w:eastAsia="Arial" w:hAnsi="Arial"/>
                <w:sz w:val="17"/>
                <w:szCs w:val="17"/>
                <w:color w:val="auto"/>
              </w:rPr>
              <w:t>director and Chairman of the Board of leading national retailers</w:t>
            </w:r>
          </w:p>
        </w:tc>
        <w:tc>
          <w:tcPr>
            <w:tcW w:w="0" w:type="dxa"/>
            <w:vAlign w:val="bottom"/>
          </w:tcPr>
          <w:p>
            <w:pPr>
              <w:spacing w:after="0"/>
              <w:rPr>
                <w:sz w:val="1"/>
                <w:szCs w:val="1"/>
                <w:color w:val="auto"/>
              </w:rPr>
            </w:pPr>
          </w:p>
        </w:tc>
      </w:tr>
      <w:tr>
        <w:trPr>
          <w:trHeight w:val="338"/>
        </w:trPr>
        <w:tc>
          <w:tcPr>
            <w:tcW w:w="2640" w:type="dxa"/>
            <w:vAlign w:val="bottom"/>
          </w:tcPr>
          <w:p>
            <w:pPr>
              <w:spacing w:after="0"/>
              <w:rPr>
                <w:sz w:val="24"/>
                <w:szCs w:val="24"/>
                <w:color w:val="auto"/>
              </w:rPr>
            </w:pPr>
          </w:p>
        </w:tc>
        <w:tc>
          <w:tcPr>
            <w:tcW w:w="8780" w:type="dxa"/>
            <w:vAlign w:val="bottom"/>
          </w:tcPr>
          <w:p>
            <w:pPr>
              <w:ind w:left="302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-2451735</wp:posOffset>
            </wp:positionV>
            <wp:extent cx="715010" cy="1039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010" cy="103949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type w:val="continuous"/>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2536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8080" w:type="dxa"/>
            <w:vAlign w:val="bottom"/>
          </w:tcPr>
          <w:p>
            <w:pPr>
              <w:ind w:left="200"/>
              <w:spacing w:after="0"/>
              <w:rPr>
                <w:sz w:val="20"/>
                <w:szCs w:val="20"/>
                <w:color w:val="auto"/>
              </w:rPr>
            </w:pPr>
            <w:r>
              <w:rPr>
                <w:rFonts w:ascii="Arial" w:cs="Arial" w:eastAsia="Arial" w:hAnsi="Arial"/>
                <w:sz w:val="17"/>
                <w:szCs w:val="17"/>
                <w:i w:val="1"/>
                <w:iCs w:val="1"/>
                <w:color w:val="auto"/>
              </w:rPr>
              <w:t>Professional Experience:</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w w:val="99"/>
              </w:rPr>
              <w:t>Mr. McDonald has served as a senior advisor to Crestview Partners, a private equity firm, since 2008. Mr.</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rPr>
              <w:t>McDonald served as Chief Executive Officer of VF Corporation, an apparel manufacturer, from 1996 to</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rPr>
              <w:t>January 2008 and as President from 1993 to 1996. He also served as a director of VF Corporation from</w:t>
            </w:r>
          </w:p>
        </w:tc>
        <w:tc>
          <w:tcPr>
            <w:tcW w:w="0" w:type="dxa"/>
            <w:vAlign w:val="bottom"/>
          </w:tcPr>
          <w:p>
            <w:pPr>
              <w:spacing w:after="0"/>
              <w:rPr>
                <w:sz w:val="1"/>
                <w:szCs w:val="1"/>
                <w:color w:val="auto"/>
              </w:rPr>
            </w:pPr>
          </w:p>
        </w:tc>
      </w:tr>
      <w:tr>
        <w:trPr>
          <w:trHeight w:val="200"/>
        </w:trPr>
        <w:tc>
          <w:tcPr>
            <w:tcW w:w="3340" w:type="dxa"/>
            <w:vAlign w:val="bottom"/>
          </w:tcPr>
          <w:p>
            <w:pPr>
              <w:spacing w:after="0"/>
              <w:rPr>
                <w:sz w:val="17"/>
                <w:szCs w:val="17"/>
                <w:color w:val="auto"/>
              </w:rPr>
            </w:pPr>
          </w:p>
        </w:tc>
        <w:tc>
          <w:tcPr>
            <w:tcW w:w="8080" w:type="dxa"/>
            <w:vAlign w:val="bottom"/>
          </w:tcPr>
          <w:p>
            <w:pPr>
              <w:ind w:left="200"/>
              <w:spacing w:after="0"/>
              <w:rPr>
                <w:sz w:val="20"/>
                <w:szCs w:val="20"/>
                <w:color w:val="auto"/>
              </w:rPr>
            </w:pPr>
            <w:r>
              <w:rPr>
                <w:rFonts w:ascii="Arial" w:cs="Arial" w:eastAsia="Arial" w:hAnsi="Arial"/>
                <w:sz w:val="17"/>
                <w:szCs w:val="17"/>
                <w:color w:val="auto"/>
              </w:rPr>
              <w:t>1993, and as Chairman from 1998 until he retired in August 2008.</w:t>
            </w:r>
          </w:p>
        </w:tc>
        <w:tc>
          <w:tcPr>
            <w:tcW w:w="0" w:type="dxa"/>
            <w:vAlign w:val="bottom"/>
          </w:tcPr>
          <w:p>
            <w:pPr>
              <w:spacing w:after="0"/>
              <w:rPr>
                <w:sz w:val="1"/>
                <w:szCs w:val="1"/>
                <w:color w:val="auto"/>
              </w:rPr>
            </w:pPr>
          </w:p>
        </w:tc>
      </w:tr>
      <w:tr>
        <w:trPr>
          <w:trHeight w:val="260"/>
        </w:trPr>
        <w:tc>
          <w:tcPr>
            <w:tcW w:w="3340" w:type="dxa"/>
            <w:vAlign w:val="bottom"/>
          </w:tcPr>
          <w:p>
            <w:pPr>
              <w:spacing w:after="0"/>
              <w:rPr>
                <w:sz w:val="22"/>
                <w:szCs w:val="22"/>
                <w:color w:val="auto"/>
              </w:rPr>
            </w:pPr>
          </w:p>
        </w:tc>
        <w:tc>
          <w:tcPr>
            <w:tcW w:w="8080" w:type="dxa"/>
            <w:vAlign w:val="bottom"/>
          </w:tcPr>
          <w:p>
            <w:pPr>
              <w:ind w:left="200"/>
              <w:spacing w:after="0"/>
              <w:rPr>
                <w:sz w:val="20"/>
                <w:szCs w:val="20"/>
                <w:color w:val="auto"/>
              </w:rPr>
            </w:pPr>
            <w:r>
              <w:rPr>
                <w:rFonts w:ascii="Arial" w:cs="Arial" w:eastAsia="Arial" w:hAnsi="Arial"/>
                <w:sz w:val="17"/>
                <w:szCs w:val="17"/>
                <w:i w:val="1"/>
                <w:iCs w:val="1"/>
                <w:color w:val="auto"/>
              </w:rPr>
              <w:t>Education:</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rPr>
              <w:t>Mr. McDonald received a Bachelor’s Degree in English from Davidson College and a Master of Business</w:t>
            </w:r>
          </w:p>
        </w:tc>
        <w:tc>
          <w:tcPr>
            <w:tcW w:w="0" w:type="dxa"/>
            <w:vAlign w:val="bottom"/>
          </w:tcPr>
          <w:p>
            <w:pPr>
              <w:spacing w:after="0"/>
              <w:rPr>
                <w:sz w:val="1"/>
                <w:szCs w:val="1"/>
                <w:color w:val="auto"/>
              </w:rPr>
            </w:pPr>
          </w:p>
        </w:tc>
      </w:tr>
      <w:tr>
        <w:trPr>
          <w:trHeight w:val="200"/>
        </w:trPr>
        <w:tc>
          <w:tcPr>
            <w:tcW w:w="3340" w:type="dxa"/>
            <w:vAlign w:val="bottom"/>
          </w:tcPr>
          <w:p>
            <w:pPr>
              <w:spacing w:after="0"/>
              <w:rPr>
                <w:sz w:val="17"/>
                <w:szCs w:val="17"/>
                <w:color w:val="auto"/>
              </w:rPr>
            </w:pPr>
          </w:p>
        </w:tc>
        <w:tc>
          <w:tcPr>
            <w:tcW w:w="8080" w:type="dxa"/>
            <w:vAlign w:val="bottom"/>
          </w:tcPr>
          <w:p>
            <w:pPr>
              <w:ind w:left="200"/>
              <w:spacing w:after="0"/>
              <w:rPr>
                <w:sz w:val="20"/>
                <w:szCs w:val="20"/>
                <w:color w:val="auto"/>
              </w:rPr>
            </w:pPr>
            <w:r>
              <w:rPr>
                <w:rFonts w:ascii="Arial" w:cs="Arial" w:eastAsia="Arial" w:hAnsi="Arial"/>
                <w:sz w:val="17"/>
                <w:szCs w:val="17"/>
                <w:color w:val="auto"/>
              </w:rPr>
              <w:t>Administration from Georgia State University.</w:t>
            </w:r>
          </w:p>
        </w:tc>
        <w:tc>
          <w:tcPr>
            <w:tcW w:w="0" w:type="dxa"/>
            <w:vAlign w:val="bottom"/>
          </w:tcPr>
          <w:p>
            <w:pPr>
              <w:spacing w:after="0"/>
              <w:rPr>
                <w:sz w:val="1"/>
                <w:szCs w:val="1"/>
                <w:color w:val="auto"/>
              </w:rPr>
            </w:pPr>
          </w:p>
        </w:tc>
      </w:tr>
      <w:tr>
        <w:trPr>
          <w:trHeight w:val="260"/>
        </w:trPr>
        <w:tc>
          <w:tcPr>
            <w:tcW w:w="3340" w:type="dxa"/>
            <w:vAlign w:val="bottom"/>
            <w:vMerge w:val="restart"/>
          </w:tcPr>
          <w:p>
            <w:pPr>
              <w:spacing w:after="0"/>
              <w:rPr>
                <w:sz w:val="20"/>
                <w:szCs w:val="20"/>
                <w:color w:val="auto"/>
              </w:rPr>
            </w:pPr>
            <w:r>
              <w:rPr>
                <w:rFonts w:ascii="Arial" w:cs="Arial" w:eastAsia="Arial" w:hAnsi="Arial"/>
                <w:sz w:val="17"/>
                <w:szCs w:val="17"/>
                <w:color w:val="auto"/>
              </w:rPr>
              <w:t>Mackey J. McDonald</w:t>
            </w:r>
          </w:p>
        </w:tc>
        <w:tc>
          <w:tcPr>
            <w:tcW w:w="8080" w:type="dxa"/>
            <w:vAlign w:val="bottom"/>
          </w:tcPr>
          <w:p>
            <w:pPr>
              <w:ind w:left="200"/>
              <w:spacing w:after="0"/>
              <w:rPr>
                <w:sz w:val="20"/>
                <w:szCs w:val="20"/>
                <w:color w:val="auto"/>
              </w:rPr>
            </w:pPr>
            <w:r>
              <w:rPr>
                <w:rFonts w:ascii="Arial" w:cs="Arial" w:eastAsia="Arial" w:hAnsi="Arial"/>
                <w:sz w:val="17"/>
                <w:szCs w:val="17"/>
                <w:i w:val="1"/>
                <w:iCs w:val="1"/>
                <w:color w:val="auto"/>
              </w:rPr>
              <w:t>Public Company Boards:</w:t>
            </w: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rPr>
              <w:t>Mr. McDonald is a director of Hyatt Hotels Corporation and Wells Fargo &amp; Company. Mr. McDonald was</w:t>
            </w:r>
          </w:p>
        </w:tc>
        <w:tc>
          <w:tcPr>
            <w:tcW w:w="0" w:type="dxa"/>
            <w:vAlign w:val="bottom"/>
          </w:tcPr>
          <w:p>
            <w:pPr>
              <w:spacing w:after="0"/>
              <w:rPr>
                <w:sz w:val="1"/>
                <w:szCs w:val="1"/>
                <w:color w:val="auto"/>
              </w:rPr>
            </w:pPr>
          </w:p>
        </w:tc>
      </w:tr>
      <w:tr>
        <w:trPr>
          <w:trHeight w:val="226"/>
        </w:trPr>
        <w:tc>
          <w:tcPr>
            <w:tcW w:w="3340" w:type="dxa"/>
            <w:vAlign w:val="bottom"/>
          </w:tcPr>
          <w:p>
            <w:pPr>
              <w:spacing w:after="0"/>
              <w:rPr>
                <w:sz w:val="20"/>
                <w:szCs w:val="20"/>
                <w:color w:val="auto"/>
              </w:rPr>
            </w:pPr>
            <w:r>
              <w:rPr>
                <w:rFonts w:ascii="Arial" w:cs="Arial" w:eastAsia="Arial" w:hAnsi="Arial"/>
                <w:sz w:val="17"/>
                <w:szCs w:val="17"/>
                <w:color w:val="auto"/>
              </w:rPr>
              <w:t>Senior Advisor, Crestview Partners</w:t>
            </w:r>
          </w:p>
        </w:tc>
        <w:tc>
          <w:tcPr>
            <w:tcW w:w="8080" w:type="dxa"/>
            <w:vAlign w:val="bottom"/>
          </w:tcPr>
          <w:p>
            <w:pPr>
              <w:ind w:left="200"/>
              <w:spacing w:after="0"/>
              <w:rPr>
                <w:sz w:val="20"/>
                <w:szCs w:val="20"/>
                <w:color w:val="auto"/>
              </w:rPr>
            </w:pPr>
            <w:r>
              <w:rPr>
                <w:rFonts w:ascii="Arial" w:cs="Arial" w:eastAsia="Arial" w:hAnsi="Arial"/>
                <w:sz w:val="17"/>
                <w:szCs w:val="17"/>
                <w:color w:val="auto"/>
              </w:rPr>
              <w:t>formerly a director of The Hershey Company, Tyco International, Ltd. and Wachovia Corporation.</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r>
              <w:rPr>
                <w:rFonts w:ascii="Arial" w:cs="Arial" w:eastAsia="Arial" w:hAnsi="Arial"/>
                <w:sz w:val="17"/>
                <w:szCs w:val="17"/>
                <w:color w:val="auto"/>
              </w:rPr>
              <w:t>Director since January 2010</w:t>
            </w:r>
          </w:p>
        </w:tc>
        <w:tc>
          <w:tcPr>
            <w:tcW w:w="8080" w:type="dxa"/>
            <w:vAlign w:val="bottom"/>
          </w:tcPr>
          <w:p>
            <w:pPr>
              <w:ind w:left="200"/>
              <w:spacing w:after="0"/>
              <w:rPr>
                <w:sz w:val="20"/>
                <w:szCs w:val="20"/>
                <w:color w:val="auto"/>
              </w:rPr>
            </w:pPr>
            <w:r>
              <w:rPr>
                <w:rFonts w:ascii="Arial" w:cs="Arial" w:eastAsia="Arial" w:hAnsi="Arial"/>
                <w:sz w:val="17"/>
                <w:szCs w:val="17"/>
                <w:i w:val="1"/>
                <w:iCs w:val="1"/>
                <w:color w:val="auto"/>
              </w:rPr>
              <w:t>Director Qualifications:</w:t>
            </w:r>
          </w:p>
        </w:tc>
        <w:tc>
          <w:tcPr>
            <w:tcW w:w="0" w:type="dxa"/>
            <w:vAlign w:val="bottom"/>
          </w:tcPr>
          <w:p>
            <w:pPr>
              <w:spacing w:after="0"/>
              <w:rPr>
                <w:sz w:val="1"/>
                <w:szCs w:val="1"/>
                <w:color w:val="auto"/>
              </w:rPr>
            </w:pPr>
          </w:p>
        </w:tc>
      </w:tr>
      <w:tr>
        <w:trPr>
          <w:trHeight w:val="192"/>
        </w:trPr>
        <w:tc>
          <w:tcPr>
            <w:tcW w:w="3340" w:type="dxa"/>
            <w:vAlign w:val="bottom"/>
            <w:vMerge w:val="restart"/>
          </w:tcPr>
          <w:p>
            <w:pPr>
              <w:spacing w:after="0"/>
              <w:rPr>
                <w:sz w:val="20"/>
                <w:szCs w:val="20"/>
                <w:color w:val="auto"/>
              </w:rPr>
            </w:pPr>
            <w:r>
              <w:rPr>
                <w:rFonts w:ascii="Arial" w:cs="Arial" w:eastAsia="Arial" w:hAnsi="Arial"/>
                <w:sz w:val="17"/>
                <w:szCs w:val="17"/>
                <w:color w:val="auto"/>
              </w:rPr>
              <w:t>Committees:</w:t>
            </w:r>
          </w:p>
        </w:tc>
        <w:tc>
          <w:tcPr>
            <w:tcW w:w="8080" w:type="dxa"/>
            <w:vAlign w:val="bottom"/>
          </w:tcPr>
          <w:p>
            <w:pPr>
              <w:ind w:left="520"/>
              <w:spacing w:after="0" w:line="192" w:lineRule="exact"/>
              <w:rPr>
                <w:sz w:val="20"/>
                <w:szCs w:val="20"/>
                <w:color w:val="auto"/>
              </w:rPr>
            </w:pPr>
            <w:r>
              <w:rPr>
                <w:rFonts w:ascii="Arial" w:cs="Arial" w:eastAsia="Arial" w:hAnsi="Arial"/>
                <w:sz w:val="17"/>
                <w:szCs w:val="17"/>
                <w:color w:val="auto"/>
              </w:rPr>
              <w:t>•  Leadership, Operating and Global Business experience – former President and Chief Executive</w:t>
            </w:r>
          </w:p>
        </w:tc>
        <w:tc>
          <w:tcPr>
            <w:tcW w:w="0" w:type="dxa"/>
            <w:vAlign w:val="bottom"/>
          </w:tcPr>
          <w:p>
            <w:pPr>
              <w:spacing w:after="0"/>
              <w:rPr>
                <w:sz w:val="1"/>
                <w:szCs w:val="1"/>
                <w:color w:val="auto"/>
              </w:rPr>
            </w:pPr>
          </w:p>
        </w:tc>
      </w:tr>
      <w:tr>
        <w:trPr>
          <w:trHeight w:val="111"/>
        </w:trPr>
        <w:tc>
          <w:tcPr>
            <w:tcW w:w="3340" w:type="dxa"/>
            <w:vAlign w:val="bottom"/>
            <w:vMerge w:val="continue"/>
          </w:tcPr>
          <w:p>
            <w:pPr>
              <w:spacing w:after="0"/>
              <w:rPr>
                <w:sz w:val="9"/>
                <w:szCs w:val="9"/>
                <w:color w:val="auto"/>
              </w:rPr>
            </w:pPr>
          </w:p>
        </w:tc>
        <w:tc>
          <w:tcPr>
            <w:tcW w:w="8080" w:type="dxa"/>
            <w:vAlign w:val="bottom"/>
            <w:vMerge w:val="restart"/>
          </w:tcPr>
          <w:p>
            <w:pPr>
              <w:ind w:left="820"/>
              <w:spacing w:after="0" w:line="192" w:lineRule="exact"/>
              <w:rPr>
                <w:sz w:val="20"/>
                <w:szCs w:val="20"/>
                <w:color w:val="auto"/>
              </w:rPr>
            </w:pPr>
            <w:r>
              <w:rPr>
                <w:rFonts w:ascii="Arial" w:cs="Arial" w:eastAsia="Arial" w:hAnsi="Arial"/>
                <w:sz w:val="17"/>
                <w:szCs w:val="17"/>
                <w:color w:val="auto"/>
              </w:rPr>
              <w:t>Officer of a global consumer products company</w:t>
            </w:r>
          </w:p>
        </w:tc>
        <w:tc>
          <w:tcPr>
            <w:tcW w:w="0" w:type="dxa"/>
            <w:vAlign w:val="bottom"/>
          </w:tcPr>
          <w:p>
            <w:pPr>
              <w:spacing w:after="0"/>
              <w:rPr>
                <w:sz w:val="1"/>
                <w:szCs w:val="1"/>
                <w:color w:val="auto"/>
              </w:rPr>
            </w:pPr>
          </w:p>
        </w:tc>
      </w:tr>
      <w:tr>
        <w:trPr>
          <w:trHeight w:val="81"/>
        </w:trPr>
        <w:tc>
          <w:tcPr>
            <w:tcW w:w="3340" w:type="dxa"/>
            <w:vAlign w:val="bottom"/>
            <w:vMerge w:val="restart"/>
          </w:tcPr>
          <w:p>
            <w:pPr>
              <w:ind w:left="420"/>
              <w:spacing w:after="0"/>
              <w:rPr>
                <w:sz w:val="20"/>
                <w:szCs w:val="20"/>
                <w:color w:val="auto"/>
              </w:rPr>
            </w:pPr>
            <w:r>
              <w:rPr>
                <w:rFonts w:ascii="Arial" w:cs="Arial" w:eastAsia="Arial" w:hAnsi="Arial"/>
                <w:sz w:val="17"/>
                <w:szCs w:val="17"/>
                <w:color w:val="auto"/>
              </w:rPr>
              <w:t>• Audit</w:t>
            </w: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3340" w:type="dxa"/>
            <w:vAlign w:val="bottom"/>
            <w:vMerge w:val="continue"/>
          </w:tcPr>
          <w:p>
            <w:pPr>
              <w:spacing w:after="0"/>
              <w:rPr>
                <w:sz w:val="15"/>
                <w:szCs w:val="15"/>
                <w:color w:val="auto"/>
              </w:rPr>
            </w:pPr>
          </w:p>
        </w:tc>
        <w:tc>
          <w:tcPr>
            <w:tcW w:w="8080" w:type="dxa"/>
            <w:vAlign w:val="bottom"/>
          </w:tcPr>
          <w:p>
            <w:pPr>
              <w:ind w:left="520"/>
              <w:spacing w:after="0" w:line="179" w:lineRule="exact"/>
              <w:rPr>
                <w:sz w:val="20"/>
                <w:szCs w:val="20"/>
                <w:color w:val="auto"/>
              </w:rPr>
            </w:pPr>
            <w:r>
              <w:rPr>
                <w:rFonts w:ascii="Arial" w:cs="Arial" w:eastAsia="Arial" w:hAnsi="Arial"/>
                <w:sz w:val="17"/>
                <w:szCs w:val="17"/>
                <w:color w:val="auto"/>
              </w:rPr>
              <w:t>•  Industry Knowledge and Public Company Board and Corporate Governance experience – current</w:t>
            </w:r>
          </w:p>
        </w:tc>
        <w:tc>
          <w:tcPr>
            <w:tcW w:w="0" w:type="dxa"/>
            <w:vAlign w:val="bottom"/>
          </w:tcPr>
          <w:p>
            <w:pPr>
              <w:spacing w:after="0"/>
              <w:rPr>
                <w:sz w:val="1"/>
                <w:szCs w:val="1"/>
                <w:color w:val="auto"/>
              </w:rPr>
            </w:pPr>
          </w:p>
        </w:tc>
      </w:tr>
      <w:tr>
        <w:trPr>
          <w:trHeight w:val="205"/>
        </w:trPr>
        <w:tc>
          <w:tcPr>
            <w:tcW w:w="3340" w:type="dxa"/>
            <w:vAlign w:val="bottom"/>
          </w:tcPr>
          <w:p>
            <w:pPr>
              <w:ind w:left="420"/>
              <w:spacing w:after="0"/>
              <w:rPr>
                <w:sz w:val="20"/>
                <w:szCs w:val="20"/>
                <w:color w:val="auto"/>
              </w:rPr>
            </w:pPr>
            <w:r>
              <w:rPr>
                <w:rFonts w:ascii="Arial" w:cs="Arial" w:eastAsia="Arial" w:hAnsi="Arial"/>
                <w:sz w:val="17"/>
                <w:szCs w:val="17"/>
                <w:color w:val="auto"/>
              </w:rPr>
              <w:t>• Finance</w:t>
            </w:r>
          </w:p>
        </w:tc>
        <w:tc>
          <w:tcPr>
            <w:tcW w:w="8080" w:type="dxa"/>
            <w:vAlign w:val="bottom"/>
          </w:tcPr>
          <w:p>
            <w:pPr>
              <w:ind w:left="820"/>
              <w:spacing w:after="0"/>
              <w:rPr>
                <w:sz w:val="20"/>
                <w:szCs w:val="20"/>
                <w:color w:val="auto"/>
              </w:rPr>
            </w:pPr>
            <w:r>
              <w:rPr>
                <w:rFonts w:ascii="Arial" w:cs="Arial" w:eastAsia="Arial" w:hAnsi="Arial"/>
                <w:sz w:val="17"/>
                <w:szCs w:val="17"/>
                <w:color w:val="auto"/>
              </w:rPr>
              <w:t>and former director of several global public companies, including companies in the food and</w:t>
            </w:r>
          </w:p>
        </w:tc>
        <w:tc>
          <w:tcPr>
            <w:tcW w:w="0" w:type="dxa"/>
            <w:vAlign w:val="bottom"/>
          </w:tcPr>
          <w:p>
            <w:pPr>
              <w:spacing w:after="0"/>
              <w:rPr>
                <w:sz w:val="1"/>
                <w:szCs w:val="1"/>
                <w:color w:val="auto"/>
              </w:rPr>
            </w:pPr>
          </w:p>
        </w:tc>
      </w:tr>
      <w:tr>
        <w:trPr>
          <w:trHeight w:val="200"/>
        </w:trPr>
        <w:tc>
          <w:tcPr>
            <w:tcW w:w="3340" w:type="dxa"/>
            <w:vAlign w:val="bottom"/>
            <w:vMerge w:val="restart"/>
          </w:tcPr>
          <w:p>
            <w:pPr>
              <w:spacing w:after="0"/>
              <w:rPr>
                <w:sz w:val="20"/>
                <w:szCs w:val="20"/>
                <w:color w:val="auto"/>
              </w:rPr>
            </w:pPr>
            <w:r>
              <w:rPr>
                <w:rFonts w:ascii="Arial" w:cs="Arial" w:eastAsia="Arial" w:hAnsi="Arial"/>
                <w:sz w:val="17"/>
                <w:szCs w:val="17"/>
                <w:color w:val="auto"/>
              </w:rPr>
              <w:t>Age: 65</w:t>
            </w:r>
          </w:p>
        </w:tc>
        <w:tc>
          <w:tcPr>
            <w:tcW w:w="8080" w:type="dxa"/>
            <w:vAlign w:val="bottom"/>
          </w:tcPr>
          <w:p>
            <w:pPr>
              <w:ind w:left="820"/>
              <w:spacing w:after="0"/>
              <w:rPr>
                <w:sz w:val="20"/>
                <w:szCs w:val="20"/>
                <w:color w:val="auto"/>
              </w:rPr>
            </w:pPr>
            <w:r>
              <w:rPr>
                <w:rFonts w:ascii="Arial" w:cs="Arial" w:eastAsia="Arial" w:hAnsi="Arial"/>
                <w:sz w:val="17"/>
                <w:szCs w:val="17"/>
                <w:color w:val="auto"/>
              </w:rPr>
              <w:t>consumer products industries</w:t>
            </w:r>
          </w:p>
        </w:tc>
        <w:tc>
          <w:tcPr>
            <w:tcW w:w="0" w:type="dxa"/>
            <w:vAlign w:val="bottom"/>
          </w:tcPr>
          <w:p>
            <w:pPr>
              <w:spacing w:after="0"/>
              <w:rPr>
                <w:sz w:val="1"/>
                <w:szCs w:val="1"/>
                <w:color w:val="auto"/>
              </w:rPr>
            </w:pPr>
          </w:p>
        </w:tc>
      </w:tr>
      <w:tr>
        <w:trPr>
          <w:trHeight w:val="65"/>
        </w:trPr>
        <w:tc>
          <w:tcPr>
            <w:tcW w:w="3340" w:type="dxa"/>
            <w:vAlign w:val="bottom"/>
            <w:tcBorders>
              <w:bottom w:val="single" w:sz="8" w:color="auto"/>
            </w:tcBorders>
            <w:vMerge w:val="continue"/>
          </w:tcPr>
          <w:p>
            <w:pPr>
              <w:spacing w:after="0"/>
              <w:rPr>
                <w:sz w:val="5"/>
                <w:szCs w:val="5"/>
                <w:color w:val="auto"/>
              </w:rPr>
            </w:pPr>
          </w:p>
        </w:tc>
        <w:tc>
          <w:tcPr>
            <w:tcW w:w="8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340" w:type="dxa"/>
            <w:vAlign w:val="bottom"/>
          </w:tcPr>
          <w:p>
            <w:pPr>
              <w:spacing w:after="0"/>
              <w:rPr>
                <w:sz w:val="24"/>
                <w:szCs w:val="24"/>
                <w:color w:val="auto"/>
              </w:rPr>
            </w:pPr>
          </w:p>
        </w:tc>
        <w:tc>
          <w:tcPr>
            <w:tcW w:w="8080" w:type="dxa"/>
            <w:vAlign w:val="bottom"/>
          </w:tcPr>
          <w:p>
            <w:pPr>
              <w:ind w:left="200"/>
              <w:spacing w:after="0"/>
              <w:rPr>
                <w:sz w:val="20"/>
                <w:szCs w:val="20"/>
                <w:color w:val="auto"/>
              </w:rPr>
            </w:pPr>
            <w:r>
              <w:rPr>
                <w:rFonts w:ascii="Arial" w:cs="Arial" w:eastAsia="Arial" w:hAnsi="Arial"/>
                <w:sz w:val="17"/>
                <w:szCs w:val="17"/>
                <w:i w:val="1"/>
                <w:iCs w:val="1"/>
                <w:color w:val="auto"/>
              </w:rPr>
              <w:t>Professional Experience:</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rPr>
              <w:t>Mr. Mesquita has served as Group President – New Business Creation and Innovation of The Procter &amp;</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rPr>
              <w:t>Gamble Company, a global marketer of consumer products, since March 14, 2012 and served as Group</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rPr>
              <w:t>President - Special Assignment from January 1, 2012 until March 13, 2012. Prior to that, he served as</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w w:val="98"/>
              </w:rPr>
              <w:t>Group President, Global Fabric Care from 2007 to 2011 and as President, Global Home Care from 2001 to</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w w:val="99"/>
              </w:rPr>
              <w:t>2007, also serving as President of Commercial Products and President of P&amp;G Professional from 2006 to</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rPr>
              <w:t>2007. Mr. Mesquita has been employed continuously by The Procter &amp; Gamble Company, in various</w:t>
            </w:r>
          </w:p>
        </w:tc>
        <w:tc>
          <w:tcPr>
            <w:tcW w:w="0" w:type="dxa"/>
            <w:vAlign w:val="bottom"/>
          </w:tcPr>
          <w:p>
            <w:pPr>
              <w:spacing w:after="0"/>
              <w:rPr>
                <w:sz w:val="1"/>
                <w:szCs w:val="1"/>
                <w:color w:val="auto"/>
              </w:rPr>
            </w:pPr>
          </w:p>
        </w:tc>
      </w:tr>
      <w:tr>
        <w:trPr>
          <w:trHeight w:val="200"/>
        </w:trPr>
        <w:tc>
          <w:tcPr>
            <w:tcW w:w="3340" w:type="dxa"/>
            <w:vAlign w:val="bottom"/>
          </w:tcPr>
          <w:p>
            <w:pPr>
              <w:spacing w:after="0"/>
              <w:rPr>
                <w:sz w:val="17"/>
                <w:szCs w:val="17"/>
                <w:color w:val="auto"/>
              </w:rPr>
            </w:pPr>
          </w:p>
        </w:tc>
        <w:tc>
          <w:tcPr>
            <w:tcW w:w="8080" w:type="dxa"/>
            <w:vAlign w:val="bottom"/>
          </w:tcPr>
          <w:p>
            <w:pPr>
              <w:ind w:left="200"/>
              <w:spacing w:after="0"/>
              <w:rPr>
                <w:sz w:val="20"/>
                <w:szCs w:val="20"/>
                <w:color w:val="auto"/>
              </w:rPr>
            </w:pPr>
            <w:r>
              <w:rPr>
                <w:rFonts w:ascii="Arial" w:cs="Arial" w:eastAsia="Arial" w:hAnsi="Arial"/>
                <w:sz w:val="17"/>
                <w:szCs w:val="17"/>
                <w:color w:val="auto"/>
              </w:rPr>
              <w:t>marketing and leadership capacities, since 1984.</w:t>
            </w:r>
          </w:p>
        </w:tc>
        <w:tc>
          <w:tcPr>
            <w:tcW w:w="0" w:type="dxa"/>
            <w:vAlign w:val="bottom"/>
          </w:tcPr>
          <w:p>
            <w:pPr>
              <w:spacing w:after="0"/>
              <w:rPr>
                <w:sz w:val="1"/>
                <w:szCs w:val="1"/>
                <w:color w:val="auto"/>
              </w:rPr>
            </w:pPr>
          </w:p>
        </w:tc>
      </w:tr>
      <w:tr>
        <w:trPr>
          <w:trHeight w:val="260"/>
        </w:trPr>
        <w:tc>
          <w:tcPr>
            <w:tcW w:w="3340" w:type="dxa"/>
            <w:vAlign w:val="bottom"/>
          </w:tcPr>
          <w:p>
            <w:pPr>
              <w:spacing w:after="0"/>
              <w:rPr>
                <w:sz w:val="22"/>
                <w:szCs w:val="22"/>
                <w:color w:val="auto"/>
              </w:rPr>
            </w:pPr>
          </w:p>
        </w:tc>
        <w:tc>
          <w:tcPr>
            <w:tcW w:w="8080" w:type="dxa"/>
            <w:vAlign w:val="bottom"/>
          </w:tcPr>
          <w:p>
            <w:pPr>
              <w:ind w:left="200"/>
              <w:spacing w:after="0"/>
              <w:rPr>
                <w:sz w:val="20"/>
                <w:szCs w:val="20"/>
                <w:color w:val="auto"/>
              </w:rPr>
            </w:pPr>
            <w:r>
              <w:rPr>
                <w:rFonts w:ascii="Arial" w:cs="Arial" w:eastAsia="Arial" w:hAnsi="Arial"/>
                <w:sz w:val="17"/>
                <w:szCs w:val="17"/>
                <w:i w:val="1"/>
                <w:iCs w:val="1"/>
                <w:color w:val="auto"/>
              </w:rPr>
              <w:t>Education:</w:t>
            </w:r>
          </w:p>
        </w:tc>
        <w:tc>
          <w:tcPr>
            <w:tcW w:w="0" w:type="dxa"/>
            <w:vAlign w:val="bottom"/>
          </w:tcPr>
          <w:p>
            <w:pPr>
              <w:spacing w:after="0"/>
              <w:rPr>
                <w:sz w:val="1"/>
                <w:szCs w:val="1"/>
                <w:color w:val="auto"/>
              </w:rPr>
            </w:pPr>
          </w:p>
        </w:tc>
      </w:tr>
      <w:tr>
        <w:trPr>
          <w:trHeight w:val="192"/>
        </w:trPr>
        <w:tc>
          <w:tcPr>
            <w:tcW w:w="3340" w:type="dxa"/>
            <w:vAlign w:val="bottom"/>
          </w:tcPr>
          <w:p>
            <w:pPr>
              <w:spacing w:after="0" w:line="192" w:lineRule="exact"/>
              <w:rPr>
                <w:sz w:val="20"/>
                <w:szCs w:val="20"/>
                <w:color w:val="auto"/>
              </w:rPr>
            </w:pPr>
            <w:r>
              <w:rPr>
                <w:rFonts w:ascii="Arial" w:cs="Arial" w:eastAsia="Arial" w:hAnsi="Arial"/>
                <w:sz w:val="17"/>
                <w:szCs w:val="17"/>
                <w:color w:val="auto"/>
              </w:rPr>
              <w:t>Jorge S. Mesquita</w:t>
            </w:r>
          </w:p>
        </w:tc>
        <w:tc>
          <w:tcPr>
            <w:tcW w:w="8080" w:type="dxa"/>
            <w:vAlign w:val="bottom"/>
          </w:tcPr>
          <w:p>
            <w:pPr>
              <w:ind w:left="200"/>
              <w:spacing w:after="0" w:line="192" w:lineRule="exact"/>
              <w:rPr>
                <w:sz w:val="20"/>
                <w:szCs w:val="20"/>
                <w:color w:val="auto"/>
              </w:rPr>
            </w:pPr>
            <w:r>
              <w:rPr>
                <w:rFonts w:ascii="Arial" w:cs="Arial" w:eastAsia="Arial" w:hAnsi="Arial"/>
                <w:sz w:val="17"/>
                <w:szCs w:val="17"/>
                <w:color w:val="auto"/>
              </w:rPr>
              <w:t>Mr. Mesquita received a Bachelor’s Degree in Chemical Engineering from the Florida Institute of</w:t>
            </w:r>
          </w:p>
        </w:tc>
        <w:tc>
          <w:tcPr>
            <w:tcW w:w="0" w:type="dxa"/>
            <w:vAlign w:val="bottom"/>
          </w:tcPr>
          <w:p>
            <w:pPr>
              <w:spacing w:after="0"/>
              <w:rPr>
                <w:sz w:val="1"/>
                <w:szCs w:val="1"/>
                <w:color w:val="auto"/>
              </w:rPr>
            </w:pPr>
          </w:p>
        </w:tc>
      </w:tr>
      <w:tr>
        <w:trPr>
          <w:trHeight w:val="200"/>
        </w:trPr>
        <w:tc>
          <w:tcPr>
            <w:tcW w:w="3340" w:type="dxa"/>
            <w:vAlign w:val="bottom"/>
            <w:vMerge w:val="restart"/>
          </w:tcPr>
          <w:p>
            <w:pPr>
              <w:spacing w:after="0"/>
              <w:rPr>
                <w:sz w:val="20"/>
                <w:szCs w:val="20"/>
                <w:color w:val="auto"/>
              </w:rPr>
            </w:pPr>
            <w:r>
              <w:rPr>
                <w:rFonts w:ascii="Arial" w:cs="Arial" w:eastAsia="Arial" w:hAnsi="Arial"/>
                <w:sz w:val="17"/>
                <w:szCs w:val="17"/>
                <w:color w:val="auto"/>
              </w:rPr>
              <w:t>Group President – New Business Creation</w:t>
            </w:r>
          </w:p>
        </w:tc>
        <w:tc>
          <w:tcPr>
            <w:tcW w:w="8080" w:type="dxa"/>
            <w:vAlign w:val="bottom"/>
          </w:tcPr>
          <w:p>
            <w:pPr>
              <w:ind w:left="200"/>
              <w:spacing w:after="0"/>
              <w:rPr>
                <w:sz w:val="20"/>
                <w:szCs w:val="20"/>
                <w:color w:val="auto"/>
              </w:rPr>
            </w:pPr>
            <w:r>
              <w:rPr>
                <w:rFonts w:ascii="Arial" w:cs="Arial" w:eastAsia="Arial" w:hAnsi="Arial"/>
                <w:sz w:val="17"/>
                <w:szCs w:val="17"/>
                <w:color w:val="auto"/>
              </w:rPr>
              <w:t>Technology.</w:t>
            </w:r>
          </w:p>
        </w:tc>
        <w:tc>
          <w:tcPr>
            <w:tcW w:w="0" w:type="dxa"/>
            <w:vAlign w:val="bottom"/>
          </w:tcPr>
          <w:p>
            <w:pPr>
              <w:spacing w:after="0"/>
              <w:rPr>
                <w:sz w:val="1"/>
                <w:szCs w:val="1"/>
                <w:color w:val="auto"/>
              </w:rPr>
            </w:pPr>
          </w:p>
        </w:tc>
      </w:tr>
      <w:tr>
        <w:trPr>
          <w:trHeight w:val="94"/>
        </w:trPr>
        <w:tc>
          <w:tcPr>
            <w:tcW w:w="3340" w:type="dxa"/>
            <w:vAlign w:val="bottom"/>
            <w:vMerge w:val="continue"/>
          </w:tcPr>
          <w:p>
            <w:pPr>
              <w:spacing w:after="0"/>
              <w:rPr>
                <w:sz w:val="8"/>
                <w:szCs w:val="8"/>
                <w:color w:val="auto"/>
              </w:rPr>
            </w:pPr>
          </w:p>
        </w:tc>
        <w:tc>
          <w:tcPr>
            <w:tcW w:w="8080" w:type="dxa"/>
            <w:vAlign w:val="bottom"/>
            <w:vMerge w:val="restart"/>
          </w:tcPr>
          <w:p>
            <w:pPr>
              <w:ind w:left="200"/>
              <w:spacing w:after="0"/>
              <w:rPr>
                <w:sz w:val="20"/>
                <w:szCs w:val="20"/>
                <w:color w:val="auto"/>
              </w:rPr>
            </w:pPr>
            <w:r>
              <w:rPr>
                <w:rFonts w:ascii="Arial" w:cs="Arial" w:eastAsia="Arial" w:hAnsi="Arial"/>
                <w:sz w:val="17"/>
                <w:szCs w:val="17"/>
                <w:i w:val="1"/>
                <w:iCs w:val="1"/>
                <w:color w:val="auto"/>
              </w:rPr>
              <w:t>Director Qualifications:</w:t>
            </w:r>
          </w:p>
        </w:tc>
        <w:tc>
          <w:tcPr>
            <w:tcW w:w="0" w:type="dxa"/>
            <w:vAlign w:val="bottom"/>
          </w:tcPr>
          <w:p>
            <w:pPr>
              <w:spacing w:after="0"/>
              <w:rPr>
                <w:sz w:val="1"/>
                <w:szCs w:val="1"/>
                <w:color w:val="auto"/>
              </w:rPr>
            </w:pPr>
          </w:p>
        </w:tc>
      </w:tr>
      <w:tr>
        <w:trPr>
          <w:trHeight w:val="166"/>
        </w:trPr>
        <w:tc>
          <w:tcPr>
            <w:tcW w:w="3340" w:type="dxa"/>
            <w:vAlign w:val="bottom"/>
          </w:tcPr>
          <w:p>
            <w:pPr>
              <w:spacing w:after="0" w:line="167" w:lineRule="exact"/>
              <w:rPr>
                <w:sz w:val="20"/>
                <w:szCs w:val="20"/>
                <w:color w:val="auto"/>
              </w:rPr>
            </w:pPr>
            <w:r>
              <w:rPr>
                <w:rFonts w:ascii="Arial" w:cs="Arial" w:eastAsia="Arial" w:hAnsi="Arial"/>
                <w:sz w:val="17"/>
                <w:szCs w:val="17"/>
                <w:color w:val="auto"/>
              </w:rPr>
              <w:t>and Innovation, The Procter &amp;</w:t>
            </w:r>
          </w:p>
        </w:tc>
        <w:tc>
          <w:tcPr>
            <w:tcW w:w="8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line="192" w:lineRule="exact"/>
              <w:rPr>
                <w:sz w:val="20"/>
                <w:szCs w:val="20"/>
                <w:color w:val="auto"/>
              </w:rPr>
            </w:pPr>
            <w:r>
              <w:rPr>
                <w:rFonts w:ascii="Arial" w:cs="Arial" w:eastAsia="Arial" w:hAnsi="Arial"/>
                <w:sz w:val="17"/>
                <w:szCs w:val="17"/>
                <w:color w:val="auto"/>
              </w:rPr>
              <w:t>Gamble Company</w:t>
            </w:r>
          </w:p>
        </w:tc>
        <w:tc>
          <w:tcPr>
            <w:tcW w:w="8080" w:type="dxa"/>
            <w:vAlign w:val="bottom"/>
          </w:tcPr>
          <w:p>
            <w:pPr>
              <w:ind w:left="620"/>
              <w:spacing w:after="0" w:line="192" w:lineRule="exact"/>
              <w:rPr>
                <w:sz w:val="20"/>
                <w:szCs w:val="20"/>
                <w:color w:val="auto"/>
              </w:rPr>
            </w:pPr>
            <w:r>
              <w:rPr>
                <w:rFonts w:ascii="Arial" w:cs="Arial" w:eastAsia="Arial" w:hAnsi="Arial"/>
                <w:sz w:val="17"/>
                <w:szCs w:val="17"/>
                <w:color w:val="auto"/>
                <w:w w:val="98"/>
              </w:rPr>
              <w:t>• Leadership, Operating and Global Business experience – current Group President of major division</w:t>
            </w:r>
          </w:p>
        </w:tc>
        <w:tc>
          <w:tcPr>
            <w:tcW w:w="0" w:type="dxa"/>
            <w:vAlign w:val="bottom"/>
          </w:tcPr>
          <w:p>
            <w:pPr>
              <w:spacing w:after="0"/>
              <w:rPr>
                <w:sz w:val="1"/>
                <w:szCs w:val="1"/>
                <w:color w:val="auto"/>
              </w:rPr>
            </w:pPr>
          </w:p>
        </w:tc>
      </w:tr>
      <w:tr>
        <w:trPr>
          <w:trHeight w:val="192"/>
        </w:trPr>
        <w:tc>
          <w:tcPr>
            <w:tcW w:w="3340" w:type="dxa"/>
            <w:vAlign w:val="bottom"/>
            <w:vMerge w:val="restart"/>
          </w:tcPr>
          <w:p>
            <w:pPr>
              <w:spacing w:after="0"/>
              <w:rPr>
                <w:sz w:val="20"/>
                <w:szCs w:val="20"/>
                <w:color w:val="auto"/>
              </w:rPr>
            </w:pPr>
            <w:r>
              <w:rPr>
                <w:rFonts w:ascii="Arial" w:cs="Arial" w:eastAsia="Arial" w:hAnsi="Arial"/>
                <w:sz w:val="17"/>
                <w:szCs w:val="17"/>
                <w:color w:val="auto"/>
              </w:rPr>
              <w:t>New Nominee</w:t>
            </w:r>
          </w:p>
        </w:tc>
        <w:tc>
          <w:tcPr>
            <w:tcW w:w="8080" w:type="dxa"/>
            <w:vAlign w:val="bottom"/>
          </w:tcPr>
          <w:p>
            <w:pPr>
              <w:ind w:left="820"/>
              <w:spacing w:after="0" w:line="192" w:lineRule="exact"/>
              <w:rPr>
                <w:sz w:val="20"/>
                <w:szCs w:val="20"/>
                <w:color w:val="auto"/>
              </w:rPr>
            </w:pPr>
            <w:r>
              <w:rPr>
                <w:rFonts w:ascii="Arial" w:cs="Arial" w:eastAsia="Arial" w:hAnsi="Arial"/>
                <w:sz w:val="17"/>
                <w:szCs w:val="17"/>
                <w:color w:val="auto"/>
              </w:rPr>
              <w:t>of global marketer of consumer products</w:t>
            </w:r>
          </w:p>
        </w:tc>
        <w:tc>
          <w:tcPr>
            <w:tcW w:w="0" w:type="dxa"/>
            <w:vAlign w:val="bottom"/>
          </w:tcPr>
          <w:p>
            <w:pPr>
              <w:spacing w:after="0"/>
              <w:rPr>
                <w:sz w:val="1"/>
                <w:szCs w:val="1"/>
                <w:color w:val="auto"/>
              </w:rPr>
            </w:pPr>
          </w:p>
        </w:tc>
      </w:tr>
      <w:tr>
        <w:trPr>
          <w:trHeight w:val="111"/>
        </w:trPr>
        <w:tc>
          <w:tcPr>
            <w:tcW w:w="3340" w:type="dxa"/>
            <w:vAlign w:val="bottom"/>
            <w:vMerge w:val="continue"/>
          </w:tcPr>
          <w:p>
            <w:pPr>
              <w:spacing w:after="0"/>
              <w:rPr>
                <w:sz w:val="9"/>
                <w:szCs w:val="9"/>
                <w:color w:val="auto"/>
              </w:rPr>
            </w:pPr>
          </w:p>
        </w:tc>
        <w:tc>
          <w:tcPr>
            <w:tcW w:w="8080" w:type="dxa"/>
            <w:vAlign w:val="bottom"/>
            <w:vMerge w:val="restart"/>
          </w:tcPr>
          <w:p>
            <w:pPr>
              <w:ind w:left="620"/>
              <w:spacing w:after="0" w:line="192" w:lineRule="exact"/>
              <w:rPr>
                <w:sz w:val="20"/>
                <w:szCs w:val="20"/>
                <w:color w:val="auto"/>
              </w:rPr>
            </w:pPr>
            <w:r>
              <w:rPr>
                <w:rFonts w:ascii="Arial" w:cs="Arial" w:eastAsia="Arial" w:hAnsi="Arial"/>
                <w:sz w:val="17"/>
                <w:szCs w:val="17"/>
                <w:color w:val="auto"/>
              </w:rPr>
              <w:t>• Industry Knowledge and Marketing experience – former President of major divisions of global</w:t>
            </w:r>
          </w:p>
        </w:tc>
        <w:tc>
          <w:tcPr>
            <w:tcW w:w="0" w:type="dxa"/>
            <w:vAlign w:val="bottom"/>
          </w:tcPr>
          <w:p>
            <w:pPr>
              <w:spacing w:after="0"/>
              <w:rPr>
                <w:sz w:val="1"/>
                <w:szCs w:val="1"/>
                <w:color w:val="auto"/>
              </w:rPr>
            </w:pPr>
          </w:p>
        </w:tc>
      </w:tr>
      <w:tr>
        <w:trPr>
          <w:trHeight w:val="81"/>
        </w:trPr>
        <w:tc>
          <w:tcPr>
            <w:tcW w:w="3340" w:type="dxa"/>
            <w:vAlign w:val="bottom"/>
            <w:vMerge w:val="restart"/>
          </w:tcPr>
          <w:p>
            <w:pPr>
              <w:spacing w:after="0"/>
              <w:rPr>
                <w:sz w:val="20"/>
                <w:szCs w:val="20"/>
                <w:color w:val="auto"/>
              </w:rPr>
            </w:pPr>
            <w:r>
              <w:rPr>
                <w:rFonts w:ascii="Arial" w:cs="Arial" w:eastAsia="Arial" w:hAnsi="Arial"/>
                <w:sz w:val="17"/>
                <w:szCs w:val="17"/>
                <w:color w:val="auto"/>
              </w:rPr>
              <w:t>Age: 50</w:t>
            </w: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3340" w:type="dxa"/>
            <w:vAlign w:val="bottom"/>
            <w:tcBorders>
              <w:bottom w:val="single" w:sz="8" w:color="auto"/>
            </w:tcBorders>
            <w:vMerge w:val="continue"/>
          </w:tcPr>
          <w:p>
            <w:pPr>
              <w:spacing w:after="0"/>
              <w:rPr>
                <w:sz w:val="17"/>
                <w:szCs w:val="17"/>
                <w:color w:val="auto"/>
              </w:rPr>
            </w:pPr>
          </w:p>
        </w:tc>
        <w:tc>
          <w:tcPr>
            <w:tcW w:w="808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marketer of consumer products</w:t>
            </w:r>
          </w:p>
        </w:tc>
        <w:tc>
          <w:tcPr>
            <w:tcW w:w="0" w:type="dxa"/>
            <w:vAlign w:val="bottom"/>
          </w:tcPr>
          <w:p>
            <w:pPr>
              <w:spacing w:after="0"/>
              <w:rPr>
                <w:sz w:val="1"/>
                <w:szCs w:val="1"/>
                <w:color w:val="auto"/>
              </w:rPr>
            </w:pPr>
          </w:p>
        </w:tc>
      </w:tr>
      <w:tr>
        <w:trPr>
          <w:trHeight w:val="338"/>
        </w:trPr>
        <w:tc>
          <w:tcPr>
            <w:tcW w:w="3340" w:type="dxa"/>
            <w:vAlign w:val="bottom"/>
          </w:tcPr>
          <w:p>
            <w:pPr>
              <w:spacing w:after="0"/>
              <w:rPr>
                <w:sz w:val="24"/>
                <w:szCs w:val="24"/>
                <w:color w:val="auto"/>
              </w:rPr>
            </w:pPr>
          </w:p>
        </w:tc>
        <w:tc>
          <w:tcPr>
            <w:tcW w:w="8080" w:type="dxa"/>
            <w:vAlign w:val="bottom"/>
          </w:tcPr>
          <w:p>
            <w:pPr>
              <w:ind w:left="232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-4612640</wp:posOffset>
            </wp:positionV>
            <wp:extent cx="715010" cy="1039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10" cy="10394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-2280920</wp:posOffset>
            </wp:positionV>
            <wp:extent cx="715010" cy="1039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010" cy="103949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253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8540" w:type="dxa"/>
            <w:vAlign w:val="bottom"/>
          </w:tcPr>
          <w:p>
            <w:pPr>
              <w:ind w:left="660"/>
              <w:spacing w:after="0"/>
              <w:rPr>
                <w:sz w:val="20"/>
                <w:szCs w:val="20"/>
                <w:color w:val="auto"/>
              </w:rPr>
            </w:pPr>
            <w:r>
              <w:rPr>
                <w:rFonts w:ascii="Arial" w:cs="Arial" w:eastAsia="Arial" w:hAnsi="Arial"/>
                <w:sz w:val="17"/>
                <w:szCs w:val="17"/>
                <w:i w:val="1"/>
                <w:iCs w:val="1"/>
                <w:color w:val="auto"/>
              </w:rPr>
              <w:t>Professional Experience:</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8540" w:type="dxa"/>
            <w:vAlign w:val="bottom"/>
          </w:tcPr>
          <w:p>
            <w:pPr>
              <w:ind w:left="660"/>
              <w:spacing w:after="0" w:line="192" w:lineRule="exact"/>
              <w:rPr>
                <w:sz w:val="20"/>
                <w:szCs w:val="20"/>
                <w:color w:val="auto"/>
              </w:rPr>
            </w:pPr>
            <w:r>
              <w:rPr>
                <w:rFonts w:ascii="Arial" w:cs="Arial" w:eastAsia="Arial" w:hAnsi="Arial"/>
                <w:sz w:val="17"/>
                <w:szCs w:val="17"/>
                <w:color w:val="auto"/>
                <w:w w:val="98"/>
              </w:rPr>
              <w:t>Mr. Pope has served as Chairman of PFI Group, LLC, a financial management firm that invests primarily in</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8540" w:type="dxa"/>
            <w:vAlign w:val="bottom"/>
          </w:tcPr>
          <w:p>
            <w:pPr>
              <w:ind w:left="660"/>
              <w:spacing w:after="0" w:line="192" w:lineRule="exact"/>
              <w:rPr>
                <w:sz w:val="20"/>
                <w:szCs w:val="20"/>
                <w:color w:val="auto"/>
              </w:rPr>
            </w:pPr>
            <w:r>
              <w:rPr>
                <w:rFonts w:ascii="Arial" w:cs="Arial" w:eastAsia="Arial" w:hAnsi="Arial"/>
                <w:sz w:val="17"/>
                <w:szCs w:val="17"/>
                <w:color w:val="auto"/>
              </w:rPr>
              <w:t>private equity opportunities, since July 1994. From December 1995 to November 1999, Mr. Pope was</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8540" w:type="dxa"/>
            <w:vAlign w:val="bottom"/>
          </w:tcPr>
          <w:p>
            <w:pPr>
              <w:ind w:left="660"/>
              <w:spacing w:after="0" w:line="192" w:lineRule="exact"/>
              <w:rPr>
                <w:sz w:val="20"/>
                <w:szCs w:val="20"/>
                <w:color w:val="auto"/>
              </w:rPr>
            </w:pPr>
            <w:r>
              <w:rPr>
                <w:rFonts w:ascii="Arial" w:cs="Arial" w:eastAsia="Arial" w:hAnsi="Arial"/>
                <w:sz w:val="17"/>
                <w:szCs w:val="17"/>
                <w:color w:val="auto"/>
                <w:w w:val="98"/>
              </w:rPr>
              <w:t>Chairman of the Board of MotivePower Industries, Inc., a manufacturer and remanufacturer of locomotives</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8540" w:type="dxa"/>
            <w:vAlign w:val="bottom"/>
          </w:tcPr>
          <w:p>
            <w:pPr>
              <w:ind w:left="660"/>
              <w:spacing w:after="0" w:line="192" w:lineRule="exact"/>
              <w:rPr>
                <w:sz w:val="20"/>
                <w:szCs w:val="20"/>
                <w:color w:val="auto"/>
              </w:rPr>
            </w:pPr>
            <w:r>
              <w:rPr>
                <w:rFonts w:ascii="Arial" w:cs="Arial" w:eastAsia="Arial" w:hAnsi="Arial"/>
                <w:sz w:val="17"/>
                <w:szCs w:val="17"/>
                <w:color w:val="auto"/>
              </w:rPr>
              <w:t>and locomotive components. Prior to joining MotivePower Industries, Inc., Mr. Pope served in various</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8540" w:type="dxa"/>
            <w:vAlign w:val="bottom"/>
          </w:tcPr>
          <w:p>
            <w:pPr>
              <w:ind w:left="660"/>
              <w:spacing w:after="0" w:line="192" w:lineRule="exact"/>
              <w:rPr>
                <w:sz w:val="20"/>
                <w:szCs w:val="20"/>
                <w:color w:val="auto"/>
              </w:rPr>
            </w:pPr>
            <w:r>
              <w:rPr>
                <w:rFonts w:ascii="Arial" w:cs="Arial" w:eastAsia="Arial" w:hAnsi="Arial"/>
                <w:sz w:val="17"/>
                <w:szCs w:val="17"/>
                <w:color w:val="auto"/>
              </w:rPr>
              <w:t>capacities with United Airlines and its parent, UAL Corporation, including as Director, Vice Chairman,</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8540" w:type="dxa"/>
            <w:vAlign w:val="bottom"/>
          </w:tcPr>
          <w:p>
            <w:pPr>
              <w:ind w:left="660"/>
              <w:spacing w:after="0" w:line="192" w:lineRule="exact"/>
              <w:rPr>
                <w:sz w:val="20"/>
                <w:szCs w:val="20"/>
                <w:color w:val="auto"/>
              </w:rPr>
            </w:pPr>
            <w:r>
              <w:rPr>
                <w:rFonts w:ascii="Arial" w:cs="Arial" w:eastAsia="Arial" w:hAnsi="Arial"/>
                <w:sz w:val="17"/>
                <w:szCs w:val="17"/>
                <w:color w:val="auto"/>
              </w:rPr>
              <w:t>President, Chief Operating Officer, Chief Financial Officer and Executive Vice President, Marketing and</w:t>
            </w:r>
          </w:p>
        </w:tc>
        <w:tc>
          <w:tcPr>
            <w:tcW w:w="0" w:type="dxa"/>
            <w:vAlign w:val="bottom"/>
          </w:tcPr>
          <w:p>
            <w:pPr>
              <w:spacing w:after="0"/>
              <w:rPr>
                <w:sz w:val="1"/>
                <w:szCs w:val="1"/>
                <w:color w:val="auto"/>
              </w:rPr>
            </w:pPr>
          </w:p>
        </w:tc>
      </w:tr>
      <w:tr>
        <w:trPr>
          <w:trHeight w:val="200"/>
        </w:trPr>
        <w:tc>
          <w:tcPr>
            <w:tcW w:w="2880" w:type="dxa"/>
            <w:vAlign w:val="bottom"/>
          </w:tcPr>
          <w:p>
            <w:pPr>
              <w:spacing w:after="0"/>
              <w:rPr>
                <w:sz w:val="17"/>
                <w:szCs w:val="17"/>
                <w:color w:val="auto"/>
              </w:rPr>
            </w:pPr>
          </w:p>
        </w:tc>
        <w:tc>
          <w:tcPr>
            <w:tcW w:w="8540" w:type="dxa"/>
            <w:vAlign w:val="bottom"/>
          </w:tcPr>
          <w:p>
            <w:pPr>
              <w:ind w:left="660"/>
              <w:spacing w:after="0"/>
              <w:rPr>
                <w:sz w:val="20"/>
                <w:szCs w:val="20"/>
                <w:color w:val="auto"/>
              </w:rPr>
            </w:pPr>
            <w:r>
              <w:rPr>
                <w:rFonts w:ascii="Arial" w:cs="Arial" w:eastAsia="Arial" w:hAnsi="Arial"/>
                <w:sz w:val="17"/>
                <w:szCs w:val="17"/>
                <w:color w:val="auto"/>
              </w:rPr>
              <w:t>Finance.</w:t>
            </w:r>
          </w:p>
        </w:tc>
        <w:tc>
          <w:tcPr>
            <w:tcW w:w="0" w:type="dxa"/>
            <w:vAlign w:val="bottom"/>
          </w:tcPr>
          <w:p>
            <w:pPr>
              <w:spacing w:after="0"/>
              <w:rPr>
                <w:sz w:val="1"/>
                <w:szCs w:val="1"/>
                <w:color w:val="auto"/>
              </w:rPr>
            </w:pPr>
          </w:p>
        </w:tc>
      </w:tr>
      <w:tr>
        <w:trPr>
          <w:trHeight w:val="260"/>
        </w:trPr>
        <w:tc>
          <w:tcPr>
            <w:tcW w:w="2880" w:type="dxa"/>
            <w:vAlign w:val="bottom"/>
          </w:tcPr>
          <w:p>
            <w:pPr>
              <w:spacing w:after="0"/>
              <w:rPr>
                <w:sz w:val="22"/>
                <w:szCs w:val="22"/>
                <w:color w:val="auto"/>
              </w:rPr>
            </w:pPr>
          </w:p>
        </w:tc>
        <w:tc>
          <w:tcPr>
            <w:tcW w:w="8540" w:type="dxa"/>
            <w:vAlign w:val="bottom"/>
          </w:tcPr>
          <w:p>
            <w:pPr>
              <w:ind w:left="660"/>
              <w:spacing w:after="0"/>
              <w:rPr>
                <w:sz w:val="20"/>
                <w:szCs w:val="20"/>
                <w:color w:val="auto"/>
              </w:rPr>
            </w:pPr>
            <w:r>
              <w:rPr>
                <w:rFonts w:ascii="Arial" w:cs="Arial" w:eastAsia="Arial" w:hAnsi="Arial"/>
                <w:sz w:val="17"/>
                <w:szCs w:val="17"/>
                <w:i w:val="1"/>
                <w:iCs w:val="1"/>
                <w:color w:val="auto"/>
              </w:rPr>
              <w:t>Education:</w:t>
            </w:r>
          </w:p>
        </w:tc>
        <w:tc>
          <w:tcPr>
            <w:tcW w:w="0" w:type="dxa"/>
            <w:vAlign w:val="bottom"/>
          </w:tcPr>
          <w:p>
            <w:pPr>
              <w:spacing w:after="0"/>
              <w:rPr>
                <w:sz w:val="1"/>
                <w:szCs w:val="1"/>
                <w:color w:val="auto"/>
              </w:rPr>
            </w:pPr>
          </w:p>
        </w:tc>
      </w:tr>
      <w:tr>
        <w:trPr>
          <w:trHeight w:val="192"/>
        </w:trPr>
        <w:tc>
          <w:tcPr>
            <w:tcW w:w="2880" w:type="dxa"/>
            <w:vAlign w:val="bottom"/>
          </w:tcPr>
          <w:p>
            <w:pPr>
              <w:spacing w:after="0" w:line="192" w:lineRule="exact"/>
              <w:rPr>
                <w:sz w:val="20"/>
                <w:szCs w:val="20"/>
                <w:color w:val="auto"/>
              </w:rPr>
            </w:pPr>
            <w:r>
              <w:rPr>
                <w:rFonts w:ascii="Arial" w:cs="Arial" w:eastAsia="Arial" w:hAnsi="Arial"/>
                <w:sz w:val="17"/>
                <w:szCs w:val="17"/>
                <w:color w:val="auto"/>
              </w:rPr>
              <w:t>John C. Pope</w:t>
            </w:r>
          </w:p>
        </w:tc>
        <w:tc>
          <w:tcPr>
            <w:tcW w:w="8540" w:type="dxa"/>
            <w:vAlign w:val="bottom"/>
          </w:tcPr>
          <w:p>
            <w:pPr>
              <w:ind w:left="660"/>
              <w:spacing w:after="0" w:line="192" w:lineRule="exact"/>
              <w:rPr>
                <w:sz w:val="20"/>
                <w:szCs w:val="20"/>
                <w:color w:val="auto"/>
              </w:rPr>
            </w:pPr>
            <w:r>
              <w:rPr>
                <w:rFonts w:ascii="Arial" w:cs="Arial" w:eastAsia="Arial" w:hAnsi="Arial"/>
                <w:sz w:val="17"/>
                <w:szCs w:val="17"/>
                <w:color w:val="auto"/>
              </w:rPr>
              <w:t>Mr. Pope received a Bachelor’s Degree in Engineering and Applied Science from Yale University and a</w:t>
            </w:r>
          </w:p>
        </w:tc>
        <w:tc>
          <w:tcPr>
            <w:tcW w:w="0" w:type="dxa"/>
            <w:vAlign w:val="bottom"/>
          </w:tcPr>
          <w:p>
            <w:pPr>
              <w:spacing w:after="0"/>
              <w:rPr>
                <w:sz w:val="1"/>
                <w:szCs w:val="1"/>
                <w:color w:val="auto"/>
              </w:rPr>
            </w:pPr>
          </w:p>
        </w:tc>
      </w:tr>
      <w:tr>
        <w:trPr>
          <w:trHeight w:val="200"/>
        </w:trPr>
        <w:tc>
          <w:tcPr>
            <w:tcW w:w="2880" w:type="dxa"/>
            <w:vAlign w:val="bottom"/>
            <w:vMerge w:val="restart"/>
          </w:tcPr>
          <w:p>
            <w:pPr>
              <w:spacing w:after="0"/>
              <w:rPr>
                <w:sz w:val="20"/>
                <w:szCs w:val="20"/>
                <w:color w:val="auto"/>
              </w:rPr>
            </w:pPr>
            <w:r>
              <w:rPr>
                <w:rFonts w:ascii="Arial" w:cs="Arial" w:eastAsia="Arial" w:hAnsi="Arial"/>
                <w:sz w:val="17"/>
                <w:szCs w:val="17"/>
                <w:color w:val="auto"/>
              </w:rPr>
              <w:t>Chairman, PFI Group, LLC</w:t>
            </w:r>
          </w:p>
        </w:tc>
        <w:tc>
          <w:tcPr>
            <w:tcW w:w="8540" w:type="dxa"/>
            <w:vAlign w:val="bottom"/>
          </w:tcPr>
          <w:p>
            <w:pPr>
              <w:ind w:left="660"/>
              <w:spacing w:after="0"/>
              <w:rPr>
                <w:sz w:val="20"/>
                <w:szCs w:val="20"/>
                <w:color w:val="auto"/>
              </w:rPr>
            </w:pPr>
            <w:r>
              <w:rPr>
                <w:rFonts w:ascii="Arial" w:cs="Arial" w:eastAsia="Arial" w:hAnsi="Arial"/>
                <w:sz w:val="17"/>
                <w:szCs w:val="17"/>
                <w:color w:val="auto"/>
              </w:rPr>
              <w:t>Master of Business Administration from Harvard University.</w:t>
            </w:r>
          </w:p>
        </w:tc>
        <w:tc>
          <w:tcPr>
            <w:tcW w:w="0" w:type="dxa"/>
            <w:vAlign w:val="bottom"/>
          </w:tcPr>
          <w:p>
            <w:pPr>
              <w:spacing w:after="0"/>
              <w:rPr>
                <w:sz w:val="1"/>
                <w:szCs w:val="1"/>
                <w:color w:val="auto"/>
              </w:rPr>
            </w:pPr>
          </w:p>
        </w:tc>
      </w:tr>
      <w:tr>
        <w:trPr>
          <w:trHeight w:val="102"/>
        </w:trPr>
        <w:tc>
          <w:tcPr>
            <w:tcW w:w="2880" w:type="dxa"/>
            <w:vAlign w:val="bottom"/>
            <w:vMerge w:val="continue"/>
          </w:tcPr>
          <w:p>
            <w:pPr>
              <w:spacing w:after="0"/>
              <w:rPr>
                <w:sz w:val="8"/>
                <w:szCs w:val="8"/>
                <w:color w:val="auto"/>
              </w:rPr>
            </w:pPr>
          </w:p>
        </w:tc>
        <w:tc>
          <w:tcPr>
            <w:tcW w:w="8540" w:type="dxa"/>
            <w:vAlign w:val="bottom"/>
            <w:vMerge w:val="restart"/>
          </w:tcPr>
          <w:p>
            <w:pPr>
              <w:ind w:left="660"/>
              <w:spacing w:after="0"/>
              <w:rPr>
                <w:sz w:val="20"/>
                <w:szCs w:val="20"/>
                <w:color w:val="auto"/>
              </w:rPr>
            </w:pPr>
            <w:r>
              <w:rPr>
                <w:rFonts w:ascii="Arial" w:cs="Arial" w:eastAsia="Arial" w:hAnsi="Arial"/>
                <w:sz w:val="17"/>
                <w:szCs w:val="17"/>
                <w:i w:val="1"/>
                <w:iCs w:val="1"/>
                <w:color w:val="auto"/>
              </w:rPr>
              <w:t>Public Company Boards:</w:t>
            </w:r>
          </w:p>
        </w:tc>
        <w:tc>
          <w:tcPr>
            <w:tcW w:w="0" w:type="dxa"/>
            <w:vAlign w:val="bottom"/>
          </w:tcPr>
          <w:p>
            <w:pPr>
              <w:spacing w:after="0"/>
              <w:rPr>
                <w:sz w:val="1"/>
                <w:szCs w:val="1"/>
                <w:color w:val="auto"/>
              </w:rPr>
            </w:pPr>
          </w:p>
        </w:tc>
      </w:tr>
      <w:tr>
        <w:trPr>
          <w:trHeight w:val="158"/>
        </w:trPr>
        <w:tc>
          <w:tcPr>
            <w:tcW w:w="2880" w:type="dxa"/>
            <w:vAlign w:val="bottom"/>
            <w:vMerge w:val="restart"/>
          </w:tcPr>
          <w:p>
            <w:pPr>
              <w:spacing w:after="0"/>
              <w:rPr>
                <w:sz w:val="20"/>
                <w:szCs w:val="20"/>
                <w:color w:val="auto"/>
              </w:rPr>
            </w:pPr>
            <w:r>
              <w:rPr>
                <w:rFonts w:ascii="Arial" w:cs="Arial" w:eastAsia="Arial" w:hAnsi="Arial"/>
                <w:sz w:val="17"/>
                <w:szCs w:val="17"/>
                <w:color w:val="auto"/>
              </w:rPr>
              <w:t>Director since July 2001</w:t>
            </w:r>
          </w:p>
        </w:tc>
        <w:tc>
          <w:tcPr>
            <w:tcW w:w="8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880" w:type="dxa"/>
            <w:vAlign w:val="bottom"/>
            <w:vMerge w:val="continue"/>
          </w:tcPr>
          <w:p>
            <w:pPr>
              <w:spacing w:after="0"/>
              <w:rPr>
                <w:sz w:val="9"/>
                <w:szCs w:val="9"/>
                <w:color w:val="auto"/>
              </w:rPr>
            </w:pPr>
          </w:p>
        </w:tc>
        <w:tc>
          <w:tcPr>
            <w:tcW w:w="8540" w:type="dxa"/>
            <w:vAlign w:val="bottom"/>
            <w:vMerge w:val="restart"/>
          </w:tcPr>
          <w:p>
            <w:pPr>
              <w:ind w:left="660"/>
              <w:spacing w:after="0" w:line="192" w:lineRule="exact"/>
              <w:rPr>
                <w:sz w:val="20"/>
                <w:szCs w:val="20"/>
                <w:color w:val="auto"/>
              </w:rPr>
            </w:pPr>
            <w:r>
              <w:rPr>
                <w:rFonts w:ascii="Arial" w:cs="Arial" w:eastAsia="Arial" w:hAnsi="Arial"/>
                <w:sz w:val="17"/>
                <w:szCs w:val="17"/>
                <w:color w:val="auto"/>
                <w:w w:val="97"/>
              </w:rPr>
              <w:t>Mr. Pope is a director of Con-way, Inc., Dollar Thrifty Automotive Group, Inc., R.R. Donnelley and Sons Co.</w:t>
            </w:r>
          </w:p>
        </w:tc>
        <w:tc>
          <w:tcPr>
            <w:tcW w:w="0" w:type="dxa"/>
            <w:vAlign w:val="bottom"/>
          </w:tcPr>
          <w:p>
            <w:pPr>
              <w:spacing w:after="0"/>
              <w:rPr>
                <w:sz w:val="1"/>
                <w:szCs w:val="1"/>
                <w:color w:val="auto"/>
              </w:rPr>
            </w:pPr>
          </w:p>
        </w:tc>
      </w:tr>
      <w:tr>
        <w:trPr>
          <w:trHeight w:val="81"/>
        </w:trPr>
        <w:tc>
          <w:tcPr>
            <w:tcW w:w="2880" w:type="dxa"/>
            <w:vAlign w:val="bottom"/>
            <w:vMerge w:val="restart"/>
          </w:tcPr>
          <w:p>
            <w:pPr>
              <w:spacing w:after="0"/>
              <w:rPr>
                <w:sz w:val="20"/>
                <w:szCs w:val="20"/>
                <w:color w:val="auto"/>
              </w:rPr>
            </w:pPr>
            <w:r>
              <w:rPr>
                <w:rFonts w:ascii="Arial" w:cs="Arial" w:eastAsia="Arial" w:hAnsi="Arial"/>
                <w:sz w:val="17"/>
                <w:szCs w:val="17"/>
                <w:color w:val="auto"/>
              </w:rPr>
              <w:t>Committees:</w:t>
            </w:r>
          </w:p>
        </w:tc>
        <w:tc>
          <w:tcPr>
            <w:tcW w:w="8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880" w:type="dxa"/>
            <w:vAlign w:val="bottom"/>
            <w:vMerge w:val="continue"/>
          </w:tcPr>
          <w:p>
            <w:pPr>
              <w:spacing w:after="0"/>
              <w:rPr>
                <w:sz w:val="16"/>
                <w:szCs w:val="16"/>
                <w:color w:val="auto"/>
              </w:rPr>
            </w:pPr>
          </w:p>
        </w:tc>
        <w:tc>
          <w:tcPr>
            <w:tcW w:w="8540" w:type="dxa"/>
            <w:vAlign w:val="bottom"/>
          </w:tcPr>
          <w:p>
            <w:pPr>
              <w:ind w:left="660"/>
              <w:spacing w:after="0" w:line="192" w:lineRule="exact"/>
              <w:rPr>
                <w:sz w:val="20"/>
                <w:szCs w:val="20"/>
                <w:color w:val="auto"/>
              </w:rPr>
            </w:pPr>
            <w:r>
              <w:rPr>
                <w:rFonts w:ascii="Arial" w:cs="Arial" w:eastAsia="Arial" w:hAnsi="Arial"/>
                <w:sz w:val="17"/>
                <w:szCs w:val="17"/>
                <w:color w:val="auto"/>
              </w:rPr>
              <w:t>and Waste Management, Inc. Mr. Pope was formerly a director of Federal-Mogul Corporation and</w:t>
            </w:r>
          </w:p>
        </w:tc>
        <w:tc>
          <w:tcPr>
            <w:tcW w:w="0" w:type="dxa"/>
            <w:vAlign w:val="bottom"/>
          </w:tcPr>
          <w:p>
            <w:pPr>
              <w:spacing w:after="0"/>
              <w:rPr>
                <w:sz w:val="1"/>
                <w:szCs w:val="1"/>
                <w:color w:val="auto"/>
              </w:rPr>
            </w:pPr>
          </w:p>
        </w:tc>
      </w:tr>
      <w:tr>
        <w:trPr>
          <w:trHeight w:val="200"/>
        </w:trPr>
        <w:tc>
          <w:tcPr>
            <w:tcW w:w="2880" w:type="dxa"/>
            <w:vAlign w:val="bottom"/>
            <w:vMerge w:val="restart"/>
          </w:tcPr>
          <w:p>
            <w:pPr>
              <w:ind w:left="420"/>
              <w:spacing w:after="0"/>
              <w:rPr>
                <w:sz w:val="20"/>
                <w:szCs w:val="20"/>
                <w:color w:val="auto"/>
              </w:rPr>
            </w:pPr>
            <w:r>
              <w:rPr>
                <w:rFonts w:ascii="Arial" w:cs="Arial" w:eastAsia="Arial" w:hAnsi="Arial"/>
                <w:sz w:val="17"/>
                <w:szCs w:val="17"/>
                <w:color w:val="auto"/>
              </w:rPr>
              <w:t>• Chair, Finance</w:t>
            </w:r>
          </w:p>
        </w:tc>
        <w:tc>
          <w:tcPr>
            <w:tcW w:w="8540" w:type="dxa"/>
            <w:vAlign w:val="bottom"/>
          </w:tcPr>
          <w:p>
            <w:pPr>
              <w:ind w:left="660"/>
              <w:spacing w:after="0"/>
              <w:rPr>
                <w:sz w:val="20"/>
                <w:szCs w:val="20"/>
                <w:color w:val="auto"/>
              </w:rPr>
            </w:pPr>
            <w:r>
              <w:rPr>
                <w:rFonts w:ascii="Arial" w:cs="Arial" w:eastAsia="Arial" w:hAnsi="Arial"/>
                <w:sz w:val="17"/>
                <w:szCs w:val="17"/>
                <w:color w:val="auto"/>
              </w:rPr>
              <w:t>MotivePower Industries, Inc.</w:t>
            </w:r>
          </w:p>
        </w:tc>
        <w:tc>
          <w:tcPr>
            <w:tcW w:w="0" w:type="dxa"/>
            <w:vAlign w:val="bottom"/>
          </w:tcPr>
          <w:p>
            <w:pPr>
              <w:spacing w:after="0"/>
              <w:rPr>
                <w:sz w:val="1"/>
                <w:szCs w:val="1"/>
                <w:color w:val="auto"/>
              </w:rPr>
            </w:pPr>
          </w:p>
        </w:tc>
      </w:tr>
      <w:tr>
        <w:trPr>
          <w:trHeight w:val="55"/>
        </w:trPr>
        <w:tc>
          <w:tcPr>
            <w:tcW w:w="2880" w:type="dxa"/>
            <w:vAlign w:val="bottom"/>
            <w:vMerge w:val="continue"/>
          </w:tcPr>
          <w:p>
            <w:pPr>
              <w:spacing w:after="0"/>
              <w:rPr>
                <w:sz w:val="4"/>
                <w:szCs w:val="4"/>
                <w:color w:val="auto"/>
              </w:rPr>
            </w:pPr>
          </w:p>
        </w:tc>
        <w:tc>
          <w:tcPr>
            <w:tcW w:w="8540" w:type="dxa"/>
            <w:vAlign w:val="bottom"/>
            <w:vMerge w:val="restart"/>
          </w:tcPr>
          <w:p>
            <w:pPr>
              <w:ind w:left="660"/>
              <w:spacing w:after="0"/>
              <w:rPr>
                <w:sz w:val="20"/>
                <w:szCs w:val="20"/>
                <w:color w:val="auto"/>
              </w:rPr>
            </w:pPr>
            <w:r>
              <w:rPr>
                <w:rFonts w:ascii="Arial" w:cs="Arial" w:eastAsia="Arial" w:hAnsi="Arial"/>
                <w:sz w:val="17"/>
                <w:szCs w:val="17"/>
                <w:i w:val="1"/>
                <w:iCs w:val="1"/>
                <w:color w:val="auto"/>
              </w:rPr>
              <w:t>Director Qualifications:</w:t>
            </w:r>
          </w:p>
        </w:tc>
        <w:tc>
          <w:tcPr>
            <w:tcW w:w="0" w:type="dxa"/>
            <w:vAlign w:val="bottom"/>
          </w:tcPr>
          <w:p>
            <w:pPr>
              <w:spacing w:after="0"/>
              <w:rPr>
                <w:sz w:val="1"/>
                <w:szCs w:val="1"/>
                <w:color w:val="auto"/>
              </w:rPr>
            </w:pPr>
          </w:p>
        </w:tc>
      </w:tr>
      <w:tr>
        <w:trPr>
          <w:trHeight w:val="192"/>
        </w:trPr>
        <w:tc>
          <w:tcPr>
            <w:tcW w:w="2880" w:type="dxa"/>
            <w:vAlign w:val="bottom"/>
          </w:tcPr>
          <w:p>
            <w:pPr>
              <w:ind w:left="420"/>
              <w:spacing w:after="0" w:line="192" w:lineRule="exact"/>
              <w:rPr>
                <w:sz w:val="20"/>
                <w:szCs w:val="20"/>
                <w:color w:val="auto"/>
              </w:rPr>
            </w:pPr>
            <w:r>
              <w:rPr>
                <w:rFonts w:ascii="Arial" w:cs="Arial" w:eastAsia="Arial" w:hAnsi="Arial"/>
                <w:sz w:val="17"/>
                <w:szCs w:val="17"/>
                <w:color w:val="auto"/>
              </w:rPr>
              <w:t>• Human Resources and</w:t>
            </w:r>
          </w:p>
        </w:tc>
        <w:tc>
          <w:tcPr>
            <w:tcW w:w="8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80" w:type="dxa"/>
            <w:vAlign w:val="bottom"/>
          </w:tcPr>
          <w:p>
            <w:pPr>
              <w:ind w:left="620"/>
              <w:spacing w:after="0"/>
              <w:rPr>
                <w:sz w:val="20"/>
                <w:szCs w:val="20"/>
                <w:color w:val="auto"/>
              </w:rPr>
            </w:pPr>
            <w:r>
              <w:rPr>
                <w:rFonts w:ascii="Arial" w:cs="Arial" w:eastAsia="Arial" w:hAnsi="Arial"/>
                <w:sz w:val="17"/>
                <w:szCs w:val="17"/>
                <w:color w:val="auto"/>
              </w:rPr>
              <w:t>Compensation</w:t>
            </w:r>
          </w:p>
        </w:tc>
        <w:tc>
          <w:tcPr>
            <w:tcW w:w="8540" w:type="dxa"/>
            <w:vAlign w:val="bottom"/>
          </w:tcPr>
          <w:p>
            <w:pPr>
              <w:ind w:left="980"/>
              <w:spacing w:after="0"/>
              <w:rPr>
                <w:sz w:val="20"/>
                <w:szCs w:val="20"/>
                <w:color w:val="auto"/>
              </w:rPr>
            </w:pPr>
            <w:r>
              <w:rPr>
                <w:rFonts w:ascii="Arial" w:cs="Arial" w:eastAsia="Arial" w:hAnsi="Arial"/>
                <w:sz w:val="17"/>
                <w:szCs w:val="17"/>
                <w:color w:val="auto"/>
              </w:rPr>
              <w:t>•  Leadership, Operating, Marketing and Global Business experience – held key leadership roles,</w:t>
            </w:r>
          </w:p>
        </w:tc>
        <w:tc>
          <w:tcPr>
            <w:tcW w:w="0" w:type="dxa"/>
            <w:vAlign w:val="bottom"/>
          </w:tcPr>
          <w:p>
            <w:pPr>
              <w:spacing w:after="0"/>
              <w:rPr>
                <w:sz w:val="1"/>
                <w:szCs w:val="1"/>
                <w:color w:val="auto"/>
              </w:rPr>
            </w:pPr>
          </w:p>
        </w:tc>
      </w:tr>
      <w:tr>
        <w:trPr>
          <w:trHeight w:val="192"/>
        </w:trPr>
        <w:tc>
          <w:tcPr>
            <w:tcW w:w="2880" w:type="dxa"/>
            <w:vAlign w:val="bottom"/>
            <w:vMerge w:val="restart"/>
          </w:tcPr>
          <w:p>
            <w:pPr>
              <w:spacing w:after="0"/>
              <w:rPr>
                <w:sz w:val="20"/>
                <w:szCs w:val="20"/>
                <w:color w:val="auto"/>
              </w:rPr>
            </w:pPr>
            <w:r>
              <w:rPr>
                <w:rFonts w:ascii="Arial" w:cs="Arial" w:eastAsia="Arial" w:hAnsi="Arial"/>
                <w:sz w:val="17"/>
                <w:szCs w:val="17"/>
                <w:color w:val="auto"/>
              </w:rPr>
              <w:t>Age: 63</w:t>
            </w:r>
          </w:p>
        </w:tc>
        <w:tc>
          <w:tcPr>
            <w:tcW w:w="8540" w:type="dxa"/>
            <w:vAlign w:val="bottom"/>
          </w:tcPr>
          <w:p>
            <w:pPr>
              <w:ind w:left="1280"/>
              <w:spacing w:after="0" w:line="192" w:lineRule="exact"/>
              <w:rPr>
                <w:sz w:val="20"/>
                <w:szCs w:val="20"/>
                <w:color w:val="auto"/>
              </w:rPr>
            </w:pPr>
            <w:r>
              <w:rPr>
                <w:rFonts w:ascii="Arial" w:cs="Arial" w:eastAsia="Arial" w:hAnsi="Arial"/>
                <w:sz w:val="17"/>
                <w:szCs w:val="17"/>
                <w:color w:val="auto"/>
                <w:w w:val="98"/>
              </w:rPr>
              <w:t>including President, Chief Operating Officer, Chief Financial Officer and Executive Vice President,</w:t>
            </w:r>
          </w:p>
        </w:tc>
        <w:tc>
          <w:tcPr>
            <w:tcW w:w="0" w:type="dxa"/>
            <w:vAlign w:val="bottom"/>
          </w:tcPr>
          <w:p>
            <w:pPr>
              <w:spacing w:after="0"/>
              <w:rPr>
                <w:sz w:val="1"/>
                <w:szCs w:val="1"/>
                <w:color w:val="auto"/>
              </w:rPr>
            </w:pPr>
          </w:p>
        </w:tc>
      </w:tr>
      <w:tr>
        <w:trPr>
          <w:trHeight w:val="73"/>
        </w:trPr>
        <w:tc>
          <w:tcPr>
            <w:tcW w:w="2880" w:type="dxa"/>
            <w:vAlign w:val="bottom"/>
            <w:vMerge w:val="continue"/>
          </w:tcPr>
          <w:p>
            <w:pPr>
              <w:spacing w:after="0"/>
              <w:rPr>
                <w:sz w:val="6"/>
                <w:szCs w:val="6"/>
                <w:color w:val="auto"/>
              </w:rPr>
            </w:pPr>
          </w:p>
        </w:tc>
        <w:tc>
          <w:tcPr>
            <w:tcW w:w="8540" w:type="dxa"/>
            <w:vAlign w:val="bottom"/>
            <w:vMerge w:val="restart"/>
          </w:tcPr>
          <w:p>
            <w:pPr>
              <w:ind w:left="1280"/>
              <w:spacing w:after="0" w:line="192" w:lineRule="exact"/>
              <w:rPr>
                <w:sz w:val="20"/>
                <w:szCs w:val="20"/>
                <w:color w:val="auto"/>
              </w:rPr>
            </w:pPr>
            <w:r>
              <w:rPr>
                <w:rFonts w:ascii="Arial" w:cs="Arial" w:eastAsia="Arial" w:hAnsi="Arial"/>
                <w:sz w:val="17"/>
                <w:szCs w:val="17"/>
                <w:color w:val="auto"/>
              </w:rPr>
              <w:t>Marketing and Finance of a global company</w:t>
            </w:r>
          </w:p>
        </w:tc>
        <w:tc>
          <w:tcPr>
            <w:tcW w:w="0" w:type="dxa"/>
            <w:vAlign w:val="bottom"/>
          </w:tcPr>
          <w:p>
            <w:pPr>
              <w:spacing w:after="0"/>
              <w:rPr>
                <w:sz w:val="1"/>
                <w:szCs w:val="1"/>
                <w:color w:val="auto"/>
              </w:rPr>
            </w:pPr>
          </w:p>
        </w:tc>
      </w:tr>
      <w:tr>
        <w:trPr>
          <w:trHeight w:val="119"/>
        </w:trPr>
        <w:tc>
          <w:tcPr>
            <w:tcW w:w="2880" w:type="dxa"/>
            <w:vAlign w:val="bottom"/>
          </w:tcPr>
          <w:p>
            <w:pPr>
              <w:spacing w:after="0"/>
              <w:rPr>
                <w:sz w:val="10"/>
                <w:szCs w:val="10"/>
                <w:color w:val="auto"/>
              </w:rPr>
            </w:pPr>
          </w:p>
        </w:tc>
        <w:tc>
          <w:tcPr>
            <w:tcW w:w="8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8540" w:type="dxa"/>
            <w:vAlign w:val="bottom"/>
          </w:tcPr>
          <w:p>
            <w:pPr>
              <w:ind w:left="980"/>
              <w:spacing w:after="0" w:line="192" w:lineRule="exact"/>
              <w:rPr>
                <w:sz w:val="20"/>
                <w:szCs w:val="20"/>
                <w:color w:val="auto"/>
              </w:rPr>
            </w:pPr>
            <w:r>
              <w:rPr>
                <w:rFonts w:ascii="Arial" w:cs="Arial" w:eastAsia="Arial" w:hAnsi="Arial"/>
                <w:sz w:val="17"/>
                <w:szCs w:val="17"/>
                <w:color w:val="auto"/>
              </w:rPr>
              <w:t>•  Accounting and Financial expertise – Chairman of a financial management firm and former Chief</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8540" w:type="dxa"/>
            <w:vAlign w:val="bottom"/>
          </w:tcPr>
          <w:p>
            <w:pPr>
              <w:ind w:left="1280"/>
              <w:spacing w:after="0" w:line="192" w:lineRule="exact"/>
              <w:rPr>
                <w:sz w:val="20"/>
                <w:szCs w:val="20"/>
                <w:color w:val="auto"/>
              </w:rPr>
            </w:pPr>
            <w:r>
              <w:rPr>
                <w:rFonts w:ascii="Arial" w:cs="Arial" w:eastAsia="Arial" w:hAnsi="Arial"/>
                <w:sz w:val="17"/>
                <w:szCs w:val="17"/>
                <w:color w:val="auto"/>
              </w:rPr>
              <w:t>Financial Officer and Executive Vice President, Marketing and Finance of a global company</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8540" w:type="dxa"/>
            <w:vAlign w:val="bottom"/>
          </w:tcPr>
          <w:p>
            <w:pPr>
              <w:ind w:left="980"/>
              <w:spacing w:after="0" w:line="192" w:lineRule="exact"/>
              <w:rPr>
                <w:sz w:val="20"/>
                <w:szCs w:val="20"/>
                <w:color w:val="auto"/>
              </w:rPr>
            </w:pPr>
            <w:r>
              <w:rPr>
                <w:rFonts w:ascii="Arial" w:cs="Arial" w:eastAsia="Arial" w:hAnsi="Arial"/>
                <w:sz w:val="17"/>
                <w:szCs w:val="17"/>
                <w:color w:val="auto"/>
              </w:rPr>
              <w:t>•  Public Company Board and Corporate Governance experience – current and former director and</w:t>
            </w:r>
          </w:p>
        </w:tc>
        <w:tc>
          <w:tcPr>
            <w:tcW w:w="0" w:type="dxa"/>
            <w:vAlign w:val="bottom"/>
          </w:tcPr>
          <w:p>
            <w:pPr>
              <w:spacing w:after="0"/>
              <w:rPr>
                <w:sz w:val="1"/>
                <w:szCs w:val="1"/>
                <w:color w:val="auto"/>
              </w:rPr>
            </w:pPr>
          </w:p>
        </w:tc>
      </w:tr>
      <w:tr>
        <w:trPr>
          <w:trHeight w:val="201"/>
        </w:trPr>
        <w:tc>
          <w:tcPr>
            <w:tcW w:w="2880" w:type="dxa"/>
            <w:vAlign w:val="bottom"/>
            <w:tcBorders>
              <w:bottom w:val="single" w:sz="8" w:color="auto"/>
            </w:tcBorders>
          </w:tcPr>
          <w:p>
            <w:pPr>
              <w:spacing w:after="0"/>
              <w:rPr>
                <w:sz w:val="17"/>
                <w:szCs w:val="17"/>
                <w:color w:val="auto"/>
              </w:rPr>
            </w:pPr>
          </w:p>
        </w:tc>
        <w:tc>
          <w:tcPr>
            <w:tcW w:w="8540" w:type="dxa"/>
            <w:vAlign w:val="bottom"/>
            <w:tcBorders>
              <w:bottom w:val="single" w:sz="8" w:color="auto"/>
            </w:tcBorders>
          </w:tcPr>
          <w:p>
            <w:pPr>
              <w:ind w:left="1280"/>
              <w:spacing w:after="0"/>
              <w:rPr>
                <w:sz w:val="20"/>
                <w:szCs w:val="20"/>
                <w:color w:val="auto"/>
              </w:rPr>
            </w:pPr>
            <w:r>
              <w:rPr>
                <w:rFonts w:ascii="Arial" w:cs="Arial" w:eastAsia="Arial" w:hAnsi="Arial"/>
                <w:sz w:val="17"/>
                <w:szCs w:val="17"/>
                <w:color w:val="auto"/>
              </w:rPr>
              <w:t>audit committee member of several public companies</w:t>
            </w:r>
          </w:p>
        </w:tc>
        <w:tc>
          <w:tcPr>
            <w:tcW w:w="0" w:type="dxa"/>
            <w:vAlign w:val="bottom"/>
          </w:tcPr>
          <w:p>
            <w:pPr>
              <w:spacing w:after="0"/>
              <w:rPr>
                <w:sz w:val="1"/>
                <w:szCs w:val="1"/>
                <w:color w:val="auto"/>
              </w:rPr>
            </w:pPr>
          </w:p>
        </w:tc>
      </w:tr>
      <w:tr>
        <w:trPr>
          <w:trHeight w:val="338"/>
        </w:trPr>
        <w:tc>
          <w:tcPr>
            <w:tcW w:w="2880" w:type="dxa"/>
            <w:vAlign w:val="bottom"/>
          </w:tcPr>
          <w:p>
            <w:pPr>
              <w:spacing w:after="0"/>
              <w:rPr>
                <w:sz w:val="24"/>
                <w:szCs w:val="24"/>
                <w:color w:val="auto"/>
              </w:rPr>
            </w:pPr>
          </w:p>
        </w:tc>
        <w:tc>
          <w:tcPr>
            <w:tcW w:w="8540" w:type="dxa"/>
            <w:vAlign w:val="bottom"/>
          </w:tcPr>
          <w:p>
            <w:pPr>
              <w:ind w:left="27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-3182620</wp:posOffset>
            </wp:positionV>
            <wp:extent cx="715010" cy="1039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10" cy="103949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2536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8060" w:type="dxa"/>
            <w:vAlign w:val="bottom"/>
          </w:tcPr>
          <w:p>
            <w:pPr>
              <w:ind w:left="180"/>
              <w:spacing w:after="0"/>
              <w:rPr>
                <w:sz w:val="20"/>
                <w:szCs w:val="20"/>
                <w:color w:val="auto"/>
              </w:rPr>
            </w:pPr>
            <w:r>
              <w:rPr>
                <w:rFonts w:ascii="Arial" w:cs="Arial" w:eastAsia="Arial" w:hAnsi="Arial"/>
                <w:sz w:val="17"/>
                <w:szCs w:val="17"/>
                <w:i w:val="1"/>
                <w:iCs w:val="1"/>
                <w:color w:val="auto"/>
              </w:rPr>
              <w:t>Professional Experience:</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80"/>
              <w:spacing w:after="0" w:line="192" w:lineRule="exact"/>
              <w:rPr>
                <w:sz w:val="20"/>
                <w:szCs w:val="20"/>
                <w:color w:val="auto"/>
              </w:rPr>
            </w:pPr>
            <w:r>
              <w:rPr>
                <w:rFonts w:ascii="Arial" w:cs="Arial" w:eastAsia="Arial" w:hAnsi="Arial"/>
                <w:sz w:val="17"/>
                <w:szCs w:val="17"/>
                <w:color w:val="auto"/>
                <w:w w:val="99"/>
              </w:rPr>
              <w:t>Mr. Reynolds served as Executive Vice President and Chief Financial Officer of CBS Corporation, a mass</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80"/>
              <w:spacing w:after="0" w:line="192" w:lineRule="exact"/>
              <w:rPr>
                <w:sz w:val="20"/>
                <w:szCs w:val="20"/>
                <w:color w:val="auto"/>
              </w:rPr>
            </w:pPr>
            <w:r>
              <w:rPr>
                <w:rFonts w:ascii="Arial" w:cs="Arial" w:eastAsia="Arial" w:hAnsi="Arial"/>
                <w:sz w:val="17"/>
                <w:szCs w:val="17"/>
                <w:color w:val="auto"/>
              </w:rPr>
              <w:t>media company, from January 2006 until his retirement in August 2009. From 2001 until 2006,</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80"/>
              <w:spacing w:after="0" w:line="192" w:lineRule="exact"/>
              <w:rPr>
                <w:sz w:val="20"/>
                <w:szCs w:val="20"/>
                <w:color w:val="auto"/>
              </w:rPr>
            </w:pPr>
            <w:r>
              <w:rPr>
                <w:rFonts w:ascii="Arial" w:cs="Arial" w:eastAsia="Arial" w:hAnsi="Arial"/>
                <w:sz w:val="17"/>
                <w:szCs w:val="17"/>
                <w:color w:val="auto"/>
              </w:rPr>
              <w:t>Mr. Reynolds served as President and Chief Executive Officer of Viacom Television Stations Group and</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80"/>
              <w:spacing w:after="0" w:line="192" w:lineRule="exact"/>
              <w:rPr>
                <w:sz w:val="20"/>
                <w:szCs w:val="20"/>
                <w:color w:val="auto"/>
              </w:rPr>
            </w:pPr>
            <w:r>
              <w:rPr>
                <w:rFonts w:ascii="Arial" w:cs="Arial" w:eastAsia="Arial" w:hAnsi="Arial"/>
                <w:sz w:val="17"/>
                <w:szCs w:val="17"/>
                <w:color w:val="auto"/>
                <w:w w:val="97"/>
              </w:rPr>
              <w:t>Executive Vice President and Chief Financial Officer of the businesses that comprised Viacom Inc. He also</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80"/>
              <w:spacing w:after="0" w:line="192" w:lineRule="exact"/>
              <w:rPr>
                <w:sz w:val="20"/>
                <w:szCs w:val="20"/>
                <w:color w:val="auto"/>
              </w:rPr>
            </w:pPr>
            <w:r>
              <w:rPr>
                <w:rFonts w:ascii="Arial" w:cs="Arial" w:eastAsia="Arial" w:hAnsi="Arial"/>
                <w:sz w:val="17"/>
                <w:szCs w:val="17"/>
                <w:color w:val="auto"/>
              </w:rPr>
              <w:t>served as Executive Vice President and Chief Financial Officer of CBS Corporation and its predecessor,</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80"/>
              <w:spacing w:after="0" w:line="192" w:lineRule="exact"/>
              <w:rPr>
                <w:sz w:val="20"/>
                <w:szCs w:val="20"/>
                <w:color w:val="auto"/>
              </w:rPr>
            </w:pPr>
            <w:r>
              <w:rPr>
                <w:rFonts w:ascii="Arial" w:cs="Arial" w:eastAsia="Arial" w:hAnsi="Arial"/>
                <w:sz w:val="17"/>
                <w:szCs w:val="17"/>
                <w:color w:val="auto"/>
              </w:rPr>
              <w:t>Westinghouse Electric Corporation, from 1994 to 2000. Prior to that, Mr. Reynolds served in various</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80"/>
              <w:spacing w:after="0" w:line="192" w:lineRule="exact"/>
              <w:rPr>
                <w:sz w:val="20"/>
                <w:szCs w:val="20"/>
                <w:color w:val="auto"/>
              </w:rPr>
            </w:pPr>
            <w:r>
              <w:rPr>
                <w:rFonts w:ascii="Arial" w:cs="Arial" w:eastAsia="Arial" w:hAnsi="Arial"/>
                <w:sz w:val="17"/>
                <w:szCs w:val="17"/>
                <w:color w:val="auto"/>
              </w:rPr>
              <w:t>capacities with PepsiCo, Inc., a food and beverage company, for twelve years, including Chief Financial</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80"/>
              <w:spacing w:after="0" w:line="192" w:lineRule="exact"/>
              <w:rPr>
                <w:sz w:val="20"/>
                <w:szCs w:val="20"/>
                <w:color w:val="auto"/>
              </w:rPr>
            </w:pPr>
            <w:r>
              <w:rPr>
                <w:rFonts w:ascii="Arial" w:cs="Arial" w:eastAsia="Arial" w:hAnsi="Arial"/>
                <w:sz w:val="17"/>
                <w:szCs w:val="17"/>
                <w:color w:val="auto"/>
                <w:w w:val="99"/>
              </w:rPr>
              <w:t>Officer or Financial Officer at Pizza Hut, Pepsi Cola International, Kentucky Fried Chicken Worldwide and</w:t>
            </w:r>
          </w:p>
        </w:tc>
        <w:tc>
          <w:tcPr>
            <w:tcW w:w="0" w:type="dxa"/>
            <w:vAlign w:val="bottom"/>
          </w:tcPr>
          <w:p>
            <w:pPr>
              <w:spacing w:after="0"/>
              <w:rPr>
                <w:sz w:val="1"/>
                <w:szCs w:val="1"/>
                <w:color w:val="auto"/>
              </w:rPr>
            </w:pPr>
          </w:p>
        </w:tc>
      </w:tr>
      <w:tr>
        <w:trPr>
          <w:trHeight w:val="200"/>
        </w:trPr>
        <w:tc>
          <w:tcPr>
            <w:tcW w:w="3360" w:type="dxa"/>
            <w:vAlign w:val="bottom"/>
            <w:vMerge w:val="restart"/>
          </w:tcPr>
          <w:p>
            <w:pPr>
              <w:spacing w:after="0"/>
              <w:rPr>
                <w:sz w:val="20"/>
                <w:szCs w:val="20"/>
                <w:color w:val="auto"/>
              </w:rPr>
            </w:pPr>
            <w:r>
              <w:rPr>
                <w:rFonts w:ascii="Arial" w:cs="Arial" w:eastAsia="Arial" w:hAnsi="Arial"/>
                <w:sz w:val="17"/>
                <w:szCs w:val="17"/>
                <w:color w:val="auto"/>
              </w:rPr>
              <w:t>Fredric G. Reynolds</w:t>
            </w:r>
          </w:p>
        </w:tc>
        <w:tc>
          <w:tcPr>
            <w:tcW w:w="8060" w:type="dxa"/>
            <w:vAlign w:val="bottom"/>
          </w:tcPr>
          <w:p>
            <w:pPr>
              <w:ind w:left="180"/>
              <w:spacing w:after="0"/>
              <w:rPr>
                <w:sz w:val="20"/>
                <w:szCs w:val="20"/>
                <w:color w:val="auto"/>
              </w:rPr>
            </w:pPr>
            <w:r>
              <w:rPr>
                <w:rFonts w:ascii="Arial" w:cs="Arial" w:eastAsia="Arial" w:hAnsi="Arial"/>
                <w:sz w:val="17"/>
                <w:szCs w:val="17"/>
                <w:color w:val="auto"/>
              </w:rPr>
              <w:t>Frito-Lay.</w:t>
            </w:r>
          </w:p>
        </w:tc>
        <w:tc>
          <w:tcPr>
            <w:tcW w:w="0" w:type="dxa"/>
            <w:vAlign w:val="bottom"/>
          </w:tcPr>
          <w:p>
            <w:pPr>
              <w:spacing w:after="0"/>
              <w:rPr>
                <w:sz w:val="1"/>
                <w:szCs w:val="1"/>
                <w:color w:val="auto"/>
              </w:rPr>
            </w:pPr>
          </w:p>
        </w:tc>
      </w:tr>
      <w:tr>
        <w:trPr>
          <w:trHeight w:val="102"/>
        </w:trPr>
        <w:tc>
          <w:tcPr>
            <w:tcW w:w="3360" w:type="dxa"/>
            <w:vAlign w:val="bottom"/>
            <w:vMerge w:val="continue"/>
          </w:tcPr>
          <w:p>
            <w:pPr>
              <w:spacing w:after="0"/>
              <w:rPr>
                <w:sz w:val="8"/>
                <w:szCs w:val="8"/>
                <w:color w:val="auto"/>
              </w:rPr>
            </w:pPr>
          </w:p>
        </w:tc>
        <w:tc>
          <w:tcPr>
            <w:tcW w:w="8060" w:type="dxa"/>
            <w:vAlign w:val="bottom"/>
            <w:vMerge w:val="restart"/>
          </w:tcPr>
          <w:p>
            <w:pPr>
              <w:ind w:left="180"/>
              <w:spacing w:after="0"/>
              <w:rPr>
                <w:sz w:val="20"/>
                <w:szCs w:val="20"/>
                <w:color w:val="auto"/>
              </w:rPr>
            </w:pPr>
            <w:r>
              <w:rPr>
                <w:rFonts w:ascii="Arial" w:cs="Arial" w:eastAsia="Arial" w:hAnsi="Arial"/>
                <w:sz w:val="17"/>
                <w:szCs w:val="17"/>
                <w:i w:val="1"/>
                <w:iCs w:val="1"/>
                <w:color w:val="auto"/>
              </w:rPr>
              <w:t>Education:</w:t>
            </w:r>
          </w:p>
        </w:tc>
        <w:tc>
          <w:tcPr>
            <w:tcW w:w="0" w:type="dxa"/>
            <w:vAlign w:val="bottom"/>
          </w:tcPr>
          <w:p>
            <w:pPr>
              <w:spacing w:after="0"/>
              <w:rPr>
                <w:sz w:val="1"/>
                <w:szCs w:val="1"/>
                <w:color w:val="auto"/>
              </w:rPr>
            </w:pPr>
          </w:p>
        </w:tc>
      </w:tr>
      <w:tr>
        <w:trPr>
          <w:trHeight w:val="158"/>
        </w:trPr>
        <w:tc>
          <w:tcPr>
            <w:tcW w:w="3360" w:type="dxa"/>
            <w:vAlign w:val="bottom"/>
            <w:vMerge w:val="restart"/>
          </w:tcPr>
          <w:p>
            <w:pPr>
              <w:spacing w:after="0"/>
              <w:rPr>
                <w:sz w:val="20"/>
                <w:szCs w:val="20"/>
                <w:color w:val="auto"/>
              </w:rPr>
            </w:pPr>
            <w:r>
              <w:rPr>
                <w:rFonts w:ascii="Arial" w:cs="Arial" w:eastAsia="Arial" w:hAnsi="Arial"/>
                <w:sz w:val="17"/>
                <w:szCs w:val="17"/>
                <w:color w:val="auto"/>
              </w:rPr>
              <w:t>Former Executive Vice President and Chief</w:t>
            </w:r>
          </w:p>
        </w:tc>
        <w:tc>
          <w:tcPr>
            <w:tcW w:w="8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360" w:type="dxa"/>
            <w:vAlign w:val="bottom"/>
            <w:vMerge w:val="continue"/>
          </w:tcPr>
          <w:p>
            <w:pPr>
              <w:spacing w:after="0"/>
              <w:rPr>
                <w:sz w:val="8"/>
                <w:szCs w:val="8"/>
                <w:color w:val="auto"/>
              </w:rPr>
            </w:pPr>
          </w:p>
        </w:tc>
        <w:tc>
          <w:tcPr>
            <w:tcW w:w="8060" w:type="dxa"/>
            <w:vAlign w:val="bottom"/>
            <w:vMerge w:val="restart"/>
          </w:tcPr>
          <w:p>
            <w:pPr>
              <w:ind w:left="180"/>
              <w:spacing w:after="0" w:line="192" w:lineRule="exact"/>
              <w:rPr>
                <w:sz w:val="20"/>
                <w:szCs w:val="20"/>
                <w:color w:val="auto"/>
              </w:rPr>
            </w:pPr>
            <w:r>
              <w:rPr>
                <w:rFonts w:ascii="Arial" w:cs="Arial" w:eastAsia="Arial" w:hAnsi="Arial"/>
                <w:sz w:val="17"/>
                <w:szCs w:val="17"/>
                <w:color w:val="auto"/>
              </w:rPr>
              <w:t>Mr. Reynolds received a Bachelor’s Degree in Business Administration in Finance from the University of</w:t>
            </w:r>
          </w:p>
        </w:tc>
        <w:tc>
          <w:tcPr>
            <w:tcW w:w="0" w:type="dxa"/>
            <w:vAlign w:val="bottom"/>
          </w:tcPr>
          <w:p>
            <w:pPr>
              <w:spacing w:after="0"/>
              <w:rPr>
                <w:sz w:val="1"/>
                <w:szCs w:val="1"/>
                <w:color w:val="auto"/>
              </w:rPr>
            </w:pPr>
          </w:p>
        </w:tc>
      </w:tr>
      <w:tr>
        <w:trPr>
          <w:trHeight w:val="90"/>
        </w:trPr>
        <w:tc>
          <w:tcPr>
            <w:tcW w:w="3360" w:type="dxa"/>
            <w:vAlign w:val="bottom"/>
            <w:vMerge w:val="restart"/>
          </w:tcPr>
          <w:p>
            <w:pPr>
              <w:spacing w:after="0"/>
              <w:rPr>
                <w:sz w:val="20"/>
                <w:szCs w:val="20"/>
                <w:color w:val="auto"/>
              </w:rPr>
            </w:pPr>
            <w:r>
              <w:rPr>
                <w:rFonts w:ascii="Arial" w:cs="Arial" w:eastAsia="Arial" w:hAnsi="Arial"/>
                <w:sz w:val="17"/>
                <w:szCs w:val="17"/>
                <w:color w:val="auto"/>
              </w:rPr>
              <w:t>Financial Officer, CBS Corporation</w:t>
            </w: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3360" w:type="dxa"/>
            <w:vAlign w:val="bottom"/>
            <w:vMerge w:val="continue"/>
          </w:tcPr>
          <w:p>
            <w:pPr>
              <w:spacing w:after="0"/>
              <w:rPr>
                <w:sz w:val="9"/>
                <w:szCs w:val="9"/>
                <w:color w:val="auto"/>
              </w:rPr>
            </w:pPr>
          </w:p>
        </w:tc>
        <w:tc>
          <w:tcPr>
            <w:tcW w:w="8060" w:type="dxa"/>
            <w:vAlign w:val="bottom"/>
            <w:vMerge w:val="restart"/>
          </w:tcPr>
          <w:p>
            <w:pPr>
              <w:ind w:left="180"/>
              <w:spacing w:after="0"/>
              <w:rPr>
                <w:sz w:val="20"/>
                <w:szCs w:val="20"/>
                <w:color w:val="auto"/>
              </w:rPr>
            </w:pPr>
            <w:r>
              <w:rPr>
                <w:rFonts w:ascii="Arial" w:cs="Arial" w:eastAsia="Arial" w:hAnsi="Arial"/>
                <w:sz w:val="17"/>
                <w:szCs w:val="17"/>
                <w:color w:val="auto"/>
              </w:rPr>
              <w:t>Miami and is a certified public accountant.</w:t>
            </w:r>
          </w:p>
        </w:tc>
        <w:tc>
          <w:tcPr>
            <w:tcW w:w="0" w:type="dxa"/>
            <w:vAlign w:val="bottom"/>
          </w:tcPr>
          <w:p>
            <w:pPr>
              <w:spacing w:after="0"/>
              <w:rPr>
                <w:sz w:val="1"/>
                <w:szCs w:val="1"/>
                <w:color w:val="auto"/>
              </w:rPr>
            </w:pPr>
          </w:p>
        </w:tc>
      </w:tr>
      <w:tr>
        <w:trPr>
          <w:trHeight w:val="90"/>
        </w:trPr>
        <w:tc>
          <w:tcPr>
            <w:tcW w:w="3360" w:type="dxa"/>
            <w:vAlign w:val="bottom"/>
            <w:vMerge w:val="restart"/>
          </w:tcPr>
          <w:p>
            <w:pPr>
              <w:spacing w:after="0"/>
              <w:rPr>
                <w:sz w:val="20"/>
                <w:szCs w:val="20"/>
                <w:color w:val="auto"/>
              </w:rPr>
            </w:pPr>
            <w:r>
              <w:rPr>
                <w:rFonts w:ascii="Arial" w:cs="Arial" w:eastAsia="Arial" w:hAnsi="Arial"/>
                <w:sz w:val="17"/>
                <w:szCs w:val="17"/>
                <w:color w:val="auto"/>
              </w:rPr>
              <w:t>Director since December 2007</w:t>
            </w: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3360" w:type="dxa"/>
            <w:vAlign w:val="bottom"/>
            <w:vMerge w:val="continue"/>
          </w:tcPr>
          <w:p>
            <w:pPr>
              <w:spacing w:after="0"/>
              <w:rPr>
                <w:sz w:val="15"/>
                <w:szCs w:val="15"/>
                <w:color w:val="auto"/>
              </w:rPr>
            </w:pPr>
          </w:p>
        </w:tc>
        <w:tc>
          <w:tcPr>
            <w:tcW w:w="8060" w:type="dxa"/>
            <w:vAlign w:val="bottom"/>
            <w:vMerge w:val="restart"/>
          </w:tcPr>
          <w:p>
            <w:pPr>
              <w:ind w:left="180"/>
              <w:spacing w:after="0"/>
              <w:rPr>
                <w:sz w:val="20"/>
                <w:szCs w:val="20"/>
                <w:color w:val="auto"/>
              </w:rPr>
            </w:pPr>
            <w:r>
              <w:rPr>
                <w:rFonts w:ascii="Arial" w:cs="Arial" w:eastAsia="Arial" w:hAnsi="Arial"/>
                <w:sz w:val="17"/>
                <w:szCs w:val="17"/>
                <w:i w:val="1"/>
                <w:iCs w:val="1"/>
                <w:color w:val="auto"/>
              </w:rPr>
              <w:t>Public Company Boards:</w:t>
            </w:r>
          </w:p>
        </w:tc>
        <w:tc>
          <w:tcPr>
            <w:tcW w:w="0" w:type="dxa"/>
            <w:vAlign w:val="bottom"/>
          </w:tcPr>
          <w:p>
            <w:pPr>
              <w:spacing w:after="0"/>
              <w:rPr>
                <w:sz w:val="1"/>
                <w:szCs w:val="1"/>
                <w:color w:val="auto"/>
              </w:rPr>
            </w:pPr>
          </w:p>
        </w:tc>
      </w:tr>
      <w:tr>
        <w:trPr>
          <w:trHeight w:val="81"/>
        </w:trPr>
        <w:tc>
          <w:tcPr>
            <w:tcW w:w="3360" w:type="dxa"/>
            <w:vAlign w:val="bottom"/>
            <w:vMerge w:val="restart"/>
          </w:tcPr>
          <w:p>
            <w:pPr>
              <w:spacing w:after="0"/>
              <w:rPr>
                <w:sz w:val="20"/>
                <w:szCs w:val="20"/>
                <w:color w:val="auto"/>
              </w:rPr>
            </w:pPr>
            <w:r>
              <w:rPr>
                <w:rFonts w:ascii="Arial" w:cs="Arial" w:eastAsia="Arial" w:hAnsi="Arial"/>
                <w:sz w:val="17"/>
                <w:szCs w:val="17"/>
                <w:color w:val="auto"/>
              </w:rPr>
              <w:t>Committees:</w:t>
            </w: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3360" w:type="dxa"/>
            <w:vAlign w:val="bottom"/>
            <w:vMerge w:val="continue"/>
          </w:tcPr>
          <w:p>
            <w:pPr>
              <w:spacing w:after="0"/>
              <w:rPr>
                <w:sz w:val="17"/>
                <w:szCs w:val="17"/>
                <w:color w:val="auto"/>
              </w:rPr>
            </w:pPr>
          </w:p>
        </w:tc>
        <w:tc>
          <w:tcPr>
            <w:tcW w:w="8060" w:type="dxa"/>
            <w:vAlign w:val="bottom"/>
          </w:tcPr>
          <w:p>
            <w:pPr>
              <w:ind w:left="180"/>
              <w:spacing w:after="0"/>
              <w:rPr>
                <w:sz w:val="20"/>
                <w:szCs w:val="20"/>
                <w:color w:val="auto"/>
              </w:rPr>
            </w:pPr>
            <w:r>
              <w:rPr>
                <w:rFonts w:ascii="Arial" w:cs="Arial" w:eastAsia="Arial" w:hAnsi="Arial"/>
                <w:sz w:val="17"/>
                <w:szCs w:val="17"/>
                <w:color w:val="auto"/>
              </w:rPr>
              <w:t>Mr. Reynolds is a director of AOL, Inc.</w:t>
            </w:r>
          </w:p>
        </w:tc>
        <w:tc>
          <w:tcPr>
            <w:tcW w:w="0" w:type="dxa"/>
            <w:vAlign w:val="bottom"/>
          </w:tcPr>
          <w:p>
            <w:pPr>
              <w:spacing w:after="0"/>
              <w:rPr>
                <w:sz w:val="1"/>
                <w:szCs w:val="1"/>
                <w:color w:val="auto"/>
              </w:rPr>
            </w:pPr>
          </w:p>
        </w:tc>
      </w:tr>
      <w:tr>
        <w:trPr>
          <w:trHeight w:val="247"/>
        </w:trPr>
        <w:tc>
          <w:tcPr>
            <w:tcW w:w="3360" w:type="dxa"/>
            <w:vAlign w:val="bottom"/>
          </w:tcPr>
          <w:p>
            <w:pPr>
              <w:ind w:left="420"/>
              <w:spacing w:after="0"/>
              <w:rPr>
                <w:sz w:val="20"/>
                <w:szCs w:val="20"/>
                <w:color w:val="auto"/>
              </w:rPr>
            </w:pPr>
            <w:r>
              <w:rPr>
                <w:rFonts w:ascii="Arial" w:cs="Arial" w:eastAsia="Arial" w:hAnsi="Arial"/>
                <w:sz w:val="17"/>
                <w:szCs w:val="17"/>
                <w:color w:val="auto"/>
              </w:rPr>
              <w:t>• Chair, Audit</w:t>
            </w:r>
          </w:p>
        </w:tc>
        <w:tc>
          <w:tcPr>
            <w:tcW w:w="8060" w:type="dxa"/>
            <w:vAlign w:val="bottom"/>
          </w:tcPr>
          <w:p>
            <w:pPr>
              <w:ind w:left="180"/>
              <w:spacing w:after="0"/>
              <w:rPr>
                <w:sz w:val="20"/>
                <w:szCs w:val="20"/>
                <w:color w:val="auto"/>
              </w:rPr>
            </w:pPr>
            <w:r>
              <w:rPr>
                <w:rFonts w:ascii="Arial" w:cs="Arial" w:eastAsia="Arial" w:hAnsi="Arial"/>
                <w:sz w:val="17"/>
                <w:szCs w:val="17"/>
                <w:i w:val="1"/>
                <w:iCs w:val="1"/>
                <w:color w:val="auto"/>
              </w:rPr>
              <w:t>Director Qualifications:</w:t>
            </w:r>
          </w:p>
        </w:tc>
        <w:tc>
          <w:tcPr>
            <w:tcW w:w="0" w:type="dxa"/>
            <w:vAlign w:val="bottom"/>
          </w:tcPr>
          <w:p>
            <w:pPr>
              <w:spacing w:after="0"/>
              <w:rPr>
                <w:sz w:val="1"/>
                <w:szCs w:val="1"/>
                <w:color w:val="auto"/>
              </w:rPr>
            </w:pPr>
          </w:p>
        </w:tc>
      </w:tr>
      <w:tr>
        <w:trPr>
          <w:trHeight w:val="205"/>
        </w:trPr>
        <w:tc>
          <w:tcPr>
            <w:tcW w:w="3360" w:type="dxa"/>
            <w:vAlign w:val="bottom"/>
          </w:tcPr>
          <w:p>
            <w:pPr>
              <w:ind w:left="420"/>
              <w:spacing w:after="0"/>
              <w:rPr>
                <w:sz w:val="20"/>
                <w:szCs w:val="20"/>
                <w:color w:val="auto"/>
              </w:rPr>
            </w:pPr>
            <w:r>
              <w:rPr>
                <w:rFonts w:ascii="Arial" w:cs="Arial" w:eastAsia="Arial" w:hAnsi="Arial"/>
                <w:sz w:val="17"/>
                <w:szCs w:val="17"/>
                <w:color w:val="auto"/>
              </w:rPr>
              <w:t>• Finance</w:t>
            </w:r>
          </w:p>
        </w:tc>
        <w:tc>
          <w:tcPr>
            <w:tcW w:w="8060" w:type="dxa"/>
            <w:vAlign w:val="bottom"/>
          </w:tcPr>
          <w:p>
            <w:pPr>
              <w:ind w:left="700"/>
              <w:spacing w:after="0"/>
              <w:rPr>
                <w:sz w:val="20"/>
                <w:szCs w:val="20"/>
                <w:color w:val="auto"/>
              </w:rPr>
            </w:pPr>
            <w:r>
              <w:rPr>
                <w:rFonts w:ascii="Arial" w:cs="Arial" w:eastAsia="Arial" w:hAnsi="Arial"/>
                <w:sz w:val="17"/>
                <w:szCs w:val="17"/>
                <w:color w:val="auto"/>
              </w:rPr>
              <w:t>•  Leadership, Operating and Global Business experience – former President, Chief Executive</w:t>
            </w:r>
          </w:p>
        </w:tc>
        <w:tc>
          <w:tcPr>
            <w:tcW w:w="0" w:type="dxa"/>
            <w:vAlign w:val="bottom"/>
          </w:tcPr>
          <w:p>
            <w:pPr>
              <w:spacing w:after="0"/>
              <w:rPr>
                <w:sz w:val="1"/>
                <w:szCs w:val="1"/>
                <w:color w:val="auto"/>
              </w:rPr>
            </w:pPr>
          </w:p>
        </w:tc>
      </w:tr>
      <w:tr>
        <w:trPr>
          <w:trHeight w:val="192"/>
        </w:trPr>
        <w:tc>
          <w:tcPr>
            <w:tcW w:w="3360" w:type="dxa"/>
            <w:vAlign w:val="bottom"/>
            <w:vMerge w:val="restart"/>
          </w:tcPr>
          <w:p>
            <w:pPr>
              <w:spacing w:after="0"/>
              <w:rPr>
                <w:sz w:val="20"/>
                <w:szCs w:val="20"/>
                <w:color w:val="auto"/>
              </w:rPr>
            </w:pPr>
            <w:r>
              <w:rPr>
                <w:rFonts w:ascii="Arial" w:cs="Arial" w:eastAsia="Arial" w:hAnsi="Arial"/>
                <w:sz w:val="17"/>
                <w:szCs w:val="17"/>
                <w:color w:val="auto"/>
              </w:rPr>
              <w:t>Age: 61</w:t>
            </w:r>
          </w:p>
        </w:tc>
        <w:tc>
          <w:tcPr>
            <w:tcW w:w="8060" w:type="dxa"/>
            <w:vAlign w:val="bottom"/>
          </w:tcPr>
          <w:p>
            <w:pPr>
              <w:ind w:left="1000"/>
              <w:spacing w:after="0" w:line="192" w:lineRule="exact"/>
              <w:rPr>
                <w:sz w:val="20"/>
                <w:szCs w:val="20"/>
                <w:color w:val="auto"/>
              </w:rPr>
            </w:pPr>
            <w:r>
              <w:rPr>
                <w:rFonts w:ascii="Arial" w:cs="Arial" w:eastAsia="Arial" w:hAnsi="Arial"/>
                <w:sz w:val="17"/>
                <w:szCs w:val="17"/>
                <w:color w:val="auto"/>
              </w:rPr>
              <w:t>Officer, Executive Vice President and Chief Financial Officer of global media companies and</w:t>
            </w:r>
          </w:p>
        </w:tc>
        <w:tc>
          <w:tcPr>
            <w:tcW w:w="0" w:type="dxa"/>
            <w:vAlign w:val="bottom"/>
          </w:tcPr>
          <w:p>
            <w:pPr>
              <w:spacing w:after="0"/>
              <w:rPr>
                <w:sz w:val="1"/>
                <w:szCs w:val="1"/>
                <w:color w:val="auto"/>
              </w:rPr>
            </w:pPr>
          </w:p>
        </w:tc>
      </w:tr>
      <w:tr>
        <w:trPr>
          <w:trHeight w:val="73"/>
        </w:trPr>
        <w:tc>
          <w:tcPr>
            <w:tcW w:w="3360" w:type="dxa"/>
            <w:vAlign w:val="bottom"/>
            <w:vMerge w:val="continue"/>
          </w:tcPr>
          <w:p>
            <w:pPr>
              <w:spacing w:after="0"/>
              <w:rPr>
                <w:sz w:val="6"/>
                <w:szCs w:val="6"/>
                <w:color w:val="auto"/>
              </w:rPr>
            </w:pPr>
          </w:p>
        </w:tc>
        <w:tc>
          <w:tcPr>
            <w:tcW w:w="8060" w:type="dxa"/>
            <w:vAlign w:val="bottom"/>
            <w:vMerge w:val="restart"/>
          </w:tcPr>
          <w:p>
            <w:pPr>
              <w:ind w:left="1000"/>
              <w:spacing w:after="0" w:line="192" w:lineRule="exact"/>
              <w:rPr>
                <w:sz w:val="20"/>
                <w:szCs w:val="20"/>
                <w:color w:val="auto"/>
              </w:rPr>
            </w:pPr>
            <w:r>
              <w:rPr>
                <w:rFonts w:ascii="Arial" w:cs="Arial" w:eastAsia="Arial" w:hAnsi="Arial"/>
                <w:sz w:val="17"/>
                <w:szCs w:val="17"/>
                <w:color w:val="auto"/>
              </w:rPr>
              <w:t>divisions of a global food and beverage company</w:t>
            </w:r>
          </w:p>
        </w:tc>
        <w:tc>
          <w:tcPr>
            <w:tcW w:w="0" w:type="dxa"/>
            <w:vAlign w:val="bottom"/>
          </w:tcPr>
          <w:p>
            <w:pPr>
              <w:spacing w:after="0"/>
              <w:rPr>
                <w:sz w:val="1"/>
                <w:szCs w:val="1"/>
                <w:color w:val="auto"/>
              </w:rPr>
            </w:pPr>
          </w:p>
        </w:tc>
      </w:tr>
      <w:tr>
        <w:trPr>
          <w:trHeight w:val="119"/>
        </w:trPr>
        <w:tc>
          <w:tcPr>
            <w:tcW w:w="336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700"/>
              <w:spacing w:after="0" w:line="192" w:lineRule="exact"/>
              <w:rPr>
                <w:sz w:val="20"/>
                <w:szCs w:val="20"/>
                <w:color w:val="auto"/>
              </w:rPr>
            </w:pPr>
            <w:r>
              <w:rPr>
                <w:rFonts w:ascii="Arial" w:cs="Arial" w:eastAsia="Arial" w:hAnsi="Arial"/>
                <w:sz w:val="17"/>
                <w:szCs w:val="17"/>
                <w:color w:val="auto"/>
                <w:w w:val="99"/>
              </w:rPr>
              <w:t>•  Industry Knowledge – twelve years in various positions, including key roles, at a global food and</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000"/>
              <w:spacing w:after="0" w:line="192" w:lineRule="exact"/>
              <w:rPr>
                <w:sz w:val="20"/>
                <w:szCs w:val="20"/>
                <w:color w:val="auto"/>
              </w:rPr>
            </w:pPr>
            <w:r>
              <w:rPr>
                <w:rFonts w:ascii="Arial" w:cs="Arial" w:eastAsia="Arial" w:hAnsi="Arial"/>
                <w:sz w:val="17"/>
                <w:szCs w:val="17"/>
                <w:color w:val="auto"/>
              </w:rPr>
              <w:t>beverage company</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700"/>
              <w:spacing w:after="0" w:line="192" w:lineRule="exact"/>
              <w:rPr>
                <w:sz w:val="20"/>
                <w:szCs w:val="20"/>
                <w:color w:val="auto"/>
              </w:rPr>
            </w:pPr>
            <w:r>
              <w:rPr>
                <w:rFonts w:ascii="Arial" w:cs="Arial" w:eastAsia="Arial" w:hAnsi="Arial"/>
                <w:sz w:val="17"/>
                <w:szCs w:val="17"/>
                <w:color w:val="auto"/>
              </w:rPr>
              <w:t>•  Accounting and Financial expertise – former Chief Financial Officer of a mass media company</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1000"/>
              <w:spacing w:after="0" w:line="192" w:lineRule="exact"/>
              <w:rPr>
                <w:sz w:val="20"/>
                <w:szCs w:val="20"/>
                <w:color w:val="auto"/>
              </w:rPr>
            </w:pPr>
            <w:r>
              <w:rPr>
                <w:rFonts w:ascii="Arial" w:cs="Arial" w:eastAsia="Arial" w:hAnsi="Arial"/>
                <w:sz w:val="17"/>
                <w:szCs w:val="17"/>
                <w:color w:val="auto"/>
              </w:rPr>
              <w:t>and divisions of a global food and beverage company, and certified public accountant</w:t>
            </w:r>
          </w:p>
        </w:tc>
        <w:tc>
          <w:tcPr>
            <w:tcW w:w="0" w:type="dxa"/>
            <w:vAlign w:val="bottom"/>
          </w:tcPr>
          <w:p>
            <w:pPr>
              <w:spacing w:after="0"/>
              <w:rPr>
                <w:sz w:val="1"/>
                <w:szCs w:val="1"/>
                <w:color w:val="auto"/>
              </w:rPr>
            </w:pPr>
          </w:p>
        </w:tc>
      </w:tr>
      <w:tr>
        <w:trPr>
          <w:trHeight w:val="192"/>
        </w:trPr>
        <w:tc>
          <w:tcPr>
            <w:tcW w:w="3360" w:type="dxa"/>
            <w:vAlign w:val="bottom"/>
          </w:tcPr>
          <w:p>
            <w:pPr>
              <w:spacing w:after="0"/>
              <w:rPr>
                <w:sz w:val="16"/>
                <w:szCs w:val="16"/>
                <w:color w:val="auto"/>
              </w:rPr>
            </w:pPr>
          </w:p>
        </w:tc>
        <w:tc>
          <w:tcPr>
            <w:tcW w:w="8060" w:type="dxa"/>
            <w:vAlign w:val="bottom"/>
          </w:tcPr>
          <w:p>
            <w:pPr>
              <w:ind w:left="700"/>
              <w:spacing w:after="0" w:line="192" w:lineRule="exact"/>
              <w:rPr>
                <w:sz w:val="20"/>
                <w:szCs w:val="20"/>
                <w:color w:val="auto"/>
              </w:rPr>
            </w:pPr>
            <w:r>
              <w:rPr>
                <w:rFonts w:ascii="Arial" w:cs="Arial" w:eastAsia="Arial" w:hAnsi="Arial"/>
                <w:sz w:val="17"/>
                <w:szCs w:val="17"/>
                <w:color w:val="auto"/>
              </w:rPr>
              <w:t>•  Public Company Board and Corporate Governance experience – current director of another</w:t>
            </w:r>
          </w:p>
        </w:tc>
        <w:tc>
          <w:tcPr>
            <w:tcW w:w="0" w:type="dxa"/>
            <w:vAlign w:val="bottom"/>
          </w:tcPr>
          <w:p>
            <w:pPr>
              <w:spacing w:after="0"/>
              <w:rPr>
                <w:sz w:val="1"/>
                <w:szCs w:val="1"/>
                <w:color w:val="auto"/>
              </w:rPr>
            </w:pPr>
          </w:p>
        </w:tc>
      </w:tr>
      <w:tr>
        <w:trPr>
          <w:trHeight w:val="201"/>
        </w:trPr>
        <w:tc>
          <w:tcPr>
            <w:tcW w:w="3360" w:type="dxa"/>
            <w:vAlign w:val="bottom"/>
            <w:tcBorders>
              <w:bottom w:val="single" w:sz="8" w:color="auto"/>
            </w:tcBorders>
          </w:tcPr>
          <w:p>
            <w:pPr>
              <w:spacing w:after="0"/>
              <w:rPr>
                <w:sz w:val="17"/>
                <w:szCs w:val="17"/>
                <w:color w:val="auto"/>
              </w:rPr>
            </w:pPr>
          </w:p>
        </w:tc>
        <w:tc>
          <w:tcPr>
            <w:tcW w:w="8060" w:type="dxa"/>
            <w:vAlign w:val="bottom"/>
            <w:tcBorders>
              <w:bottom w:val="single" w:sz="8" w:color="auto"/>
            </w:tcBorders>
          </w:tcPr>
          <w:p>
            <w:pPr>
              <w:ind w:left="1000"/>
              <w:spacing w:after="0"/>
              <w:rPr>
                <w:sz w:val="20"/>
                <w:szCs w:val="20"/>
                <w:color w:val="auto"/>
              </w:rPr>
            </w:pPr>
            <w:r>
              <w:rPr>
                <w:rFonts w:ascii="Arial" w:cs="Arial" w:eastAsia="Arial" w:hAnsi="Arial"/>
                <w:sz w:val="17"/>
                <w:szCs w:val="17"/>
                <w:color w:val="auto"/>
              </w:rPr>
              <w:t>global public company</w:t>
            </w:r>
          </w:p>
        </w:tc>
        <w:tc>
          <w:tcPr>
            <w:tcW w:w="0" w:type="dxa"/>
            <w:vAlign w:val="bottom"/>
          </w:tcPr>
          <w:p>
            <w:pPr>
              <w:spacing w:after="0"/>
              <w:rPr>
                <w:sz w:val="1"/>
                <w:szCs w:val="1"/>
                <w:color w:val="auto"/>
              </w:rPr>
            </w:pPr>
          </w:p>
        </w:tc>
      </w:tr>
      <w:tr>
        <w:trPr>
          <w:trHeight w:val="338"/>
        </w:trPr>
        <w:tc>
          <w:tcPr>
            <w:tcW w:w="3360" w:type="dxa"/>
            <w:vAlign w:val="bottom"/>
          </w:tcPr>
          <w:p>
            <w:pPr>
              <w:spacing w:after="0"/>
              <w:rPr>
                <w:sz w:val="24"/>
                <w:szCs w:val="24"/>
                <w:color w:val="auto"/>
              </w:rPr>
            </w:pPr>
          </w:p>
        </w:tc>
        <w:tc>
          <w:tcPr>
            <w:tcW w:w="8060" w:type="dxa"/>
            <w:vAlign w:val="bottom"/>
          </w:tcPr>
          <w:p>
            <w:pPr>
              <w:ind w:left="22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-3426460</wp:posOffset>
            </wp:positionV>
            <wp:extent cx="715010" cy="1039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010" cy="103949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2536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8240" w:type="dxa"/>
            <w:vAlign w:val="bottom"/>
          </w:tcPr>
          <w:p>
            <w:pPr>
              <w:ind w:left="360"/>
              <w:spacing w:after="0"/>
              <w:rPr>
                <w:sz w:val="20"/>
                <w:szCs w:val="20"/>
                <w:color w:val="auto"/>
              </w:rPr>
            </w:pPr>
            <w:r>
              <w:rPr>
                <w:rFonts w:ascii="Arial" w:cs="Arial" w:eastAsia="Arial" w:hAnsi="Arial"/>
                <w:sz w:val="17"/>
                <w:szCs w:val="17"/>
                <w:i w:val="1"/>
                <w:iCs w:val="1"/>
                <w:color w:val="auto"/>
              </w:rPr>
              <w:t>Professional Experience:</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rPr>
              <w:t>Ms. Rosenfeld was appointed Chief Executive Officer and a member of the Board of Kraft Foods in June</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w w:val="97"/>
              </w:rPr>
              <w:t>2006 and Chairman of the Board in March 2007. Prior to that, she had been Chairman and Chief Executive</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rPr>
              <w:t>Officer of Frito-Lay, a division of PepsiCo, Inc., a food and beverage company, from September 2004 to</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rPr>
              <w:t>June 2006. Previously, Ms. Rosenfeld was employed continuously by Kraft Foods and its predecessor,</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w w:val="99"/>
              </w:rPr>
              <w:t>General Foods Corporation, in various capacities from 1981 until 2003, including President of Kraft Foods</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rPr>
              <w:t>North America and President of Operations, Technology, Information Systems and Kraft Foods Canada,</w:t>
            </w:r>
          </w:p>
        </w:tc>
        <w:tc>
          <w:tcPr>
            <w:tcW w:w="0" w:type="dxa"/>
            <w:vAlign w:val="bottom"/>
          </w:tcPr>
          <w:p>
            <w:pPr>
              <w:spacing w:after="0"/>
              <w:rPr>
                <w:sz w:val="1"/>
                <w:szCs w:val="1"/>
                <w:color w:val="auto"/>
              </w:rPr>
            </w:pPr>
          </w:p>
        </w:tc>
      </w:tr>
      <w:tr>
        <w:trPr>
          <w:trHeight w:val="200"/>
        </w:trPr>
        <w:tc>
          <w:tcPr>
            <w:tcW w:w="3180" w:type="dxa"/>
            <w:vAlign w:val="bottom"/>
          </w:tcPr>
          <w:p>
            <w:pPr>
              <w:spacing w:after="0"/>
              <w:rPr>
                <w:sz w:val="17"/>
                <w:szCs w:val="17"/>
                <w:color w:val="auto"/>
              </w:rPr>
            </w:pPr>
          </w:p>
        </w:tc>
        <w:tc>
          <w:tcPr>
            <w:tcW w:w="8240" w:type="dxa"/>
            <w:vAlign w:val="bottom"/>
          </w:tcPr>
          <w:p>
            <w:pPr>
              <w:ind w:left="360"/>
              <w:spacing w:after="0"/>
              <w:rPr>
                <w:sz w:val="20"/>
                <w:szCs w:val="20"/>
                <w:color w:val="auto"/>
              </w:rPr>
            </w:pPr>
            <w:r>
              <w:rPr>
                <w:rFonts w:ascii="Arial" w:cs="Arial" w:eastAsia="Arial" w:hAnsi="Arial"/>
                <w:sz w:val="17"/>
                <w:szCs w:val="17"/>
                <w:color w:val="auto"/>
              </w:rPr>
              <w:t>Mexico and Puerto Rico.</w:t>
            </w:r>
          </w:p>
        </w:tc>
        <w:tc>
          <w:tcPr>
            <w:tcW w:w="0" w:type="dxa"/>
            <w:vAlign w:val="bottom"/>
          </w:tcPr>
          <w:p>
            <w:pPr>
              <w:spacing w:after="0"/>
              <w:rPr>
                <w:sz w:val="1"/>
                <w:szCs w:val="1"/>
                <w:color w:val="auto"/>
              </w:rPr>
            </w:pPr>
          </w:p>
        </w:tc>
      </w:tr>
      <w:tr>
        <w:trPr>
          <w:trHeight w:val="260"/>
        </w:trPr>
        <w:tc>
          <w:tcPr>
            <w:tcW w:w="3180" w:type="dxa"/>
            <w:vAlign w:val="bottom"/>
          </w:tcPr>
          <w:p>
            <w:pPr>
              <w:spacing w:after="0"/>
              <w:rPr>
                <w:sz w:val="22"/>
                <w:szCs w:val="22"/>
                <w:color w:val="auto"/>
              </w:rPr>
            </w:pPr>
          </w:p>
        </w:tc>
        <w:tc>
          <w:tcPr>
            <w:tcW w:w="8240" w:type="dxa"/>
            <w:vAlign w:val="bottom"/>
          </w:tcPr>
          <w:p>
            <w:pPr>
              <w:ind w:left="360"/>
              <w:spacing w:after="0"/>
              <w:rPr>
                <w:sz w:val="20"/>
                <w:szCs w:val="20"/>
                <w:color w:val="auto"/>
              </w:rPr>
            </w:pPr>
            <w:r>
              <w:rPr>
                <w:rFonts w:ascii="Arial" w:cs="Arial" w:eastAsia="Arial" w:hAnsi="Arial"/>
                <w:sz w:val="17"/>
                <w:szCs w:val="17"/>
                <w:i w:val="1"/>
                <w:iCs w:val="1"/>
                <w:color w:val="auto"/>
              </w:rPr>
              <w:t>Education:</w:t>
            </w:r>
          </w:p>
        </w:tc>
        <w:tc>
          <w:tcPr>
            <w:tcW w:w="0" w:type="dxa"/>
            <w:vAlign w:val="bottom"/>
          </w:tcPr>
          <w:p>
            <w:pPr>
              <w:spacing w:after="0"/>
              <w:rPr>
                <w:sz w:val="1"/>
                <w:szCs w:val="1"/>
                <w:color w:val="auto"/>
              </w:rPr>
            </w:pPr>
          </w:p>
        </w:tc>
      </w:tr>
      <w:tr>
        <w:trPr>
          <w:trHeight w:val="192"/>
        </w:trPr>
        <w:tc>
          <w:tcPr>
            <w:tcW w:w="3180" w:type="dxa"/>
            <w:vAlign w:val="bottom"/>
          </w:tcPr>
          <w:p>
            <w:pPr>
              <w:spacing w:after="0" w:line="192" w:lineRule="exact"/>
              <w:rPr>
                <w:sz w:val="20"/>
                <w:szCs w:val="20"/>
                <w:color w:val="auto"/>
              </w:rPr>
            </w:pPr>
            <w:r>
              <w:rPr>
                <w:rFonts w:ascii="Arial" w:cs="Arial" w:eastAsia="Arial" w:hAnsi="Arial"/>
                <w:sz w:val="17"/>
                <w:szCs w:val="17"/>
                <w:color w:val="auto"/>
              </w:rPr>
              <w:t>Irene B. Rosenfeld</w:t>
            </w: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rPr>
              <w:t>Ms. Rosenfeld received a Bachelor’s Degree in Psychology, a Master of Science in Business</w:t>
            </w:r>
          </w:p>
        </w:tc>
        <w:tc>
          <w:tcPr>
            <w:tcW w:w="0" w:type="dxa"/>
            <w:vAlign w:val="bottom"/>
          </w:tcPr>
          <w:p>
            <w:pPr>
              <w:spacing w:after="0"/>
              <w:rPr>
                <w:sz w:val="1"/>
                <w:szCs w:val="1"/>
                <w:color w:val="auto"/>
              </w:rPr>
            </w:pPr>
          </w:p>
        </w:tc>
      </w:tr>
      <w:tr>
        <w:trPr>
          <w:trHeight w:val="200"/>
        </w:trPr>
        <w:tc>
          <w:tcPr>
            <w:tcW w:w="3180" w:type="dxa"/>
            <w:vAlign w:val="bottom"/>
            <w:vMerge w:val="restart"/>
          </w:tcPr>
          <w:p>
            <w:pPr>
              <w:spacing w:after="0"/>
              <w:rPr>
                <w:sz w:val="20"/>
                <w:szCs w:val="20"/>
                <w:color w:val="auto"/>
              </w:rPr>
            </w:pPr>
            <w:r>
              <w:rPr>
                <w:rFonts w:ascii="Arial" w:cs="Arial" w:eastAsia="Arial" w:hAnsi="Arial"/>
                <w:sz w:val="17"/>
                <w:szCs w:val="17"/>
                <w:color w:val="auto"/>
              </w:rPr>
              <w:t>Chairman and Chief Executive Officer,</w:t>
            </w:r>
          </w:p>
        </w:tc>
        <w:tc>
          <w:tcPr>
            <w:tcW w:w="8240" w:type="dxa"/>
            <w:vAlign w:val="bottom"/>
          </w:tcPr>
          <w:p>
            <w:pPr>
              <w:ind w:left="360"/>
              <w:spacing w:after="0"/>
              <w:rPr>
                <w:sz w:val="20"/>
                <w:szCs w:val="20"/>
                <w:color w:val="auto"/>
              </w:rPr>
            </w:pPr>
            <w:r>
              <w:rPr>
                <w:rFonts w:ascii="Arial" w:cs="Arial" w:eastAsia="Arial" w:hAnsi="Arial"/>
                <w:sz w:val="17"/>
                <w:szCs w:val="17"/>
                <w:color w:val="auto"/>
              </w:rPr>
              <w:t>Administration and a Doctor of Philosophy in Marketing and Statistics from Cornell University.</w:t>
            </w:r>
          </w:p>
        </w:tc>
        <w:tc>
          <w:tcPr>
            <w:tcW w:w="0" w:type="dxa"/>
            <w:vAlign w:val="bottom"/>
          </w:tcPr>
          <w:p>
            <w:pPr>
              <w:spacing w:after="0"/>
              <w:rPr>
                <w:sz w:val="1"/>
                <w:szCs w:val="1"/>
                <w:color w:val="auto"/>
              </w:rPr>
            </w:pPr>
          </w:p>
        </w:tc>
      </w:tr>
      <w:tr>
        <w:trPr>
          <w:trHeight w:val="94"/>
        </w:trPr>
        <w:tc>
          <w:tcPr>
            <w:tcW w:w="3180" w:type="dxa"/>
            <w:vAlign w:val="bottom"/>
            <w:vMerge w:val="continue"/>
          </w:tcPr>
          <w:p>
            <w:pPr>
              <w:spacing w:after="0"/>
              <w:rPr>
                <w:sz w:val="8"/>
                <w:szCs w:val="8"/>
                <w:color w:val="auto"/>
              </w:rPr>
            </w:pPr>
          </w:p>
        </w:tc>
        <w:tc>
          <w:tcPr>
            <w:tcW w:w="8240" w:type="dxa"/>
            <w:vAlign w:val="bottom"/>
            <w:vMerge w:val="restart"/>
          </w:tcPr>
          <w:p>
            <w:pPr>
              <w:ind w:left="360"/>
              <w:spacing w:after="0"/>
              <w:rPr>
                <w:sz w:val="20"/>
                <w:szCs w:val="20"/>
                <w:color w:val="auto"/>
              </w:rPr>
            </w:pPr>
            <w:r>
              <w:rPr>
                <w:rFonts w:ascii="Arial" w:cs="Arial" w:eastAsia="Arial" w:hAnsi="Arial"/>
                <w:sz w:val="17"/>
                <w:szCs w:val="17"/>
                <w:i w:val="1"/>
                <w:iCs w:val="1"/>
                <w:color w:val="auto"/>
              </w:rPr>
              <w:t>Public Company Boards:</w:t>
            </w:r>
          </w:p>
        </w:tc>
        <w:tc>
          <w:tcPr>
            <w:tcW w:w="0" w:type="dxa"/>
            <w:vAlign w:val="bottom"/>
          </w:tcPr>
          <w:p>
            <w:pPr>
              <w:spacing w:after="0"/>
              <w:rPr>
                <w:sz w:val="1"/>
                <w:szCs w:val="1"/>
                <w:color w:val="auto"/>
              </w:rPr>
            </w:pPr>
          </w:p>
        </w:tc>
      </w:tr>
      <w:tr>
        <w:trPr>
          <w:trHeight w:val="166"/>
        </w:trPr>
        <w:tc>
          <w:tcPr>
            <w:tcW w:w="3180" w:type="dxa"/>
            <w:vAlign w:val="bottom"/>
          </w:tcPr>
          <w:p>
            <w:pPr>
              <w:spacing w:after="0" w:line="167" w:lineRule="exact"/>
              <w:rPr>
                <w:sz w:val="20"/>
                <w:szCs w:val="20"/>
                <w:color w:val="auto"/>
              </w:rPr>
            </w:pPr>
            <w:r>
              <w:rPr>
                <w:rFonts w:ascii="Arial" w:cs="Arial" w:eastAsia="Arial" w:hAnsi="Arial"/>
                <w:sz w:val="17"/>
                <w:szCs w:val="17"/>
                <w:color w:val="auto"/>
              </w:rPr>
              <w:t>Kraft Foods Inc.</w:t>
            </w:r>
          </w:p>
        </w:tc>
        <w:tc>
          <w:tcPr>
            <w:tcW w:w="8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180" w:type="dxa"/>
            <w:vAlign w:val="bottom"/>
            <w:vMerge w:val="restart"/>
          </w:tcPr>
          <w:p>
            <w:pPr>
              <w:spacing w:after="0"/>
              <w:rPr>
                <w:sz w:val="20"/>
                <w:szCs w:val="20"/>
                <w:color w:val="auto"/>
              </w:rPr>
            </w:pPr>
            <w:r>
              <w:rPr>
                <w:rFonts w:ascii="Arial" w:cs="Arial" w:eastAsia="Arial" w:hAnsi="Arial"/>
                <w:sz w:val="17"/>
                <w:szCs w:val="17"/>
                <w:color w:val="auto"/>
              </w:rPr>
              <w:t>Director since June 2006</w:t>
            </w:r>
          </w:p>
        </w:tc>
        <w:tc>
          <w:tcPr>
            <w:tcW w:w="8240" w:type="dxa"/>
            <w:vAlign w:val="bottom"/>
          </w:tcPr>
          <w:p>
            <w:pPr>
              <w:ind w:left="360"/>
              <w:spacing w:after="0"/>
              <w:rPr>
                <w:sz w:val="20"/>
                <w:szCs w:val="20"/>
                <w:color w:val="auto"/>
              </w:rPr>
            </w:pPr>
            <w:r>
              <w:rPr>
                <w:rFonts w:ascii="Arial" w:cs="Arial" w:eastAsia="Arial" w:hAnsi="Arial"/>
                <w:sz w:val="17"/>
                <w:szCs w:val="17"/>
                <w:color w:val="auto"/>
              </w:rPr>
              <w:t>Ms. Rosenfeld was formerly a director of AutoNation Inc.</w:t>
            </w:r>
          </w:p>
        </w:tc>
        <w:tc>
          <w:tcPr>
            <w:tcW w:w="0" w:type="dxa"/>
            <w:vAlign w:val="bottom"/>
          </w:tcPr>
          <w:p>
            <w:pPr>
              <w:spacing w:after="0"/>
              <w:rPr>
                <w:sz w:val="1"/>
                <w:szCs w:val="1"/>
                <w:color w:val="auto"/>
              </w:rPr>
            </w:pPr>
          </w:p>
        </w:tc>
      </w:tr>
      <w:tr>
        <w:trPr>
          <w:trHeight w:val="102"/>
        </w:trPr>
        <w:tc>
          <w:tcPr>
            <w:tcW w:w="3180" w:type="dxa"/>
            <w:vAlign w:val="bottom"/>
            <w:vMerge w:val="continue"/>
          </w:tcPr>
          <w:p>
            <w:pPr>
              <w:spacing w:after="0"/>
              <w:rPr>
                <w:sz w:val="8"/>
                <w:szCs w:val="8"/>
                <w:color w:val="auto"/>
              </w:rPr>
            </w:pPr>
          </w:p>
        </w:tc>
        <w:tc>
          <w:tcPr>
            <w:tcW w:w="8240" w:type="dxa"/>
            <w:vAlign w:val="bottom"/>
            <w:vMerge w:val="restart"/>
          </w:tcPr>
          <w:p>
            <w:pPr>
              <w:ind w:left="360"/>
              <w:spacing w:after="0"/>
              <w:rPr>
                <w:sz w:val="20"/>
                <w:szCs w:val="20"/>
                <w:color w:val="auto"/>
              </w:rPr>
            </w:pPr>
            <w:r>
              <w:rPr>
                <w:rFonts w:ascii="Arial" w:cs="Arial" w:eastAsia="Arial" w:hAnsi="Arial"/>
                <w:sz w:val="17"/>
                <w:szCs w:val="17"/>
                <w:i w:val="1"/>
                <w:iCs w:val="1"/>
                <w:color w:val="auto"/>
              </w:rPr>
              <w:t>Director Qualifications:</w:t>
            </w:r>
          </w:p>
        </w:tc>
        <w:tc>
          <w:tcPr>
            <w:tcW w:w="0" w:type="dxa"/>
            <w:vAlign w:val="bottom"/>
          </w:tcPr>
          <w:p>
            <w:pPr>
              <w:spacing w:after="0"/>
              <w:rPr>
                <w:sz w:val="1"/>
                <w:szCs w:val="1"/>
                <w:color w:val="auto"/>
              </w:rPr>
            </w:pPr>
          </w:p>
        </w:tc>
      </w:tr>
      <w:tr>
        <w:trPr>
          <w:trHeight w:val="158"/>
        </w:trPr>
        <w:tc>
          <w:tcPr>
            <w:tcW w:w="3180" w:type="dxa"/>
            <w:vAlign w:val="bottom"/>
            <w:vMerge w:val="restart"/>
          </w:tcPr>
          <w:p>
            <w:pPr>
              <w:spacing w:after="0"/>
              <w:rPr>
                <w:sz w:val="20"/>
                <w:szCs w:val="20"/>
                <w:color w:val="auto"/>
              </w:rPr>
            </w:pPr>
            <w:r>
              <w:rPr>
                <w:rFonts w:ascii="Arial" w:cs="Arial" w:eastAsia="Arial" w:hAnsi="Arial"/>
                <w:sz w:val="17"/>
                <w:szCs w:val="17"/>
                <w:color w:val="auto"/>
              </w:rPr>
              <w:t>Age: 58</w:t>
            </w:r>
          </w:p>
        </w:tc>
        <w:tc>
          <w:tcPr>
            <w:tcW w:w="8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3180" w:type="dxa"/>
            <w:vAlign w:val="bottom"/>
            <w:vMerge w:val="continue"/>
          </w:tcPr>
          <w:p>
            <w:pPr>
              <w:spacing w:after="0"/>
              <w:rPr>
                <w:sz w:val="9"/>
                <w:szCs w:val="9"/>
                <w:color w:val="auto"/>
              </w:rPr>
            </w:pPr>
          </w:p>
        </w:tc>
        <w:tc>
          <w:tcPr>
            <w:tcW w:w="8240" w:type="dxa"/>
            <w:vAlign w:val="bottom"/>
            <w:vMerge w:val="restart"/>
          </w:tcPr>
          <w:p>
            <w:pPr>
              <w:ind w:left="780"/>
              <w:spacing w:after="0" w:line="192" w:lineRule="exact"/>
              <w:rPr>
                <w:sz w:val="20"/>
                <w:szCs w:val="20"/>
                <w:color w:val="auto"/>
              </w:rPr>
            </w:pPr>
            <w:r>
              <w:rPr>
                <w:rFonts w:ascii="Arial" w:cs="Arial" w:eastAsia="Arial" w:hAnsi="Arial"/>
                <w:sz w:val="17"/>
                <w:szCs w:val="17"/>
                <w:color w:val="auto"/>
              </w:rPr>
              <w:t>• Leadership and Operating experience – current Chairman and Chief Executive Officer of Kraft</w:t>
            </w:r>
          </w:p>
        </w:tc>
        <w:tc>
          <w:tcPr>
            <w:tcW w:w="0" w:type="dxa"/>
            <w:vAlign w:val="bottom"/>
          </w:tcPr>
          <w:p>
            <w:pPr>
              <w:spacing w:after="0"/>
              <w:rPr>
                <w:sz w:val="1"/>
                <w:szCs w:val="1"/>
                <w:color w:val="auto"/>
              </w:rPr>
            </w:pPr>
          </w:p>
        </w:tc>
      </w:tr>
      <w:tr>
        <w:trPr>
          <w:trHeight w:val="81"/>
        </w:trPr>
        <w:tc>
          <w:tcPr>
            <w:tcW w:w="3180" w:type="dxa"/>
            <w:vAlign w:val="bottom"/>
          </w:tcPr>
          <w:p>
            <w:pPr>
              <w:spacing w:after="0"/>
              <w:rPr>
                <w:sz w:val="7"/>
                <w:szCs w:val="7"/>
                <w:color w:val="auto"/>
              </w:rPr>
            </w:pPr>
          </w:p>
        </w:tc>
        <w:tc>
          <w:tcPr>
            <w:tcW w:w="8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980"/>
              <w:spacing w:after="0" w:line="192" w:lineRule="exact"/>
              <w:rPr>
                <w:sz w:val="20"/>
                <w:szCs w:val="20"/>
                <w:color w:val="auto"/>
              </w:rPr>
            </w:pPr>
            <w:r>
              <w:rPr>
                <w:rFonts w:ascii="Arial" w:cs="Arial" w:eastAsia="Arial" w:hAnsi="Arial"/>
                <w:sz w:val="17"/>
                <w:szCs w:val="17"/>
                <w:color w:val="auto"/>
                <w:w w:val="97"/>
              </w:rPr>
              <w:t>Foods and former Chairman and Chief Executive Officer of a major business unit of another global</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980"/>
              <w:spacing w:after="0" w:line="192" w:lineRule="exact"/>
              <w:rPr>
                <w:sz w:val="20"/>
                <w:szCs w:val="20"/>
                <w:color w:val="auto"/>
              </w:rPr>
            </w:pPr>
            <w:r>
              <w:rPr>
                <w:rFonts w:ascii="Arial" w:cs="Arial" w:eastAsia="Arial" w:hAnsi="Arial"/>
                <w:sz w:val="17"/>
                <w:szCs w:val="17"/>
                <w:color w:val="auto"/>
              </w:rPr>
              <w:t>food and beverage company</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780"/>
              <w:spacing w:after="0" w:line="192" w:lineRule="exact"/>
              <w:rPr>
                <w:sz w:val="20"/>
                <w:szCs w:val="20"/>
                <w:color w:val="auto"/>
              </w:rPr>
            </w:pPr>
            <w:r>
              <w:rPr>
                <w:rFonts w:ascii="Arial" w:cs="Arial" w:eastAsia="Arial" w:hAnsi="Arial"/>
                <w:sz w:val="17"/>
                <w:szCs w:val="17"/>
                <w:color w:val="auto"/>
                <w:w w:val="99"/>
              </w:rPr>
              <w:t>• Industry Knowledge and Product Development, Marketing and Global Business experience – long-</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980"/>
              <w:spacing w:after="0" w:line="192" w:lineRule="exact"/>
              <w:rPr>
                <w:sz w:val="20"/>
                <w:szCs w:val="20"/>
                <w:color w:val="auto"/>
              </w:rPr>
            </w:pPr>
            <w:r>
              <w:rPr>
                <w:rFonts w:ascii="Arial" w:cs="Arial" w:eastAsia="Arial" w:hAnsi="Arial"/>
                <w:sz w:val="17"/>
                <w:szCs w:val="17"/>
                <w:color w:val="auto"/>
              </w:rPr>
              <w:t>time service in various positions, including key roles, at Kraft Foods and another global food and</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980"/>
              <w:spacing w:after="0" w:line="192" w:lineRule="exact"/>
              <w:rPr>
                <w:sz w:val="20"/>
                <w:szCs w:val="20"/>
                <w:color w:val="auto"/>
              </w:rPr>
            </w:pPr>
            <w:r>
              <w:rPr>
                <w:rFonts w:ascii="Arial" w:cs="Arial" w:eastAsia="Arial" w:hAnsi="Arial"/>
                <w:sz w:val="17"/>
                <w:szCs w:val="17"/>
                <w:color w:val="auto"/>
              </w:rPr>
              <w:t>beverage company</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780"/>
              <w:spacing w:after="0" w:line="192" w:lineRule="exact"/>
              <w:rPr>
                <w:sz w:val="20"/>
                <w:szCs w:val="20"/>
                <w:color w:val="auto"/>
              </w:rPr>
            </w:pPr>
            <w:r>
              <w:rPr>
                <w:rFonts w:ascii="Arial" w:cs="Arial" w:eastAsia="Arial" w:hAnsi="Arial"/>
                <w:sz w:val="17"/>
                <w:szCs w:val="17"/>
                <w:color w:val="auto"/>
              </w:rPr>
              <w:t>• Public Company Board and Corporate Governance experience – former director of another public</w:t>
            </w:r>
          </w:p>
        </w:tc>
        <w:tc>
          <w:tcPr>
            <w:tcW w:w="0" w:type="dxa"/>
            <w:vAlign w:val="bottom"/>
          </w:tcPr>
          <w:p>
            <w:pPr>
              <w:spacing w:after="0"/>
              <w:rPr>
                <w:sz w:val="1"/>
                <w:szCs w:val="1"/>
                <w:color w:val="auto"/>
              </w:rPr>
            </w:pPr>
          </w:p>
        </w:tc>
      </w:tr>
      <w:tr>
        <w:trPr>
          <w:trHeight w:val="201"/>
        </w:trPr>
        <w:tc>
          <w:tcPr>
            <w:tcW w:w="3180" w:type="dxa"/>
            <w:vAlign w:val="bottom"/>
            <w:tcBorders>
              <w:bottom w:val="single" w:sz="8" w:color="auto"/>
            </w:tcBorders>
          </w:tcPr>
          <w:p>
            <w:pPr>
              <w:spacing w:after="0"/>
              <w:rPr>
                <w:sz w:val="17"/>
                <w:szCs w:val="17"/>
                <w:color w:val="auto"/>
              </w:rPr>
            </w:pPr>
          </w:p>
        </w:tc>
        <w:tc>
          <w:tcPr>
            <w:tcW w:w="8240" w:type="dxa"/>
            <w:vAlign w:val="bottom"/>
            <w:tcBorders>
              <w:bottom w:val="single" w:sz="8" w:color="auto"/>
            </w:tcBorders>
          </w:tcPr>
          <w:p>
            <w:pPr>
              <w:ind w:left="980"/>
              <w:spacing w:after="0"/>
              <w:rPr>
                <w:sz w:val="20"/>
                <w:szCs w:val="20"/>
                <w:color w:val="auto"/>
              </w:rPr>
            </w:pPr>
            <w:r>
              <w:rPr>
                <w:rFonts w:ascii="Arial" w:cs="Arial" w:eastAsia="Arial" w:hAnsi="Arial"/>
                <w:sz w:val="17"/>
                <w:szCs w:val="17"/>
                <w:color w:val="auto"/>
              </w:rPr>
              <w:t>company</w:t>
            </w:r>
          </w:p>
        </w:tc>
        <w:tc>
          <w:tcPr>
            <w:tcW w:w="0" w:type="dxa"/>
            <w:vAlign w:val="bottom"/>
          </w:tcPr>
          <w:p>
            <w:pPr>
              <w:spacing w:after="0"/>
              <w:rPr>
                <w:sz w:val="1"/>
                <w:szCs w:val="1"/>
                <w:color w:val="auto"/>
              </w:rPr>
            </w:pPr>
          </w:p>
        </w:tc>
      </w:tr>
      <w:tr>
        <w:trPr>
          <w:trHeight w:val="278"/>
        </w:trPr>
        <w:tc>
          <w:tcPr>
            <w:tcW w:w="3180" w:type="dxa"/>
            <w:vAlign w:val="bottom"/>
          </w:tcPr>
          <w:p>
            <w:pPr>
              <w:spacing w:after="0"/>
              <w:rPr>
                <w:sz w:val="24"/>
                <w:szCs w:val="24"/>
                <w:color w:val="auto"/>
              </w:rPr>
            </w:pPr>
          </w:p>
        </w:tc>
        <w:tc>
          <w:tcPr>
            <w:tcW w:w="8240" w:type="dxa"/>
            <w:vAlign w:val="bottom"/>
          </w:tcPr>
          <w:p>
            <w:pPr>
              <w:ind w:left="360"/>
              <w:spacing w:after="0"/>
              <w:rPr>
                <w:sz w:val="20"/>
                <w:szCs w:val="20"/>
                <w:color w:val="auto"/>
              </w:rPr>
            </w:pPr>
            <w:r>
              <w:rPr>
                <w:rFonts w:ascii="Arial" w:cs="Arial" w:eastAsia="Arial" w:hAnsi="Arial"/>
                <w:sz w:val="17"/>
                <w:szCs w:val="17"/>
                <w:i w:val="1"/>
                <w:iCs w:val="1"/>
                <w:color w:val="auto"/>
              </w:rPr>
              <w:t>Professional Experience:</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w w:val="97"/>
              </w:rPr>
              <w:t>Mr. van Boxmeer has been Chairman of the Executive Board and Chief Executive Officer of Heineken N.V.,</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w w:val="99"/>
              </w:rPr>
              <w:t>a brewing company, since 2005 and a member of its Executive Board since 2001. He has been employed</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w w:val="98"/>
              </w:rPr>
              <w:t>continuously by Heineken, in various capacities, since 1984, including General Manager of Heineken Italia</w:t>
            </w:r>
          </w:p>
        </w:tc>
        <w:tc>
          <w:tcPr>
            <w:tcW w:w="0" w:type="dxa"/>
            <w:vAlign w:val="bottom"/>
          </w:tcPr>
          <w:p>
            <w:pPr>
              <w:spacing w:after="0"/>
              <w:rPr>
                <w:sz w:val="1"/>
                <w:szCs w:val="1"/>
                <w:color w:val="auto"/>
              </w:rPr>
            </w:pPr>
          </w:p>
        </w:tc>
      </w:tr>
      <w:tr>
        <w:trPr>
          <w:trHeight w:val="200"/>
        </w:trPr>
        <w:tc>
          <w:tcPr>
            <w:tcW w:w="3180" w:type="dxa"/>
            <w:vAlign w:val="bottom"/>
          </w:tcPr>
          <w:p>
            <w:pPr>
              <w:spacing w:after="0"/>
              <w:rPr>
                <w:sz w:val="17"/>
                <w:szCs w:val="17"/>
                <w:color w:val="auto"/>
              </w:rPr>
            </w:pPr>
          </w:p>
        </w:tc>
        <w:tc>
          <w:tcPr>
            <w:tcW w:w="8240" w:type="dxa"/>
            <w:vAlign w:val="bottom"/>
          </w:tcPr>
          <w:p>
            <w:pPr>
              <w:ind w:left="360"/>
              <w:spacing w:after="0"/>
              <w:rPr>
                <w:sz w:val="20"/>
                <w:szCs w:val="20"/>
                <w:color w:val="auto"/>
              </w:rPr>
            </w:pPr>
            <w:r>
              <w:rPr>
                <w:rFonts w:ascii="Arial" w:cs="Arial" w:eastAsia="Arial" w:hAnsi="Arial"/>
                <w:sz w:val="17"/>
                <w:szCs w:val="17"/>
                <w:color w:val="auto"/>
              </w:rPr>
              <w:t>from 2000 to 2001.</w:t>
            </w:r>
          </w:p>
        </w:tc>
        <w:tc>
          <w:tcPr>
            <w:tcW w:w="0" w:type="dxa"/>
            <w:vAlign w:val="bottom"/>
          </w:tcPr>
          <w:p>
            <w:pPr>
              <w:spacing w:after="0"/>
              <w:rPr>
                <w:sz w:val="1"/>
                <w:szCs w:val="1"/>
                <w:color w:val="auto"/>
              </w:rPr>
            </w:pPr>
          </w:p>
        </w:tc>
      </w:tr>
      <w:tr>
        <w:trPr>
          <w:trHeight w:val="260"/>
        </w:trPr>
        <w:tc>
          <w:tcPr>
            <w:tcW w:w="3180" w:type="dxa"/>
            <w:vAlign w:val="bottom"/>
          </w:tcPr>
          <w:p>
            <w:pPr>
              <w:spacing w:after="0"/>
              <w:rPr>
                <w:sz w:val="22"/>
                <w:szCs w:val="22"/>
                <w:color w:val="auto"/>
              </w:rPr>
            </w:pPr>
          </w:p>
        </w:tc>
        <w:tc>
          <w:tcPr>
            <w:tcW w:w="8240" w:type="dxa"/>
            <w:vAlign w:val="bottom"/>
          </w:tcPr>
          <w:p>
            <w:pPr>
              <w:ind w:left="360"/>
              <w:spacing w:after="0"/>
              <w:rPr>
                <w:sz w:val="20"/>
                <w:szCs w:val="20"/>
                <w:color w:val="auto"/>
              </w:rPr>
            </w:pPr>
            <w:r>
              <w:rPr>
                <w:rFonts w:ascii="Arial" w:cs="Arial" w:eastAsia="Arial" w:hAnsi="Arial"/>
                <w:sz w:val="17"/>
                <w:szCs w:val="17"/>
                <w:i w:val="1"/>
                <w:iCs w:val="1"/>
                <w:color w:val="auto"/>
              </w:rPr>
              <w:t>Education:</w:t>
            </w:r>
          </w:p>
        </w:tc>
        <w:tc>
          <w:tcPr>
            <w:tcW w:w="0" w:type="dxa"/>
            <w:vAlign w:val="bottom"/>
          </w:tcPr>
          <w:p>
            <w:pPr>
              <w:spacing w:after="0"/>
              <w:rPr>
                <w:sz w:val="1"/>
                <w:szCs w:val="1"/>
                <w:color w:val="auto"/>
              </w:rPr>
            </w:pPr>
          </w:p>
        </w:tc>
      </w:tr>
      <w:tr>
        <w:trPr>
          <w:trHeight w:val="192"/>
        </w:trPr>
        <w:tc>
          <w:tcPr>
            <w:tcW w:w="3180" w:type="dxa"/>
            <w:vAlign w:val="bottom"/>
          </w:tcPr>
          <w:p>
            <w:pPr>
              <w:spacing w:after="0"/>
              <w:rPr>
                <w:sz w:val="16"/>
                <w:szCs w:val="16"/>
                <w:color w:val="auto"/>
              </w:rPr>
            </w:pPr>
          </w:p>
        </w:tc>
        <w:tc>
          <w:tcPr>
            <w:tcW w:w="8240" w:type="dxa"/>
            <w:vAlign w:val="bottom"/>
          </w:tcPr>
          <w:p>
            <w:pPr>
              <w:ind w:left="360"/>
              <w:spacing w:after="0" w:line="192" w:lineRule="exact"/>
              <w:rPr>
                <w:sz w:val="20"/>
                <w:szCs w:val="20"/>
                <w:color w:val="auto"/>
              </w:rPr>
            </w:pPr>
            <w:r>
              <w:rPr>
                <w:rFonts w:ascii="Arial" w:cs="Arial" w:eastAsia="Arial" w:hAnsi="Arial"/>
                <w:sz w:val="17"/>
                <w:szCs w:val="17"/>
                <w:color w:val="auto"/>
              </w:rPr>
              <w:t>Mr. van Boxmeer received a Master Degree in Economics at les Faculté universitaires Notre Dame de la</w:t>
            </w:r>
          </w:p>
        </w:tc>
        <w:tc>
          <w:tcPr>
            <w:tcW w:w="0" w:type="dxa"/>
            <w:vAlign w:val="bottom"/>
          </w:tcPr>
          <w:p>
            <w:pPr>
              <w:spacing w:after="0"/>
              <w:rPr>
                <w:sz w:val="1"/>
                <w:szCs w:val="1"/>
                <w:color w:val="auto"/>
              </w:rPr>
            </w:pPr>
          </w:p>
        </w:tc>
      </w:tr>
      <w:tr>
        <w:trPr>
          <w:trHeight w:val="200"/>
        </w:trPr>
        <w:tc>
          <w:tcPr>
            <w:tcW w:w="3180" w:type="dxa"/>
            <w:vAlign w:val="bottom"/>
          </w:tcPr>
          <w:p>
            <w:pPr>
              <w:spacing w:after="0"/>
              <w:rPr>
                <w:sz w:val="17"/>
                <w:szCs w:val="17"/>
                <w:color w:val="auto"/>
              </w:rPr>
            </w:pPr>
          </w:p>
        </w:tc>
        <w:tc>
          <w:tcPr>
            <w:tcW w:w="8240" w:type="dxa"/>
            <w:vAlign w:val="bottom"/>
          </w:tcPr>
          <w:p>
            <w:pPr>
              <w:ind w:left="360"/>
              <w:spacing w:after="0"/>
              <w:rPr>
                <w:sz w:val="20"/>
                <w:szCs w:val="20"/>
                <w:color w:val="auto"/>
              </w:rPr>
            </w:pPr>
            <w:r>
              <w:rPr>
                <w:rFonts w:ascii="Arial" w:cs="Arial" w:eastAsia="Arial" w:hAnsi="Arial"/>
                <w:sz w:val="17"/>
                <w:szCs w:val="17"/>
                <w:color w:val="auto"/>
              </w:rPr>
              <w:t>Paix S.J.</w:t>
            </w:r>
          </w:p>
        </w:tc>
        <w:tc>
          <w:tcPr>
            <w:tcW w:w="0" w:type="dxa"/>
            <w:vAlign w:val="bottom"/>
          </w:tcPr>
          <w:p>
            <w:pPr>
              <w:spacing w:after="0"/>
              <w:rPr>
                <w:sz w:val="1"/>
                <w:szCs w:val="1"/>
                <w:color w:val="auto"/>
              </w:rPr>
            </w:pPr>
          </w:p>
        </w:tc>
      </w:tr>
      <w:tr>
        <w:trPr>
          <w:trHeight w:val="260"/>
        </w:trPr>
        <w:tc>
          <w:tcPr>
            <w:tcW w:w="3180" w:type="dxa"/>
            <w:vAlign w:val="bottom"/>
            <w:vMerge w:val="restart"/>
          </w:tcPr>
          <w:p>
            <w:pPr>
              <w:spacing w:after="0"/>
              <w:rPr>
                <w:sz w:val="20"/>
                <w:szCs w:val="20"/>
                <w:color w:val="auto"/>
              </w:rPr>
            </w:pPr>
            <w:r>
              <w:rPr>
                <w:rFonts w:ascii="Arial" w:cs="Arial" w:eastAsia="Arial" w:hAnsi="Arial"/>
                <w:sz w:val="17"/>
                <w:szCs w:val="17"/>
                <w:color w:val="auto"/>
              </w:rPr>
              <w:t>Jean-François M. L. van Boxmeer</w:t>
            </w:r>
          </w:p>
        </w:tc>
        <w:tc>
          <w:tcPr>
            <w:tcW w:w="8240" w:type="dxa"/>
            <w:vAlign w:val="bottom"/>
          </w:tcPr>
          <w:p>
            <w:pPr>
              <w:ind w:left="360"/>
              <w:spacing w:after="0"/>
              <w:rPr>
                <w:sz w:val="20"/>
                <w:szCs w:val="20"/>
                <w:color w:val="auto"/>
              </w:rPr>
            </w:pPr>
            <w:r>
              <w:rPr>
                <w:rFonts w:ascii="Arial" w:cs="Arial" w:eastAsia="Arial" w:hAnsi="Arial"/>
                <w:sz w:val="17"/>
                <w:szCs w:val="17"/>
                <w:i w:val="1"/>
                <w:iCs w:val="1"/>
                <w:color w:val="auto"/>
              </w:rPr>
              <w:t>Director Qualifications:</w:t>
            </w:r>
          </w:p>
        </w:tc>
        <w:tc>
          <w:tcPr>
            <w:tcW w:w="0" w:type="dxa"/>
            <w:vAlign w:val="bottom"/>
          </w:tcPr>
          <w:p>
            <w:pPr>
              <w:spacing w:after="0"/>
              <w:rPr>
                <w:sz w:val="1"/>
                <w:szCs w:val="1"/>
                <w:color w:val="auto"/>
              </w:rPr>
            </w:pPr>
          </w:p>
        </w:tc>
      </w:tr>
      <w:tr>
        <w:trPr>
          <w:trHeight w:val="192"/>
        </w:trPr>
        <w:tc>
          <w:tcPr>
            <w:tcW w:w="3180" w:type="dxa"/>
            <w:vAlign w:val="bottom"/>
            <w:vMerge w:val="continue"/>
          </w:tcPr>
          <w:p>
            <w:pPr>
              <w:spacing w:after="0"/>
              <w:rPr>
                <w:sz w:val="16"/>
                <w:szCs w:val="16"/>
                <w:color w:val="auto"/>
              </w:rPr>
            </w:pPr>
          </w:p>
        </w:tc>
        <w:tc>
          <w:tcPr>
            <w:tcW w:w="8240" w:type="dxa"/>
            <w:vAlign w:val="bottom"/>
          </w:tcPr>
          <w:p>
            <w:pPr>
              <w:ind w:left="780"/>
              <w:spacing w:after="0" w:line="192" w:lineRule="exact"/>
              <w:rPr>
                <w:sz w:val="20"/>
                <w:szCs w:val="20"/>
                <w:color w:val="auto"/>
              </w:rPr>
            </w:pPr>
            <w:r>
              <w:rPr>
                <w:rFonts w:ascii="Arial" w:cs="Arial" w:eastAsia="Arial" w:hAnsi="Arial"/>
                <w:sz w:val="17"/>
                <w:szCs w:val="17"/>
                <w:color w:val="auto"/>
                <w:w w:val="99"/>
              </w:rPr>
              <w:t>• Leadership and Operating experience – Chairman and Chief Executive Officer of a global brewing</w:t>
            </w:r>
          </w:p>
        </w:tc>
        <w:tc>
          <w:tcPr>
            <w:tcW w:w="0" w:type="dxa"/>
            <w:vAlign w:val="bottom"/>
          </w:tcPr>
          <w:p>
            <w:pPr>
              <w:spacing w:after="0"/>
              <w:rPr>
                <w:sz w:val="1"/>
                <w:szCs w:val="1"/>
                <w:color w:val="auto"/>
              </w:rPr>
            </w:pPr>
          </w:p>
        </w:tc>
      </w:tr>
      <w:tr>
        <w:trPr>
          <w:trHeight w:val="192"/>
        </w:trPr>
        <w:tc>
          <w:tcPr>
            <w:tcW w:w="3180" w:type="dxa"/>
            <w:vAlign w:val="bottom"/>
          </w:tcPr>
          <w:p>
            <w:pPr>
              <w:spacing w:after="0" w:line="192" w:lineRule="exact"/>
              <w:rPr>
                <w:sz w:val="20"/>
                <w:szCs w:val="20"/>
                <w:color w:val="auto"/>
              </w:rPr>
            </w:pPr>
            <w:r>
              <w:rPr>
                <w:rFonts w:ascii="Arial" w:cs="Arial" w:eastAsia="Arial" w:hAnsi="Arial"/>
                <w:sz w:val="17"/>
                <w:szCs w:val="17"/>
                <w:color w:val="auto"/>
              </w:rPr>
              <w:t>Chairman of the Executive</w:t>
            </w:r>
          </w:p>
        </w:tc>
        <w:tc>
          <w:tcPr>
            <w:tcW w:w="8240" w:type="dxa"/>
            <w:vAlign w:val="bottom"/>
          </w:tcPr>
          <w:p>
            <w:pPr>
              <w:ind w:left="980"/>
              <w:spacing w:after="0" w:line="192" w:lineRule="exact"/>
              <w:rPr>
                <w:sz w:val="20"/>
                <w:szCs w:val="20"/>
                <w:color w:val="auto"/>
              </w:rPr>
            </w:pPr>
            <w:r>
              <w:rPr>
                <w:rFonts w:ascii="Arial" w:cs="Arial" w:eastAsia="Arial" w:hAnsi="Arial"/>
                <w:sz w:val="17"/>
                <w:szCs w:val="17"/>
                <w:color w:val="auto"/>
              </w:rPr>
              <w:t>company</w:t>
            </w:r>
          </w:p>
        </w:tc>
        <w:tc>
          <w:tcPr>
            <w:tcW w:w="0" w:type="dxa"/>
            <w:vAlign w:val="bottom"/>
          </w:tcPr>
          <w:p>
            <w:pPr>
              <w:spacing w:after="0"/>
              <w:rPr>
                <w:sz w:val="1"/>
                <w:szCs w:val="1"/>
                <w:color w:val="auto"/>
              </w:rPr>
            </w:pPr>
          </w:p>
        </w:tc>
      </w:tr>
      <w:tr>
        <w:trPr>
          <w:trHeight w:val="192"/>
        </w:trPr>
        <w:tc>
          <w:tcPr>
            <w:tcW w:w="3180" w:type="dxa"/>
            <w:vAlign w:val="bottom"/>
          </w:tcPr>
          <w:p>
            <w:pPr>
              <w:spacing w:after="0" w:line="192" w:lineRule="exact"/>
              <w:rPr>
                <w:sz w:val="20"/>
                <w:szCs w:val="20"/>
                <w:color w:val="auto"/>
              </w:rPr>
            </w:pPr>
            <w:r>
              <w:rPr>
                <w:rFonts w:ascii="Arial" w:cs="Arial" w:eastAsia="Arial" w:hAnsi="Arial"/>
                <w:sz w:val="17"/>
                <w:szCs w:val="17"/>
                <w:color w:val="auto"/>
              </w:rPr>
              <w:t>Board and Chief Executive Officer of</w:t>
            </w:r>
          </w:p>
        </w:tc>
        <w:tc>
          <w:tcPr>
            <w:tcW w:w="8240" w:type="dxa"/>
            <w:vAlign w:val="bottom"/>
          </w:tcPr>
          <w:p>
            <w:pPr>
              <w:ind w:left="780"/>
              <w:spacing w:after="0" w:line="192" w:lineRule="exact"/>
              <w:rPr>
                <w:sz w:val="20"/>
                <w:szCs w:val="20"/>
                <w:color w:val="auto"/>
              </w:rPr>
            </w:pPr>
            <w:r>
              <w:rPr>
                <w:rFonts w:ascii="Arial" w:cs="Arial" w:eastAsia="Arial" w:hAnsi="Arial"/>
                <w:sz w:val="17"/>
                <w:szCs w:val="17"/>
                <w:color w:val="auto"/>
                <w:w w:val="99"/>
              </w:rPr>
              <w:t>• Industry Knowledge and Product Development, Marketing and Global Business experience – over</w:t>
            </w:r>
          </w:p>
        </w:tc>
        <w:tc>
          <w:tcPr>
            <w:tcW w:w="0" w:type="dxa"/>
            <w:vAlign w:val="bottom"/>
          </w:tcPr>
          <w:p>
            <w:pPr>
              <w:spacing w:after="0"/>
              <w:rPr>
                <w:sz w:val="1"/>
                <w:szCs w:val="1"/>
                <w:color w:val="auto"/>
              </w:rPr>
            </w:pPr>
          </w:p>
        </w:tc>
      </w:tr>
      <w:tr>
        <w:trPr>
          <w:trHeight w:val="226"/>
        </w:trPr>
        <w:tc>
          <w:tcPr>
            <w:tcW w:w="3180" w:type="dxa"/>
            <w:vAlign w:val="bottom"/>
          </w:tcPr>
          <w:p>
            <w:pPr>
              <w:spacing w:after="0"/>
              <w:rPr>
                <w:sz w:val="20"/>
                <w:szCs w:val="20"/>
                <w:color w:val="auto"/>
              </w:rPr>
            </w:pPr>
            <w:r>
              <w:rPr>
                <w:rFonts w:ascii="Arial" w:cs="Arial" w:eastAsia="Arial" w:hAnsi="Arial"/>
                <w:sz w:val="17"/>
                <w:szCs w:val="17"/>
                <w:color w:val="auto"/>
              </w:rPr>
              <w:t>Heineken N.V.</w:t>
            </w:r>
          </w:p>
        </w:tc>
        <w:tc>
          <w:tcPr>
            <w:tcW w:w="8240" w:type="dxa"/>
            <w:vAlign w:val="bottom"/>
          </w:tcPr>
          <w:p>
            <w:pPr>
              <w:ind w:left="980"/>
              <w:spacing w:after="0"/>
              <w:rPr>
                <w:sz w:val="20"/>
                <w:szCs w:val="20"/>
                <w:color w:val="auto"/>
              </w:rPr>
            </w:pPr>
            <w:r>
              <w:rPr>
                <w:rFonts w:ascii="Arial" w:cs="Arial" w:eastAsia="Arial" w:hAnsi="Arial"/>
                <w:sz w:val="17"/>
                <w:szCs w:val="17"/>
                <w:color w:val="auto"/>
              </w:rPr>
              <w:t>two decades in various positions, including key roles, at a global brewing company</w:t>
            </w:r>
          </w:p>
        </w:tc>
        <w:tc>
          <w:tcPr>
            <w:tcW w:w="0" w:type="dxa"/>
            <w:vAlign w:val="bottom"/>
          </w:tcPr>
          <w:p>
            <w:pPr>
              <w:spacing w:after="0"/>
              <w:rPr>
                <w:sz w:val="1"/>
                <w:szCs w:val="1"/>
                <w:color w:val="auto"/>
              </w:rPr>
            </w:pPr>
          </w:p>
        </w:tc>
      </w:tr>
      <w:tr>
        <w:trPr>
          <w:trHeight w:val="269"/>
        </w:trPr>
        <w:tc>
          <w:tcPr>
            <w:tcW w:w="3180" w:type="dxa"/>
            <w:vAlign w:val="bottom"/>
          </w:tcPr>
          <w:p>
            <w:pPr>
              <w:spacing w:after="0"/>
              <w:rPr>
                <w:sz w:val="20"/>
                <w:szCs w:val="20"/>
                <w:color w:val="auto"/>
              </w:rPr>
            </w:pPr>
            <w:r>
              <w:rPr>
                <w:rFonts w:ascii="Arial" w:cs="Arial" w:eastAsia="Arial" w:hAnsi="Arial"/>
                <w:sz w:val="17"/>
                <w:szCs w:val="17"/>
                <w:color w:val="auto"/>
              </w:rPr>
              <w:t>Director since January 2010</w:t>
            </w:r>
          </w:p>
        </w:tc>
        <w:tc>
          <w:tcPr>
            <w:tcW w:w="8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180" w:type="dxa"/>
            <w:vAlign w:val="bottom"/>
          </w:tcPr>
          <w:p>
            <w:pPr>
              <w:spacing w:after="0"/>
              <w:rPr>
                <w:sz w:val="20"/>
                <w:szCs w:val="20"/>
                <w:color w:val="auto"/>
              </w:rPr>
            </w:pPr>
            <w:r>
              <w:rPr>
                <w:rFonts w:ascii="Arial" w:cs="Arial" w:eastAsia="Arial" w:hAnsi="Arial"/>
                <w:sz w:val="17"/>
                <w:szCs w:val="17"/>
                <w:color w:val="auto"/>
              </w:rPr>
              <w:t>Committees:</w:t>
            </w:r>
          </w:p>
        </w:tc>
        <w:tc>
          <w:tcPr>
            <w:tcW w:w="8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-4945380</wp:posOffset>
            </wp:positionV>
            <wp:extent cx="715010" cy="1039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10" cy="10394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-2045335</wp:posOffset>
            </wp:positionV>
            <wp:extent cx="715010" cy="1039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010" cy="1039495"/>
                    </a:xfrm>
                    <a:prstGeom prst="rect">
                      <a:avLst/>
                    </a:prstGeom>
                    <a:noFill/>
                  </pic:spPr>
                </pic:pic>
              </a:graphicData>
            </a:graphic>
          </wp:anchor>
        </w:drawing>
      </w:r>
    </w:p>
    <w:p>
      <w:pPr>
        <w:spacing w:after="0" w:line="48" w:lineRule="exact"/>
        <w:rPr>
          <w:sz w:val="20"/>
          <w:szCs w:val="20"/>
          <w:color w:val="auto"/>
        </w:rPr>
      </w:pPr>
    </w:p>
    <w:p>
      <w:pPr>
        <w:ind w:left="620" w:right="9200" w:hanging="208"/>
        <w:spacing w:after="0" w:line="235"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Human Resources and Compensation</w:t>
      </w:r>
    </w:p>
    <w:p>
      <w:pPr>
        <w:ind w:left="620" w:right="8160" w:hanging="208"/>
        <w:spacing w:after="0" w:line="241"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Governance, Membership and Public Affairs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wp:posOffset>
            </wp:positionV>
            <wp:extent cx="72536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443"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CORPORATE GOVERNANCE</w:t>
      </w:r>
    </w:p>
    <w:p>
      <w:pPr>
        <w:spacing w:after="0" w:line="384"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color w:val="auto"/>
        </w:rPr>
        <w:t>We believe that a strong corporate governance framework is essential to the long-term success of our company. This section describes our governance policies, key governance practices, Board leadership structure and oversight functions.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 Guidelines and Codes of Conduct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Corporate Governance Guidelines</w:t>
      </w:r>
    </w:p>
    <w:p>
      <w:pPr>
        <w:spacing w:after="0" w:line="150" w:lineRule="exact"/>
        <w:rPr>
          <w:sz w:val="20"/>
          <w:szCs w:val="20"/>
          <w:color w:val="auto"/>
        </w:rPr>
      </w:pPr>
    </w:p>
    <w:p>
      <w:pPr>
        <w:jc w:val="both"/>
        <w:ind w:right="80"/>
        <w:spacing w:after="0" w:line="239" w:lineRule="auto"/>
        <w:rPr>
          <w:sz w:val="20"/>
          <w:szCs w:val="20"/>
          <w:color w:val="auto"/>
        </w:rPr>
      </w:pPr>
      <w:r>
        <w:rPr>
          <w:rFonts w:ascii="Arial" w:cs="Arial" w:eastAsia="Arial" w:hAnsi="Arial"/>
          <w:sz w:val="17"/>
          <w:szCs w:val="17"/>
          <w:color w:val="auto"/>
        </w:rPr>
        <w:t>The Board has adopted Corporate Governance Guidelines that articulate our governance philosophy, practices and policies in a range of areas, including: the Board’s role and responsibilities; composition and structure of the Board; establishment and responsibilities of the committees of the Board; executive and director performance evaluations; and succession planning.</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At least annually, the Board’s Governance, Membership and Public Affairs Committee reviews the Guidelines and recommends any changes to the Board.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Shareholders and others can access the Guidelines on our website as described below.</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Code of Business Conduct and Ethics for Non-Employee Directors and Code of Conduct for Employees</w:t>
      </w:r>
    </w:p>
    <w:p>
      <w:pPr>
        <w:spacing w:after="0" w:line="15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have adopted a Code of Business Conduct and Ethics for Non-Employee Directors (the “Directors Ethics Code”). It fosters a culture of honesty and integrity, focuses on areas of ethical risk, guides non-employee directors in recognizing and handling ethical issues and provides mechanisms to report unethical conduct. Annually, each non-employee director must acknowledge in writing that he or she has received, reviewed and understands the Directors Ethics Code.</w:t>
      </w:r>
    </w:p>
    <w:p>
      <w:pPr>
        <w:spacing w:after="0" w:line="14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 xml:space="preserve">We also have a Code of Conduct that applies to all of our employees. It includes a set of employee policies that cover ethical and legal practices for nearly every aspect of our business. The Code of Conduct reflects our values, the foremost being </w:t>
      </w:r>
      <w:r>
        <w:rPr>
          <w:rFonts w:ascii="Arial" w:cs="Arial" w:eastAsia="Arial" w:hAnsi="Arial"/>
          <w:sz w:val="16"/>
          <w:szCs w:val="16"/>
          <w:i w:val="1"/>
          <w:iCs w:val="1"/>
          <w:color w:val="auto"/>
        </w:rPr>
        <w:t>trust</w:t>
      </w:r>
      <w:r>
        <w:rPr>
          <w:rFonts w:ascii="Arial" w:cs="Arial" w:eastAsia="Arial" w:hAnsi="Arial"/>
          <w:sz w:val="16"/>
          <w:szCs w:val="16"/>
          <w:color w:val="auto"/>
        </w:rPr>
        <w:t xml:space="preserve">, and contains important rules our employees must follow when conducting business to promote compliance and integrity. The Code of Conduct is part of our global compliance and integrity program that provides support and training throughout our company and encourages reporting of wrongdoing by offering anonymous reporting options and a non-retaliation policy. Shareholders and others can access our Code of Conduct on our website at </w:t>
      </w:r>
      <w:r>
        <w:rPr>
          <w:rFonts w:ascii="Arial" w:cs="Arial" w:eastAsia="Arial" w:hAnsi="Arial"/>
          <w:sz w:val="16"/>
          <w:szCs w:val="16"/>
          <w:i w:val="1"/>
          <w:iCs w:val="1"/>
          <w:u w:val="single" w:color="auto"/>
          <w:color w:val="auto"/>
        </w:rPr>
        <w:t>www.kraftfoodscompany.com/responsibility/compliance-integrity</w:t>
      </w:r>
      <w:r>
        <w:rPr>
          <w:rFonts w:ascii="Arial" w:cs="Arial" w:eastAsia="Arial" w:hAnsi="Arial"/>
          <w:sz w:val="16"/>
          <w:szCs w:val="16"/>
          <w:color w:val="auto"/>
        </w:rPr>
        <w:t>.</w:t>
      </w:r>
    </w:p>
    <w:p>
      <w:pPr>
        <w:spacing w:after="0" w:line="135"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We will disclose in the Corporate Governance section of our website (described below) any amendments to our Directors Ethics Code or Code of Conduct and any waiver granted to an executive officer or director under these codes.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Corporate Governance Materials Available on Our Website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include the following documents in the Corporate Governance section of our website at </w:t>
      </w:r>
      <w:r>
        <w:rPr>
          <w:rFonts w:ascii="Arial" w:cs="Arial" w:eastAsia="Arial" w:hAnsi="Arial"/>
          <w:sz w:val="16"/>
          <w:szCs w:val="16"/>
          <w:i w:val="1"/>
          <w:iCs w:val="1"/>
          <w:u w:val="single" w:color="auto"/>
          <w:color w:val="auto"/>
        </w:rPr>
        <w:t>www.kraftfoodscompany.com/investor/corporate-governance</w:t>
      </w:r>
      <w:r>
        <w:rPr>
          <w:rFonts w:ascii="Arial" w:cs="Arial" w:eastAsia="Arial" w:hAnsi="Arial"/>
          <w:sz w:val="16"/>
          <w:szCs w:val="16"/>
          <w:color w:val="auto"/>
        </w:rPr>
        <w:t>:</w:t>
      </w:r>
    </w:p>
    <w:p>
      <w:pPr>
        <w:spacing w:after="0" w:line="218" w:lineRule="exact"/>
        <w:rPr>
          <w:sz w:val="20"/>
          <w:szCs w:val="20"/>
          <w:color w:val="auto"/>
        </w:rPr>
      </w:pPr>
    </w:p>
    <w:p>
      <w:pPr>
        <w:ind w:left="880" w:hanging="315"/>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Articles of Incorporation,</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By-Laws,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Guidelines,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Board committee charters,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Directors Ethics Code.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information on our website is not, and will not be deemed to be, a part of this Proxy Statement or incorporated into any of our other filings with the U.S.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Securities and Exchange Commission (“SEC”).</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40" w:top="443" w:right="27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Corporate Governance Practices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have adopted several corporate governance practices that enhance the Board’s independent leadership, accountability and oversight:</w:t>
      </w:r>
    </w:p>
    <w:p>
      <w:pPr>
        <w:spacing w:after="0" w:line="55" w:lineRule="exact"/>
        <w:rPr>
          <w:sz w:val="20"/>
          <w:szCs w:val="20"/>
          <w:color w:val="auto"/>
        </w:rPr>
      </w:pPr>
    </w:p>
    <w:p>
      <w:pPr>
        <w:ind w:left="880" w:hanging="315"/>
        <w:spacing w:after="0" w:line="263"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Leadership Structure. </w:t>
      </w:r>
      <w:r>
        <w:rPr>
          <w:rFonts w:ascii="Arial" w:cs="Arial" w:eastAsia="Arial" w:hAnsi="Arial"/>
          <w:sz w:val="17"/>
          <w:szCs w:val="17"/>
          <w:color w:val="auto"/>
        </w:rPr>
        <w:t>As described further below under “Board Leadership Structure,” our Guidelines currently provide that the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serves as Chairman of the Board and an independent director serves as Lead Director.</w:t>
      </w:r>
    </w:p>
    <w:p>
      <w:pPr>
        <w:spacing w:after="0" w:line="32" w:lineRule="exact"/>
        <w:rPr>
          <w:rFonts w:ascii="Arial" w:cs="Arial" w:eastAsia="Arial" w:hAnsi="Arial"/>
          <w:sz w:val="17"/>
          <w:szCs w:val="17"/>
          <w:color w:val="auto"/>
        </w:rPr>
      </w:pPr>
    </w:p>
    <w:p>
      <w:pPr>
        <w:ind w:left="880" w:right="500" w:hanging="315"/>
        <w:spacing w:after="0" w:line="263"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Limitation on Management Directors</w:t>
      </w:r>
      <w:r>
        <w:rPr>
          <w:rFonts w:ascii="Arial" w:cs="Arial" w:eastAsia="Arial" w:hAnsi="Arial"/>
          <w:sz w:val="17"/>
          <w:szCs w:val="17"/>
          <w:color w:val="auto"/>
        </w:rPr>
        <w:t>. The Guidelines provide that the Chairman and Chief Executive Officer generally should be the only</w:t>
      </w:r>
      <w:r>
        <w:rPr>
          <w:rFonts w:ascii="Arial" w:cs="Arial" w:eastAsia="Arial" w:hAnsi="Arial"/>
          <w:sz w:val="17"/>
          <w:szCs w:val="17"/>
          <w:i w:val="1"/>
          <w:iCs w:val="1"/>
          <w:color w:val="auto"/>
        </w:rPr>
        <w:t xml:space="preserve"> </w:t>
      </w:r>
      <w:r>
        <w:rPr>
          <w:rFonts w:ascii="Arial" w:cs="Arial" w:eastAsia="Arial" w:hAnsi="Arial"/>
          <w:sz w:val="17"/>
          <w:szCs w:val="17"/>
          <w:color w:val="auto"/>
        </w:rPr>
        <w:t>member of management to serve as a director.</w:t>
      </w:r>
    </w:p>
    <w:p>
      <w:pPr>
        <w:spacing w:after="0" w:line="32" w:lineRule="exact"/>
        <w:rPr>
          <w:rFonts w:ascii="Arial" w:cs="Arial" w:eastAsia="Arial" w:hAnsi="Arial"/>
          <w:sz w:val="17"/>
          <w:szCs w:val="17"/>
          <w:color w:val="auto"/>
        </w:rPr>
      </w:pPr>
    </w:p>
    <w:p>
      <w:pPr>
        <w:ind w:left="880" w:hanging="315"/>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Independent Committees</w:t>
      </w:r>
      <w:r>
        <w:rPr>
          <w:rFonts w:ascii="Arial" w:cs="Arial" w:eastAsia="Arial" w:hAnsi="Arial"/>
          <w:sz w:val="17"/>
          <w:szCs w:val="17"/>
          <w:color w:val="auto"/>
        </w:rPr>
        <w:t>. The Board determined that all Board committees should consist entirely of independent directors.</w:t>
      </w:r>
    </w:p>
    <w:p>
      <w:pPr>
        <w:spacing w:after="0" w:line="73" w:lineRule="exact"/>
        <w:rPr>
          <w:rFonts w:ascii="Arial" w:cs="Arial" w:eastAsia="Arial" w:hAnsi="Arial"/>
          <w:sz w:val="17"/>
          <w:szCs w:val="17"/>
          <w:color w:val="auto"/>
        </w:rPr>
      </w:pPr>
    </w:p>
    <w:p>
      <w:pPr>
        <w:ind w:left="880" w:right="460" w:hanging="315"/>
        <w:spacing w:after="0" w:line="263"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Executive Sessions</w:t>
      </w:r>
      <w:r>
        <w:rPr>
          <w:rFonts w:ascii="Arial" w:cs="Arial" w:eastAsia="Arial" w:hAnsi="Arial"/>
          <w:sz w:val="17"/>
          <w:szCs w:val="17"/>
          <w:color w:val="auto"/>
        </w:rPr>
        <w:t>. At each Board meeting, our independent directors meet without the Chief Executive Officer or any other members of</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present to discuss issues important to Kraft Foods, including matters concerning management.</w:t>
      </w:r>
    </w:p>
    <w:p>
      <w:pPr>
        <w:spacing w:after="0" w:line="32" w:lineRule="exact"/>
        <w:rPr>
          <w:rFonts w:ascii="Arial" w:cs="Arial" w:eastAsia="Arial" w:hAnsi="Arial"/>
          <w:sz w:val="17"/>
          <w:szCs w:val="17"/>
          <w:color w:val="auto"/>
        </w:rPr>
      </w:pPr>
    </w:p>
    <w:p>
      <w:pPr>
        <w:ind w:left="880" w:hanging="315"/>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Special Meetings of the Board</w:t>
      </w:r>
      <w:r>
        <w:rPr>
          <w:rFonts w:ascii="Arial" w:cs="Arial" w:eastAsia="Arial" w:hAnsi="Arial"/>
          <w:sz w:val="17"/>
          <w:szCs w:val="17"/>
          <w:color w:val="auto"/>
        </w:rPr>
        <w:t>. Our By-Laws allow the Lead Director, in addition to the Chairman, to call special meetings of the Board.</w:t>
      </w:r>
    </w:p>
    <w:p>
      <w:pPr>
        <w:spacing w:after="0" w:line="73" w:lineRule="exact"/>
        <w:rPr>
          <w:rFonts w:ascii="Arial" w:cs="Arial" w:eastAsia="Arial" w:hAnsi="Arial"/>
          <w:sz w:val="17"/>
          <w:szCs w:val="17"/>
          <w:color w:val="auto"/>
        </w:rPr>
      </w:pPr>
    </w:p>
    <w:p>
      <w:pPr>
        <w:ind w:left="880" w:right="20" w:hanging="315"/>
        <w:spacing w:after="0" w:line="249"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Annual Chairman and CEO Evaluation</w:t>
      </w:r>
      <w:r>
        <w:rPr>
          <w:rFonts w:ascii="Arial" w:cs="Arial" w:eastAsia="Arial" w:hAnsi="Arial"/>
          <w:sz w:val="17"/>
          <w:szCs w:val="17"/>
          <w:color w:val="auto"/>
        </w:rPr>
        <w:t>. The Human Resources and Compensation Committee annually evaluates the Chief Executive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Additionally, the Governance, Membership and Public Affairs Committee annually reviews the Chief Executive Officer’s performance and suitability as Chairman when determining whether to nominate him or her for re-election.</w:t>
      </w:r>
    </w:p>
    <w:p>
      <w:pPr>
        <w:spacing w:after="0" w:line="43" w:lineRule="exact"/>
        <w:rPr>
          <w:rFonts w:ascii="Arial" w:cs="Arial" w:eastAsia="Arial" w:hAnsi="Arial"/>
          <w:sz w:val="17"/>
          <w:szCs w:val="17"/>
          <w:color w:val="auto"/>
        </w:rPr>
      </w:pPr>
    </w:p>
    <w:p>
      <w:pPr>
        <w:ind w:left="880" w:right="540" w:hanging="315"/>
        <w:spacing w:after="0" w:line="263"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Special Meetings of Shareholders</w:t>
      </w:r>
      <w:r>
        <w:rPr>
          <w:rFonts w:ascii="Arial" w:cs="Arial" w:eastAsia="Arial" w:hAnsi="Arial"/>
          <w:sz w:val="17"/>
          <w:szCs w:val="17"/>
          <w:color w:val="auto"/>
        </w:rPr>
        <w:t>. Our By-Laws allow shareholders of record of at least twenty percent (20%) of the voting power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stock to call a special meeting of shareholders.</w:t>
      </w:r>
    </w:p>
    <w:p>
      <w:pPr>
        <w:spacing w:after="0" w:line="32" w:lineRule="exact"/>
        <w:rPr>
          <w:rFonts w:ascii="Arial" w:cs="Arial" w:eastAsia="Arial" w:hAnsi="Arial"/>
          <w:sz w:val="17"/>
          <w:szCs w:val="17"/>
          <w:color w:val="auto"/>
        </w:rPr>
      </w:pPr>
    </w:p>
    <w:p>
      <w:pPr>
        <w:ind w:left="880" w:right="20" w:hanging="315"/>
        <w:spacing w:after="0" w:line="263"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Majority Voting in Director Elections</w:t>
      </w:r>
      <w:r>
        <w:rPr>
          <w:rFonts w:ascii="Arial" w:cs="Arial" w:eastAsia="Arial" w:hAnsi="Arial"/>
          <w:sz w:val="17"/>
          <w:szCs w:val="17"/>
          <w:color w:val="auto"/>
        </w:rPr>
        <w:t>. Our By-Laws provide that in uncontested elections, director nominees must be elected by a majority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votes cast.</w:t>
      </w:r>
    </w:p>
    <w:p>
      <w:pPr>
        <w:spacing w:after="0" w:line="32" w:lineRule="exact"/>
        <w:rPr>
          <w:rFonts w:ascii="Arial" w:cs="Arial" w:eastAsia="Arial" w:hAnsi="Arial"/>
          <w:sz w:val="17"/>
          <w:szCs w:val="17"/>
          <w:color w:val="auto"/>
        </w:rPr>
      </w:pPr>
    </w:p>
    <w:p>
      <w:pPr>
        <w:ind w:left="880" w:hanging="315"/>
        <w:spacing w:after="0"/>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Annual Election of Directors</w:t>
      </w:r>
      <w:r>
        <w:rPr>
          <w:rFonts w:ascii="Arial" w:cs="Arial" w:eastAsia="Arial" w:hAnsi="Arial"/>
          <w:sz w:val="17"/>
          <w:szCs w:val="17"/>
          <w:color w:val="auto"/>
        </w:rPr>
        <w:t>. Our By-Laws provide that our shareholders elect all directors annually.</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Stock Holding Requirements</w:t>
      </w:r>
      <w:r>
        <w:rPr>
          <w:rFonts w:ascii="Arial" w:cs="Arial" w:eastAsia="Arial" w:hAnsi="Arial"/>
          <w:sz w:val="16"/>
          <w:szCs w:val="16"/>
          <w:color w:val="auto"/>
        </w:rPr>
        <w:t>. The Guidelines provide that directors are expected to hold Kraft Foods common stock in an amount equal to five</w:t>
      </w:r>
    </w:p>
    <w:p>
      <w:pPr>
        <w:spacing w:after="0" w:line="25" w:lineRule="exact"/>
        <w:rPr>
          <w:rFonts w:ascii="Arial" w:cs="Arial" w:eastAsia="Arial" w:hAnsi="Arial"/>
          <w:sz w:val="16"/>
          <w:szCs w:val="16"/>
          <w:color w:val="auto"/>
        </w:rPr>
      </w:pPr>
    </w:p>
    <w:p>
      <w:pPr>
        <w:ind w:left="880" w:right="60"/>
        <w:spacing w:after="0" w:line="241" w:lineRule="auto"/>
        <w:rPr>
          <w:rFonts w:ascii="Arial" w:cs="Arial" w:eastAsia="Arial" w:hAnsi="Arial"/>
          <w:sz w:val="16"/>
          <w:szCs w:val="16"/>
          <w:color w:val="auto"/>
        </w:rPr>
      </w:pPr>
      <w:r>
        <w:rPr>
          <w:rFonts w:ascii="Arial" w:cs="Arial" w:eastAsia="Arial" w:hAnsi="Arial"/>
          <w:sz w:val="17"/>
          <w:szCs w:val="17"/>
          <w:color w:val="auto"/>
        </w:rPr>
        <w:t>(5) times the annual Board retainer within five (5) years of joining the Board. Equity grants awarded to directors in May 2010 or thereafter must be held until six (6) months after the director concludes service on the Board.</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00"/>
          </w:cols>
          <w:pgMar w:left="240" w:top="443" w:right="25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current Board leadership structure consists of:</w:t>
      </w:r>
    </w:p>
    <w:p>
      <w:pPr>
        <w:spacing w:after="0" w:line="188" w:lineRule="exact"/>
        <w:rPr>
          <w:sz w:val="20"/>
          <w:szCs w:val="20"/>
          <w:color w:val="auto"/>
        </w:rPr>
      </w:pPr>
    </w:p>
    <w:p>
      <w:pPr>
        <w:ind w:left="880" w:hanging="315"/>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combined Chairman and Chief Executive Officer;</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 independent Lead Director;</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independent directors except the Chairman and CEO;</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independent Board committees;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governance practices that promote independent leadership and oversight.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Combined Chairman and CEO</w:t>
      </w:r>
    </w:p>
    <w:p>
      <w:pPr>
        <w:spacing w:after="0" w:line="150"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By-Laws provide the Board flexibility in determining its leadership structure. The Guidelines currently provide that the Chief Executive Officer serves as Chairman of the Board and an independent director serves as Lead Director. Having one individual serve as both Chief Executive Officer and Chairman benefits Kraft Foods and our shareholders by contributing to the Board’s efficiency and effectiveness. The Board believes that the Chief Executive Officer is generally in the best position to inform our independent directors about our global operations and issues important to Kraft Foods. Combining these roles also allows timely communication between management and the Board on critical business matters given the complexity and global reach of our business and ensures alignment of our business and strategic plans. At the same time, as described below under “Independent Director Leadership and Oversight,” we believe that our governance practices ensure that skilled and experienced independent directors provide independent leadership.</w:t>
      </w:r>
    </w:p>
    <w:p>
      <w:pPr>
        <w:spacing w:after="0" w:line="139"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Our By-Laws permit one person to hold one or more offices such as chief executive officer and chairman, and provide that the Board may appoint, and designate the duties of, a lead director. The Board periodically evaluates our leadership structure and determines whether combining the roles of Chief Executive Officer and Chairman is in our best interests based on circumstances existing at the time. When determining the leadership structure that will allow the Board to effectively carry out its responsibilities and best represent our shareholders’ interests, the Board considers various factors, including our specific business needs, our operating and financial performance, industry conditions, the economic and regulatory environment, Board and committee annual self-evaluations, advantages and disadvantages of alternative leadership structures and our corporate governance practices.</w:t>
      </w:r>
    </w:p>
    <w:p>
      <w:pPr>
        <w:spacing w:after="0" w:line="147"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Ms. Rosenfeld has served as our Chief Executive Officer and a director since June 2006. In 2007, the Board concluded that Ms. Rosenfeld should also serve as Chairman because of her extensive knowledge of Kraft Foods, the food industry and the competitive environment, her leadership experience and her dedication to working closely with other members of the Board. The Board believes that this leadership structure best meets our needs at this time, as it has provided an effective balance of strong leadership and independent oversight during the last several years.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Independent Director Leadership and Oversight</w:t>
      </w:r>
    </w:p>
    <w:p>
      <w:pPr>
        <w:spacing w:after="0" w:line="15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Because the Board believes that independent Board leadership is important, it established the role of Lead Director for times when one individual serves as Chairman and Chief Executive Officer. The Lead Director is an independent director who serves as the principal liaison between the Chairman and the other independent directors and has similar responsibilities to those of the Chairman. The Board created the Lead Director position to increase the Board’s effectiveness and promote open communication among independent directors. The Lead Director works with the Chairman and other members of the Board to provide independent leadership of the Board’s affairs on behalf of our shareholders.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43"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Under the Guidelines, the Lead Director, in consultation with the other independent directors, is responsible for:</w:t>
      </w:r>
    </w:p>
    <w:p>
      <w:pPr>
        <w:spacing w:after="0" w:line="188" w:lineRule="exact"/>
        <w:rPr>
          <w:sz w:val="20"/>
          <w:szCs w:val="20"/>
          <w:color w:val="auto"/>
        </w:rPr>
      </w:pPr>
    </w:p>
    <w:p>
      <w:pPr>
        <w:ind w:left="880" w:hanging="315"/>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advising the Chairman as to an appropriate schedule of Board meetings;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reviewing and providing the Chairman with input regarding the agendas and materials for the Board meetings;</w:t>
      </w:r>
    </w:p>
    <w:p>
      <w:pPr>
        <w:spacing w:after="0" w:line="73" w:lineRule="exact"/>
        <w:rPr>
          <w:rFonts w:ascii="Arial" w:cs="Arial" w:eastAsia="Arial" w:hAnsi="Arial"/>
          <w:sz w:val="17"/>
          <w:szCs w:val="17"/>
          <w:color w:val="auto"/>
        </w:rPr>
      </w:pPr>
    </w:p>
    <w:p>
      <w:pPr>
        <w:ind w:left="880" w:right="320" w:hanging="315"/>
        <w:spacing w:after="0" w:line="241"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presiding at all Board meetings at which the Chairman is not present, including executive sessions of the independent directors at regularly scheduled Board meetings, and, as appropriate, apprising the Chairman of the topics considered;</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being available for consultation and direct communication with our shareholders;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calling meetings of the independent directors when necessary and appropriate;</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serving as an unofficial member of all Board committees of which he or she is not a member;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performing such other duties as the Board may from time-to-time delegate.</w:t>
      </w:r>
    </w:p>
    <w:p>
      <w:pPr>
        <w:spacing w:after="0" w:line="150" w:lineRule="exact"/>
        <w:rPr>
          <w:sz w:val="20"/>
          <w:szCs w:val="20"/>
          <w:color w:val="auto"/>
        </w:rPr>
      </w:pPr>
    </w:p>
    <w:p>
      <w:pPr>
        <w:jc w:val="both"/>
        <w:ind w:right="320"/>
        <w:spacing w:after="0" w:line="239" w:lineRule="auto"/>
        <w:rPr>
          <w:sz w:val="20"/>
          <w:szCs w:val="20"/>
          <w:color w:val="auto"/>
        </w:rPr>
      </w:pPr>
      <w:r>
        <w:rPr>
          <w:rFonts w:ascii="Arial" w:cs="Arial" w:eastAsia="Arial" w:hAnsi="Arial"/>
          <w:sz w:val="17"/>
          <w:szCs w:val="17"/>
          <w:color w:val="auto"/>
        </w:rPr>
        <w:t>Our current Lead Director is Mark D. Ketchum, whom the Board appointed to that position in 2009. The Board believes that Mr. Ketchum is an effective Lead Director due to his independence, leadership and operating experience from formerly serving as president and chief executive officer of a global consumer products company and his corporate governance experience acquired while serving on public company boards.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170"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auto"/>
        </w:rPr>
        <w:t xml:space="preserve">The Guidelines require that at least 75% of the directors on our Board meet the New York Stock Exchange (“NYSE”) listing standards’ “independence” requirements. For a director to be considered independent, the Board must affirmatively determine, after reviewing all relevant information, that a director has no direct or indirect material relationship with Kraft Foods. To assist in this determination, the Board adopted categorical standards of director independence, including whether a director or a member of the director’s immediate family has any current or past employment or affiliation with Kraft Foods or our independent registered public accountants. These categorical standards are listed as Annex A to the Guidelines, which are available on our website at </w:t>
      </w:r>
      <w:r>
        <w:rPr>
          <w:rFonts w:ascii="Arial" w:cs="Arial" w:eastAsia="Arial" w:hAnsi="Arial"/>
          <w:sz w:val="17"/>
          <w:szCs w:val="17"/>
          <w:i w:val="1"/>
          <w:iCs w:val="1"/>
          <w:u w:val="single" w:color="auto"/>
          <w:color w:val="auto"/>
        </w:rPr>
        <w:t>www.kraftfoodscompany.com/investor/corporate-governance</w:t>
      </w:r>
      <w:r>
        <w:rPr>
          <w:rFonts w:ascii="Arial" w:cs="Arial" w:eastAsia="Arial" w:hAnsi="Arial"/>
          <w:sz w:val="17"/>
          <w:szCs w:val="17"/>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Board determined that, under our categorical standards and the NYSE listing standards, the following director nominees are independent: Myra</w:t>
      </w:r>
    </w:p>
    <w:p>
      <w:pPr>
        <w:ind w:right="20"/>
        <w:spacing w:after="0" w:line="241" w:lineRule="auto"/>
        <w:rPr>
          <w:sz w:val="20"/>
          <w:szCs w:val="20"/>
          <w:color w:val="auto"/>
        </w:rPr>
      </w:pPr>
      <w:r>
        <w:rPr>
          <w:rFonts w:ascii="Arial" w:cs="Arial" w:eastAsia="Arial" w:hAnsi="Arial"/>
          <w:sz w:val="17"/>
          <w:szCs w:val="17"/>
          <w:color w:val="auto"/>
        </w:rPr>
        <w:t>M. Hart; Peter B. Henry; Lois D. Juliber; Mark D. Ketchum; Terry J. Lundgren; Mackey J. McDonald; Jorge S. Mesquita; John C. Pope; Fredric G. Reynolds and Jean-François M.L. van Boxmeer. Irene B. Rosenfeld is not independent because she is an executive officer of Kraft Foods.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Oversight of Risk Management</w:t>
      </w:r>
    </w:p>
    <w:p>
      <w:pPr>
        <w:spacing w:after="0" w:line="17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business faces various risks, including strategic, financial, legal, regulatory, operational, accounting and reputational risks. Management is responsible for the day-to-day management and mitigation of risk. Identifying, managing and mitigating our exposure to these risks and effectively overseeing this process are critical to our operational decision-making and annual planning processes. Our Board has ultimate responsibility for risk oversight, but it has delegated primary responsibility for overseeing risk assessment and management to the Audit Committee. As required by NYSE listing standards, the Audit Committee discusses guidelines and policies to govern the process by which management assesses and manages risk. In addition, pursuant to its charter, the Audit Committee reviews and discusses risk assessment and risk management guidelines, policies and processes utilized in our Enterprise Risk Management (“ERM”) approach. Our ERM approach is an ongoing process effected at all levels of our operations and across business units to identify, assess, monitor, manage and mitigate risk. The ERM approach facilitates open communication between management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443" w:right="25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and the Board to advance the Board’s and committees’ understanding of our risk management process, how it is functioning, the participants in the process, key risks to our business and performance and the information gathered through the approach. The Audit Committee annually reviews the ERM approach, as well as the results of the annual ERM assessment, to assure the process continues to function effectively.</w:t>
      </w:r>
    </w:p>
    <w:p>
      <w:pPr>
        <w:spacing w:after="0" w:line="145"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Annually, the Audit Committee allocates responsibility for overseeing the review and assessment of key risk exposures and management’s response to those exposures to the full Board or it retains those responsibilities as appropriate. Management provides reports to the Board and Audit Committee, in advance of meetings, regarding these key risks and the actions management has taken to monitor, control and mitigate these risks. Management also attends Board and Audit Committee meetings to discuss these reports and provide any updates. The Audit Committee reports key risk discussions to the Board following its meetings. Board members may also further discuss the risk management process directly with members of management.</w:t>
      </w:r>
    </w:p>
    <w:p>
      <w:pPr>
        <w:spacing w:after="0" w:line="135"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In addition to the ERM approach, throughout the year, the Board and each committee review and assess risks related to our business and operations as follows:</w:t>
      </w:r>
    </w:p>
    <w:p>
      <w:pPr>
        <w:sectPr>
          <w:pgSz w:w="11900" w:h="16838" w:orient="portrait"/>
          <w:cols w:equalWidth="0" w:num="1">
            <w:col w:w="11380"/>
          </w:cols>
          <w:pgMar w:left="240" w:top="443" w:right="27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900"/>
        <w:spacing w:after="0"/>
        <w:rPr>
          <w:sz w:val="20"/>
          <w:szCs w:val="20"/>
          <w:color w:val="auto"/>
        </w:rPr>
      </w:pPr>
      <w:r>
        <w:rPr>
          <w:rFonts w:ascii="Arial" w:cs="Arial" w:eastAsia="Arial" w:hAnsi="Arial"/>
          <w:sz w:val="13"/>
          <w:szCs w:val="13"/>
          <w:b w:val="1"/>
          <w:bCs w:val="1"/>
          <w:color w:val="auto"/>
        </w:rPr>
        <w:t>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1381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811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Arial" w:cs="Arial" w:eastAsia="Arial" w:hAnsi="Arial"/>
                <w:sz w:val="13"/>
                <w:szCs w:val="13"/>
                <w:b w:val="1"/>
                <w:bCs w:val="1"/>
                <w:color w:val="auto"/>
                <w:w w:val="98"/>
              </w:rPr>
              <w:t>Governance,</w:t>
            </w:r>
          </w:p>
        </w:tc>
      </w:tr>
      <w:tr>
        <w:trPr>
          <w:trHeight w:val="141"/>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8"/>
              </w:rPr>
              <w:t>Membership and</w:t>
            </w:r>
          </w:p>
        </w:tc>
      </w:tr>
      <w:tr>
        <w:trPr>
          <w:trHeight w:val="170"/>
        </w:trPr>
        <w:tc>
          <w:tcPr>
            <w:tcW w:w="216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Audit</w:t>
            </w:r>
          </w:p>
        </w:tc>
        <w:tc>
          <w:tcPr>
            <w:tcW w:w="120" w:type="dxa"/>
            <w:vAlign w:val="bottom"/>
          </w:tcPr>
          <w:p>
            <w:pPr>
              <w:spacing w:after="0"/>
              <w:rPr>
                <w:sz w:val="14"/>
                <w:szCs w:val="14"/>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Public Affairs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-283845</wp:posOffset>
            </wp:positionV>
            <wp:extent cx="1454150" cy="130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54150" cy="130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-173355</wp:posOffset>
            </wp:positionV>
            <wp:extent cx="1454150" cy="130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54150" cy="130810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and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wp:posOffset>
            </wp:positionH>
            <wp:positionV relativeFrom="paragraph">
              <wp:posOffset>20320</wp:posOffset>
            </wp:positionV>
            <wp:extent cx="13728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2870" cy="825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4">
            <w:col w:w="1580" w:space="720"/>
            <w:col w:w="4580" w:space="600"/>
            <w:col w:w="1900" w:space="720"/>
            <w:col w:w="1280"/>
          </w:cols>
          <w:pgMar w:left="240" w:top="443" w:right="279" w:bottom="1440" w:gutter="0" w:footer="0" w:header="0"/>
          <w:type w:val="continuous"/>
        </w:sectPr>
      </w:pPr>
    </w:p>
    <w:p>
      <w:pPr>
        <w:spacing w:after="0"/>
        <w:rPr>
          <w:sz w:val="20"/>
          <w:szCs w:val="20"/>
          <w:color w:val="auto"/>
        </w:rPr>
      </w:pPr>
      <w:r>
        <w:rPr>
          <w:rFonts w:ascii="Arial" w:cs="Arial" w:eastAsia="Arial" w:hAnsi="Arial"/>
          <w:sz w:val="13"/>
          <w:szCs w:val="13"/>
          <w:color w:val="auto"/>
        </w:rPr>
        <w:t>Strategy</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Operations</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3"/>
          <w:szCs w:val="13"/>
          <w:color w:val="auto"/>
        </w:rPr>
        <w:t>Food safety (including supply chain and food defense)</w:t>
      </w:r>
    </w:p>
    <w:p>
      <w:pPr>
        <w:spacing w:after="0" w:line="64" w:lineRule="exact"/>
        <w:rPr>
          <w:sz w:val="20"/>
          <w:szCs w:val="20"/>
          <w:color w:val="auto"/>
        </w:rPr>
      </w:pPr>
    </w:p>
    <w:p>
      <w:pPr>
        <w:spacing w:after="0" w:line="236" w:lineRule="auto"/>
        <w:rPr>
          <w:sz w:val="20"/>
          <w:szCs w:val="20"/>
          <w:color w:val="auto"/>
        </w:rPr>
      </w:pPr>
      <w:r>
        <w:rPr>
          <w:rFonts w:ascii="Arial" w:cs="Arial" w:eastAsia="Arial" w:hAnsi="Arial"/>
          <w:sz w:val="13"/>
          <w:szCs w:val="13"/>
          <w:color w:val="auto"/>
        </w:rPr>
        <w:t>Competition (including private label and customer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341630</wp:posOffset>
            </wp:positionV>
            <wp:extent cx="7226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Financial reporting process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Accounting matters</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3"/>
          <w:szCs w:val="13"/>
          <w:color w:val="auto"/>
        </w:rPr>
        <w:t>Legal, compliance and regulatory matters</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Operations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Sovereign Risk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Governance programs</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3"/>
          <w:szCs w:val="13"/>
          <w:color w:val="auto"/>
        </w:rPr>
        <w:t>Board organization, membership and structure</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Related person transactions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Social accountability</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Public policy</w:t>
      </w:r>
    </w:p>
    <w:p>
      <w:pPr>
        <w:spacing w:after="0" w:line="68" w:lineRule="exact"/>
        <w:rPr>
          <w:sz w:val="20"/>
          <w:szCs w:val="20"/>
          <w:color w:val="auto"/>
        </w:rPr>
      </w:pPr>
    </w:p>
    <w:p>
      <w:pPr>
        <w:ind w:right="400"/>
        <w:spacing w:after="0" w:line="236" w:lineRule="auto"/>
        <w:rPr>
          <w:sz w:val="20"/>
          <w:szCs w:val="20"/>
          <w:color w:val="auto"/>
        </w:rPr>
      </w:pPr>
      <w:r>
        <w:rPr>
          <w:rFonts w:ascii="Arial" w:cs="Arial" w:eastAsia="Arial" w:hAnsi="Arial"/>
          <w:sz w:val="13"/>
          <w:szCs w:val="13"/>
          <w:color w:val="auto"/>
        </w:rPr>
        <w:t>Kraft Foods’ public image and reputation</w:t>
      </w:r>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Arial" w:cs="Arial" w:eastAsia="Arial" w:hAnsi="Arial"/>
          <w:sz w:val="13"/>
          <w:szCs w:val="13"/>
          <w:color w:val="auto"/>
        </w:rPr>
        <w:t>Compensation policies and practices for all employees (including executives)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Succession planning</w:t>
      </w:r>
    </w:p>
    <w:p>
      <w:pPr>
        <w:spacing w:after="0" w:line="68" w:lineRule="exact"/>
        <w:rPr>
          <w:sz w:val="20"/>
          <w:szCs w:val="20"/>
          <w:color w:val="auto"/>
        </w:rPr>
      </w:pPr>
    </w:p>
    <w:p>
      <w:pPr>
        <w:ind w:right="360"/>
        <w:spacing w:after="0" w:line="236" w:lineRule="auto"/>
        <w:rPr>
          <w:sz w:val="20"/>
          <w:szCs w:val="20"/>
          <w:color w:val="auto"/>
        </w:rPr>
      </w:pPr>
      <w:r>
        <w:rPr>
          <w:rFonts w:ascii="Arial" w:cs="Arial" w:eastAsia="Arial" w:hAnsi="Arial"/>
          <w:sz w:val="13"/>
          <w:szCs w:val="13"/>
          <w:color w:val="auto"/>
        </w:rPr>
        <w:t>Human resources policies and practices</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Arial" w:cs="Arial" w:eastAsia="Arial" w:hAnsi="Arial"/>
          <w:sz w:val="12"/>
          <w:szCs w:val="12"/>
          <w:color w:val="auto"/>
        </w:rPr>
        <w:t>Financial risk management (including foreign exchange, commodities and interest rate exposure)</w:t>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Capital structure</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Financial strategies and transactions</w:t>
      </w:r>
    </w:p>
    <w:p>
      <w:pPr>
        <w:spacing w:after="0" w:line="797" w:lineRule="exact"/>
        <w:rPr>
          <w:sz w:val="20"/>
          <w:szCs w:val="20"/>
          <w:color w:val="auto"/>
        </w:rPr>
      </w:pPr>
    </w:p>
    <w:p>
      <w:pPr>
        <w:sectPr>
          <w:pgSz w:w="11900" w:h="16838" w:orient="portrait"/>
          <w:cols w:equalWidth="0" w:num="5">
            <w:col w:w="2000" w:space="300"/>
            <w:col w:w="1880" w:space="400"/>
            <w:col w:w="2100" w:space="300"/>
            <w:col w:w="2080" w:space="200"/>
            <w:col w:w="2120"/>
          </w:cols>
          <w:pgMar w:left="240" w:top="443" w:right="279" w:bottom="1440" w:gutter="0" w:footer="0" w:header="0"/>
          <w:type w:val="continuous"/>
        </w:sectPr>
      </w:pPr>
    </w:p>
    <w:p>
      <w:pPr>
        <w:ind w:left="100" w:right="220" w:hanging="98"/>
        <w:spacing w:after="0" w:line="236" w:lineRule="auto"/>
        <w:tabs>
          <w:tab w:leader="none" w:pos="1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For a discussion about risk oversight relating to our compensation programs, see “Board Membership and Committees – Human Resources and Compensation Committee – Analysis of Risk in the Compensation Architecture” below in this Proxy Statement.</w:t>
      </w:r>
    </w:p>
    <w:p>
      <w:pPr>
        <w:spacing w:after="0" w:line="145"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Board frequently discusses our strategic plans, issues and opportunities in light of circumstances in the food and beverage industry and the global economic environment. Additionally, the Board devotes several days each year to a highly focused review of our strategic plans, which includes discussion of strategic and operational risks.</w:t>
      </w:r>
    </w:p>
    <w:p>
      <w:pPr>
        <w:spacing w:after="0" w:line="145" w:lineRule="exact"/>
        <w:rPr>
          <w:sz w:val="20"/>
          <w:szCs w:val="20"/>
          <w:color w:val="auto"/>
        </w:rPr>
      </w:pPr>
    </w:p>
    <w:p>
      <w:pPr>
        <w:ind w:right="380"/>
        <w:spacing w:after="0" w:line="239" w:lineRule="auto"/>
        <w:rPr>
          <w:sz w:val="20"/>
          <w:szCs w:val="20"/>
          <w:color w:val="auto"/>
        </w:rPr>
      </w:pPr>
      <w:r>
        <w:rPr>
          <w:rFonts w:ascii="Arial" w:cs="Arial" w:eastAsia="Arial" w:hAnsi="Arial"/>
          <w:sz w:val="17"/>
          <w:szCs w:val="17"/>
          <w:color w:val="auto"/>
        </w:rPr>
        <w:t>The Board believes our current leadership structure enhances its oversight of risk management because our Chief Executive Officer, who is ultimately responsible for our risk management process, is also our Chairman, placing her in the best position to discuss with the Board these key risks and management’s response to them.</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of Transactions with Related Persons</w:t>
      </w:r>
    </w:p>
    <w:p>
      <w:pPr>
        <w:spacing w:after="0" w:line="17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Board has adopted a written policy regarding the review, approval or ratification of “related person transactions.” A related person transaction is one in which Kraft Foods Inc. is a participant, in which the amount involved exceeds $120,000 and in which any “related person” had, has or will have a direct or indirect material interest. In general, “related persons” are the following persons and their immediate family members: our directors, executive officers and shareholders beneficially owning more than 5% of our outstanding common stock. In accordance with this policy, the Committee reviews transactions that might qualify as related person transactions. If the Committee determines that a transaction qualifies as a related person transaction, then the Committee reviews, and approves, disapproves or ratifies the related person transaction. The Committee approves or ratifies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80"/>
          </w:cols>
          <w:pgMar w:left="240" w:top="443" w:right="279" w:bottom="1440" w:gutter="0" w:footer="0" w:header="0"/>
          <w:type w:val="continuous"/>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only those related person transactions that are fair and reasonable to Kraft Foods and in our and our shareholders’ best interests. The chair of the Committee reviews and approves or ratifies potential related person transactions when it is not practicable or desirable to delay review of a transaction until a committee meeting. The chair reports to the Committee any transaction so approved or ratified. The Committee, in the course of its review and approval or ratification of a related person transaction under this policy, considers, among other things:</w:t>
      </w:r>
    </w:p>
    <w:p>
      <w:pPr>
        <w:spacing w:after="0" w:line="184" w:lineRule="exact"/>
        <w:rPr>
          <w:sz w:val="20"/>
          <w:szCs w:val="20"/>
          <w:color w:val="auto"/>
        </w:rPr>
      </w:pPr>
    </w:p>
    <w:p>
      <w:pPr>
        <w:ind w:left="880" w:hanging="315"/>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commercial reasonableness of the transaction;</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materiality of the related person’s direct or indirect interest in the transaction;</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whether the transaction may involve an actual, or the appearance of a, conflict of interest;</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impact of the transaction on the related person’s independence (as defined in the Guidelines and the NYSE listing standards);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whether the transaction would violate any provision of our Directors Ethics Code or Code of Conduct.</w:t>
      </w:r>
    </w:p>
    <w:p>
      <w:pPr>
        <w:spacing w:after="0" w:line="150" w:lineRule="exact"/>
        <w:rPr>
          <w:sz w:val="20"/>
          <w:szCs w:val="20"/>
          <w:color w:val="auto"/>
        </w:rPr>
      </w:pPr>
    </w:p>
    <w:p>
      <w:pPr>
        <w:ind w:right="460"/>
        <w:spacing w:after="0" w:line="241" w:lineRule="auto"/>
        <w:rPr>
          <w:sz w:val="20"/>
          <w:szCs w:val="20"/>
          <w:color w:val="auto"/>
        </w:rPr>
      </w:pPr>
      <w:r>
        <w:rPr>
          <w:rFonts w:ascii="Arial" w:cs="Arial" w:eastAsia="Arial" w:hAnsi="Arial"/>
          <w:sz w:val="17"/>
          <w:szCs w:val="17"/>
          <w:color w:val="auto"/>
        </w:rPr>
        <w:t>Any member of the Committee who is a related person with respect to a transaction under review may not participate in the deliberations or decisions regarding the transaction.</w:t>
      </w:r>
    </w:p>
    <w:p>
      <w:pPr>
        <w:spacing w:after="0" w:line="145" w:lineRule="exact"/>
        <w:rPr>
          <w:sz w:val="20"/>
          <w:szCs w:val="20"/>
          <w:color w:val="auto"/>
        </w:rPr>
      </w:pPr>
    </w:p>
    <w:p>
      <w:pPr>
        <w:ind w:right="900"/>
        <w:spacing w:after="0" w:line="241" w:lineRule="auto"/>
        <w:rPr>
          <w:sz w:val="20"/>
          <w:szCs w:val="20"/>
          <w:color w:val="auto"/>
        </w:rPr>
      </w:pPr>
      <w:r>
        <w:rPr>
          <w:rFonts w:ascii="Arial" w:cs="Arial" w:eastAsia="Arial" w:hAnsi="Arial"/>
          <w:sz w:val="17"/>
          <w:szCs w:val="17"/>
          <w:color w:val="auto"/>
        </w:rPr>
        <w:t>Pursuant to our policy, the Committee determined since the beginning of 2011, that no transaction submitted for its review was a related person transaction.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17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Section 16(a) of the Securities Exchange Act of 1934 (the “Exchange Act”) requires our executive officers, directors and persons who beneficially own more than 10% of our common stock to report to the SEC their ownership of our common stock and changes in that ownership. As a practical matter, our Office of the Corporate Secretary assists our directors and executive officers by monitoring their transactions and completing and filing Section 16(a) reports on their behalf.</w:t>
      </w:r>
    </w:p>
    <w:p>
      <w:pPr>
        <w:spacing w:after="0" w:line="146" w:lineRule="exact"/>
        <w:rPr>
          <w:sz w:val="20"/>
          <w:szCs w:val="20"/>
          <w:color w:val="auto"/>
        </w:rPr>
      </w:pPr>
    </w:p>
    <w:p>
      <w:pPr>
        <w:jc w:val="both"/>
        <w:ind w:right="280"/>
        <w:spacing w:after="0" w:line="239" w:lineRule="auto"/>
        <w:rPr>
          <w:sz w:val="20"/>
          <w:szCs w:val="20"/>
          <w:color w:val="auto"/>
        </w:rPr>
      </w:pPr>
      <w:r>
        <w:rPr>
          <w:rFonts w:ascii="Arial" w:cs="Arial" w:eastAsia="Arial" w:hAnsi="Arial"/>
          <w:sz w:val="17"/>
          <w:szCs w:val="17"/>
          <w:color w:val="auto"/>
        </w:rPr>
        <w:t>We reviewed copies of reports filed pursuant to Section 16(a) of the Exchange Act and written representations from reporting persons that all reportable transactions were reported. Based solely on that review, we believe that during the fiscal year ended December 31, 2011, all required filings were timely made in accordance with Exchange Act requirements.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with the Board</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 xml:space="preserve">Information for shareholders and other parties interested in communicating with the Lead Director, the Board or our independent directors, individually or as a group, is available on our website at </w:t>
      </w:r>
      <w:r>
        <w:rPr>
          <w:rFonts w:ascii="Arial" w:cs="Arial" w:eastAsia="Arial" w:hAnsi="Arial"/>
          <w:sz w:val="16"/>
          <w:szCs w:val="16"/>
          <w:i w:val="1"/>
          <w:iCs w:val="1"/>
          <w:u w:val="single" w:color="auto"/>
          <w:color w:val="auto"/>
        </w:rPr>
        <w:t>www.kraftfoodscompany.com/investor/corporate-governance/contact_bod</w:t>
      </w:r>
      <w:r>
        <w:rPr>
          <w:rFonts w:ascii="Arial" w:cs="Arial" w:eastAsia="Arial" w:hAnsi="Arial"/>
          <w:sz w:val="16"/>
          <w:szCs w:val="16"/>
          <w:color w:val="auto"/>
        </w:rPr>
        <w:t>. Our Corporate Secretary forwards communications relating to matters within the Board’s purview to the independent directors; communications relating to matters within a Board committee’s area of responsibility to the chair of the appropriate committee; and communications relating to ordinary business matters, such as suggestions, inquiries and consumer complaints, to the appropriate Kraft Foods executive or employee. Our Corporate Secretary does not forward solicitations, junk mail and obviously frivolous or inappropriate communications, but makes them available to any independent director who requests them.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43"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3"/>
          <w:szCs w:val="23"/>
          <w:b w:val="1"/>
          <w:bCs w:val="1"/>
          <w:color w:val="auto"/>
        </w:rPr>
        <w:t>BOARD COMMITTEES AND MEMBERSHIP</w:t>
      </w:r>
    </w:p>
    <w:p>
      <w:pPr>
        <w:spacing w:after="0" w:line="192" w:lineRule="exact"/>
        <w:rPr>
          <w:sz w:val="20"/>
          <w:szCs w:val="20"/>
          <w:color w:val="auto"/>
        </w:rPr>
      </w:pPr>
    </w:p>
    <w:p>
      <w:pPr>
        <w:jc w:val="both"/>
        <w:ind w:right="200"/>
        <w:spacing w:after="0" w:line="257" w:lineRule="auto"/>
        <w:rPr>
          <w:sz w:val="20"/>
          <w:szCs w:val="20"/>
          <w:color w:val="auto"/>
        </w:rPr>
      </w:pPr>
      <w:r>
        <w:rPr>
          <w:rFonts w:ascii="Arial" w:cs="Arial" w:eastAsia="Arial" w:hAnsi="Arial"/>
          <w:sz w:val="16"/>
          <w:szCs w:val="16"/>
          <w:color w:val="auto"/>
        </w:rPr>
        <w:t xml:space="preserve">Our Board designates the committee members and chairs based on the Governance, Membership and Public Affairs Committee’s recommendations. In 2011, the Board had four standing committees: Audit, Finance, Human Resources and Compensation, and Governance, Membership and Public Affairs. The Board has adopted a written charter for each committee. The charters define each committee’s roles and responsibilities. All committee charters are available on our website at </w:t>
      </w:r>
      <w:r>
        <w:rPr>
          <w:rFonts w:ascii="Arial" w:cs="Arial" w:eastAsia="Arial" w:hAnsi="Arial"/>
          <w:sz w:val="16"/>
          <w:szCs w:val="16"/>
          <w:i w:val="1"/>
          <w:iCs w:val="1"/>
          <w:u w:val="single" w:color="auto"/>
          <w:color w:val="auto"/>
        </w:rPr>
        <w:t>www.kraftfoodscompany.com/investor/corporate-governance</w:t>
      </w:r>
      <w:r>
        <w:rPr>
          <w:rFonts w:ascii="Arial" w:cs="Arial" w:eastAsia="Arial" w:hAnsi="Arial"/>
          <w:sz w:val="16"/>
          <w:szCs w:val="16"/>
          <w:i w:val="1"/>
          <w:iCs w:val="1"/>
          <w:color w:val="auto"/>
        </w:rPr>
        <w:t>.</w:t>
      </w:r>
      <w:r>
        <w:rPr>
          <w:rFonts w:ascii="Arial" w:cs="Arial" w:eastAsia="Arial" w:hAnsi="Arial"/>
          <w:sz w:val="16"/>
          <w:szCs w:val="16"/>
          <w:color w:val="auto"/>
        </w:rPr>
        <w:t xml:space="preserve"> Our current committee membership is listed in the table below.</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Current Committee Membership</w:t>
      </w:r>
      <w:r>
        <w:rPr>
          <w:rFonts w:ascii="Arial" w:cs="Arial" w:eastAsia="Arial" w:hAnsi="Arial"/>
          <w:sz w:val="17"/>
          <w:szCs w:val="17"/>
          <w:color w:val="auto"/>
        </w:rPr>
        <w:t>*</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Human</w:t>
            </w: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9"/>
              </w:rPr>
              <w:t>Resources</w:t>
            </w: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8"/>
              </w:rPr>
              <w:t>Governance,</w:t>
            </w:r>
          </w:p>
        </w:tc>
        <w:tc>
          <w:tcPr>
            <w:tcW w:w="0" w:type="dxa"/>
            <w:vAlign w:val="bottom"/>
          </w:tcPr>
          <w:p>
            <w:pPr>
              <w:spacing w:after="0"/>
              <w:rPr>
                <w:sz w:val="1"/>
                <w:szCs w:val="1"/>
                <w:color w:val="auto"/>
              </w:rPr>
            </w:pPr>
          </w:p>
        </w:tc>
      </w:tr>
      <w:tr>
        <w:trPr>
          <w:trHeight w:val="141"/>
        </w:trPr>
        <w:tc>
          <w:tcPr>
            <w:tcW w:w="42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436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4"/>
              </w:rPr>
              <w:t>and</w:t>
            </w: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8"/>
              </w:rPr>
              <w:t>Membership and</w:t>
            </w:r>
          </w:p>
        </w:tc>
        <w:tc>
          <w:tcPr>
            <w:tcW w:w="0" w:type="dxa"/>
            <w:vAlign w:val="bottom"/>
          </w:tcPr>
          <w:p>
            <w:pPr>
              <w:spacing w:after="0"/>
              <w:rPr>
                <w:sz w:val="1"/>
                <w:szCs w:val="1"/>
                <w:color w:val="auto"/>
              </w:rPr>
            </w:pPr>
          </w:p>
        </w:tc>
      </w:tr>
      <w:tr>
        <w:trPr>
          <w:trHeight w:val="165"/>
        </w:trPr>
        <w:tc>
          <w:tcPr>
            <w:tcW w:w="420" w:type="dxa"/>
            <w:vAlign w:val="bottom"/>
            <w:tcBorders>
              <w:bottom w:val="single" w:sz="8" w:color="auto"/>
            </w:tcBorders>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rPr>
              <w:t>Audit</w:t>
            </w:r>
          </w:p>
        </w:tc>
        <w:tc>
          <w:tcPr>
            <w:tcW w:w="720" w:type="dxa"/>
            <w:vAlign w:val="bottom"/>
          </w:tcPr>
          <w:p>
            <w:pPr>
              <w:spacing w:after="0"/>
              <w:rPr>
                <w:sz w:val="14"/>
                <w:szCs w:val="14"/>
                <w:color w:val="auto"/>
              </w:rPr>
            </w:pPr>
          </w:p>
        </w:tc>
        <w:tc>
          <w:tcPr>
            <w:tcW w:w="90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99"/>
              </w:rPr>
              <w:t>Compensation</w:t>
            </w:r>
          </w:p>
        </w:tc>
        <w:tc>
          <w:tcPr>
            <w:tcW w:w="720" w:type="dxa"/>
            <w:vAlign w:val="bottom"/>
          </w:tcPr>
          <w:p>
            <w:pPr>
              <w:spacing w:after="0"/>
              <w:rPr>
                <w:sz w:val="14"/>
                <w:szCs w:val="14"/>
                <w:color w:val="auto"/>
              </w:rPr>
            </w:pPr>
          </w:p>
        </w:tc>
        <w:tc>
          <w:tcPr>
            <w:tcW w:w="50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rPr>
              <w:t>Finance</w:t>
            </w:r>
          </w:p>
        </w:tc>
        <w:tc>
          <w:tcPr>
            <w:tcW w:w="720" w:type="dxa"/>
            <w:vAlign w:val="bottom"/>
          </w:tcPr>
          <w:p>
            <w:pPr>
              <w:spacing w:after="0"/>
              <w:rPr>
                <w:sz w:val="14"/>
                <w:szCs w:val="14"/>
                <w:color w:val="auto"/>
              </w:rPr>
            </w:pPr>
          </w:p>
        </w:tc>
        <w:tc>
          <w:tcPr>
            <w:tcW w:w="102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97"/>
              </w:rPr>
              <w:t>Public Affairs</w:t>
            </w:r>
          </w:p>
        </w:tc>
        <w:tc>
          <w:tcPr>
            <w:tcW w:w="0" w:type="dxa"/>
            <w:vAlign w:val="bottom"/>
          </w:tcPr>
          <w:p>
            <w:pPr>
              <w:spacing w:after="0"/>
              <w:rPr>
                <w:sz w:val="1"/>
                <w:szCs w:val="1"/>
                <w:color w:val="auto"/>
              </w:rPr>
            </w:pPr>
          </w:p>
        </w:tc>
      </w:tr>
      <w:tr>
        <w:trPr>
          <w:trHeight w:val="177"/>
        </w:trPr>
        <w:tc>
          <w:tcPr>
            <w:tcW w:w="4780" w:type="dxa"/>
            <w:vAlign w:val="bottom"/>
            <w:gridSpan w:val="2"/>
          </w:tcPr>
          <w:p>
            <w:pPr>
              <w:spacing w:after="0" w:line="177" w:lineRule="exact"/>
              <w:rPr>
                <w:sz w:val="20"/>
                <w:szCs w:val="20"/>
                <w:color w:val="auto"/>
              </w:rPr>
            </w:pPr>
            <w:r>
              <w:rPr>
                <w:rFonts w:ascii="Arial" w:cs="Arial" w:eastAsia="Arial" w:hAnsi="Arial"/>
                <w:sz w:val="17"/>
                <w:szCs w:val="17"/>
                <w:color w:val="auto"/>
              </w:rPr>
              <w:t>Ajaypal S. Banga</w:t>
            </w:r>
          </w:p>
        </w:tc>
        <w:tc>
          <w:tcPr>
            <w:tcW w:w="720" w:type="dxa"/>
            <w:vAlign w:val="bottom"/>
          </w:tcPr>
          <w:p>
            <w:pPr>
              <w:spacing w:after="0"/>
              <w:rPr>
                <w:sz w:val="15"/>
                <w:szCs w:val="15"/>
                <w:color w:val="auto"/>
              </w:rPr>
            </w:pPr>
          </w:p>
        </w:tc>
        <w:tc>
          <w:tcPr>
            <w:tcW w:w="420" w:type="dxa"/>
            <w:vAlign w:val="bottom"/>
          </w:tcPr>
          <w:p>
            <w:pPr>
              <w:jc w:val="center"/>
              <w:spacing w:after="0" w:line="177"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5"/>
                <w:szCs w:val="15"/>
                <w:color w:val="auto"/>
              </w:rPr>
            </w:pPr>
          </w:p>
        </w:tc>
        <w:tc>
          <w:tcPr>
            <w:tcW w:w="900" w:type="dxa"/>
            <w:vAlign w:val="bottom"/>
          </w:tcPr>
          <w:p>
            <w:pPr>
              <w:jc w:val="center"/>
              <w:spacing w:after="0" w:line="177" w:lineRule="exact"/>
              <w:rPr>
                <w:sz w:val="20"/>
                <w:szCs w:val="20"/>
                <w:color w:val="auto"/>
              </w:rPr>
            </w:pPr>
            <w:r>
              <w:rPr>
                <w:rFonts w:ascii="Arial" w:cs="Arial" w:eastAsia="Arial" w:hAnsi="Arial"/>
                <w:sz w:val="17"/>
                <w:szCs w:val="17"/>
                <w:color w:val="auto"/>
                <w:w w:val="93"/>
              </w:rPr>
              <w:t>Chair</w:t>
            </w:r>
          </w:p>
        </w:tc>
        <w:tc>
          <w:tcPr>
            <w:tcW w:w="720" w:type="dxa"/>
            <w:vAlign w:val="bottom"/>
          </w:tcPr>
          <w:p>
            <w:pPr>
              <w:spacing w:after="0"/>
              <w:rPr>
                <w:sz w:val="15"/>
                <w:szCs w:val="15"/>
                <w:color w:val="auto"/>
              </w:rPr>
            </w:pPr>
          </w:p>
        </w:tc>
        <w:tc>
          <w:tcPr>
            <w:tcW w:w="500" w:type="dxa"/>
            <w:vAlign w:val="bottom"/>
          </w:tcPr>
          <w:p>
            <w:pPr>
              <w:jc w:val="center"/>
              <w:spacing w:after="0" w:line="177" w:lineRule="exact"/>
              <w:rPr>
                <w:sz w:val="20"/>
                <w:szCs w:val="20"/>
                <w:color w:val="auto"/>
              </w:rPr>
            </w:pPr>
            <w:r>
              <w:rPr>
                <w:rFonts w:ascii="Arial" w:cs="Arial" w:eastAsia="Arial" w:hAnsi="Arial"/>
                <w:sz w:val="17"/>
                <w:szCs w:val="17"/>
                <w:color w:val="auto"/>
                <w:w w:val="87"/>
              </w:rPr>
              <w:t>X</w:t>
            </w:r>
          </w:p>
        </w:tc>
        <w:tc>
          <w:tcPr>
            <w:tcW w:w="720" w:type="dxa"/>
            <w:vAlign w:val="bottom"/>
          </w:tcPr>
          <w:p>
            <w:pPr>
              <w:spacing w:after="0"/>
              <w:rPr>
                <w:sz w:val="15"/>
                <w:szCs w:val="15"/>
                <w:color w:val="auto"/>
              </w:rPr>
            </w:pPr>
          </w:p>
        </w:tc>
        <w:tc>
          <w:tcPr>
            <w:tcW w:w="1020" w:type="dxa"/>
            <w:vAlign w:val="bottom"/>
          </w:tcPr>
          <w:p>
            <w:pPr>
              <w:jc w:val="center"/>
              <w:spacing w:after="0" w:line="177" w:lineRule="exact"/>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192"/>
        </w:trPr>
        <w:tc>
          <w:tcPr>
            <w:tcW w:w="47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Myra M. Hart</w:t>
            </w:r>
          </w:p>
        </w:tc>
        <w:tc>
          <w:tcPr>
            <w:tcW w:w="720" w:type="dxa"/>
            <w:vAlign w:val="bottom"/>
            <w:shd w:val="clear" w:color="auto" w:fill="D8D8D8"/>
          </w:tcPr>
          <w:p>
            <w:pPr>
              <w:spacing w:after="0"/>
              <w:rPr>
                <w:sz w:val="16"/>
                <w:szCs w:val="16"/>
                <w:color w:val="auto"/>
              </w:rPr>
            </w:pPr>
          </w:p>
        </w:tc>
        <w:tc>
          <w:tcPr>
            <w:tcW w:w="4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87"/>
              </w:rPr>
              <w:t>X</w:t>
            </w:r>
          </w:p>
        </w:tc>
        <w:tc>
          <w:tcPr>
            <w:tcW w:w="720" w:type="dxa"/>
            <w:vAlign w:val="bottom"/>
            <w:shd w:val="clear" w:color="auto" w:fill="D8D8D8"/>
          </w:tcPr>
          <w:p>
            <w:pPr>
              <w:spacing w:after="0"/>
              <w:rPr>
                <w:sz w:val="16"/>
                <w:szCs w:val="16"/>
                <w:color w:val="auto"/>
              </w:rPr>
            </w:pPr>
          </w:p>
        </w:tc>
        <w:tc>
          <w:tcPr>
            <w:tcW w:w="9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5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10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8"/>
              </w:rPr>
              <w:t>Chair</w:t>
            </w:r>
          </w:p>
        </w:tc>
        <w:tc>
          <w:tcPr>
            <w:tcW w:w="0" w:type="dxa"/>
            <w:vAlign w:val="bottom"/>
          </w:tcPr>
          <w:p>
            <w:pPr>
              <w:spacing w:after="0"/>
              <w:rPr>
                <w:sz w:val="1"/>
                <w:szCs w:val="1"/>
                <w:color w:val="auto"/>
              </w:rPr>
            </w:pPr>
          </w:p>
        </w:tc>
      </w:tr>
      <w:tr>
        <w:trPr>
          <w:trHeight w:val="192"/>
        </w:trPr>
        <w:tc>
          <w:tcPr>
            <w:tcW w:w="4780" w:type="dxa"/>
            <w:vAlign w:val="bottom"/>
            <w:gridSpan w:val="2"/>
          </w:tcPr>
          <w:p>
            <w:pPr>
              <w:spacing w:after="0" w:line="192" w:lineRule="exact"/>
              <w:rPr>
                <w:sz w:val="20"/>
                <w:szCs w:val="20"/>
                <w:color w:val="auto"/>
              </w:rPr>
            </w:pPr>
            <w:r>
              <w:rPr>
                <w:rFonts w:ascii="Arial" w:cs="Arial" w:eastAsia="Arial" w:hAnsi="Arial"/>
                <w:sz w:val="17"/>
                <w:szCs w:val="17"/>
                <w:color w:val="auto"/>
              </w:rPr>
              <w:t>Peter B. Henry</w:t>
            </w:r>
          </w:p>
        </w:tc>
        <w:tc>
          <w:tcPr>
            <w:tcW w:w="720" w:type="dxa"/>
            <w:vAlign w:val="bottom"/>
          </w:tcPr>
          <w:p>
            <w:pPr>
              <w:spacing w:after="0"/>
              <w:rPr>
                <w:sz w:val="16"/>
                <w:szCs w:val="16"/>
                <w:color w:val="auto"/>
              </w:rPr>
            </w:pPr>
          </w:p>
        </w:tc>
        <w:tc>
          <w:tcPr>
            <w:tcW w:w="420" w:type="dxa"/>
            <w:vAlign w:val="bottom"/>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6"/>
                <w:szCs w:val="16"/>
                <w:color w:val="auto"/>
              </w:rPr>
            </w:pPr>
          </w:p>
        </w:tc>
        <w:tc>
          <w:tcPr>
            <w:tcW w:w="900" w:type="dxa"/>
            <w:vAlign w:val="bottom"/>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6"/>
                <w:szCs w:val="16"/>
                <w:color w:val="auto"/>
              </w:rPr>
            </w:pPr>
          </w:p>
        </w:tc>
        <w:tc>
          <w:tcPr>
            <w:tcW w:w="500" w:type="dxa"/>
            <w:vAlign w:val="bottom"/>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6"/>
                <w:szCs w:val="16"/>
                <w:color w:val="auto"/>
              </w:rPr>
            </w:pPr>
          </w:p>
        </w:tc>
        <w:tc>
          <w:tcPr>
            <w:tcW w:w="1020" w:type="dxa"/>
            <w:vAlign w:val="bottom"/>
          </w:tcPr>
          <w:p>
            <w:pPr>
              <w:jc w:val="center"/>
              <w:spacing w:after="0" w:line="192" w:lineRule="exact"/>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192"/>
        </w:trPr>
        <w:tc>
          <w:tcPr>
            <w:tcW w:w="47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Lois D. Juliber</w:t>
            </w:r>
          </w:p>
        </w:tc>
        <w:tc>
          <w:tcPr>
            <w:tcW w:w="720" w:type="dxa"/>
            <w:vAlign w:val="bottom"/>
            <w:shd w:val="clear" w:color="auto" w:fill="D8D8D8"/>
          </w:tcPr>
          <w:p>
            <w:pPr>
              <w:spacing w:after="0"/>
              <w:rPr>
                <w:sz w:val="16"/>
                <w:szCs w:val="16"/>
                <w:color w:val="auto"/>
              </w:rPr>
            </w:pPr>
          </w:p>
        </w:tc>
        <w:tc>
          <w:tcPr>
            <w:tcW w:w="4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9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9"/>
              </w:rPr>
              <w:t>Vice Chair</w:t>
            </w:r>
          </w:p>
        </w:tc>
        <w:tc>
          <w:tcPr>
            <w:tcW w:w="720" w:type="dxa"/>
            <w:vAlign w:val="bottom"/>
            <w:shd w:val="clear" w:color="auto" w:fill="D8D8D8"/>
          </w:tcPr>
          <w:p>
            <w:pPr>
              <w:spacing w:after="0"/>
              <w:rPr>
                <w:sz w:val="16"/>
                <w:szCs w:val="16"/>
                <w:color w:val="auto"/>
              </w:rPr>
            </w:pPr>
          </w:p>
        </w:tc>
        <w:tc>
          <w:tcPr>
            <w:tcW w:w="5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10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192"/>
        </w:trPr>
        <w:tc>
          <w:tcPr>
            <w:tcW w:w="4780" w:type="dxa"/>
            <w:vAlign w:val="bottom"/>
            <w:gridSpan w:val="2"/>
          </w:tcPr>
          <w:p>
            <w:pPr>
              <w:spacing w:after="0" w:line="192" w:lineRule="exact"/>
              <w:rPr>
                <w:sz w:val="20"/>
                <w:szCs w:val="20"/>
                <w:color w:val="auto"/>
              </w:rPr>
            </w:pPr>
            <w:r>
              <w:rPr>
                <w:rFonts w:ascii="Arial" w:cs="Arial" w:eastAsia="Arial" w:hAnsi="Arial"/>
                <w:sz w:val="17"/>
                <w:szCs w:val="17"/>
                <w:color w:val="auto"/>
              </w:rPr>
              <w:t>Mark D. Ketchum</w:t>
            </w:r>
          </w:p>
        </w:tc>
        <w:tc>
          <w:tcPr>
            <w:tcW w:w="720" w:type="dxa"/>
            <w:vAlign w:val="bottom"/>
          </w:tcPr>
          <w:p>
            <w:pPr>
              <w:spacing w:after="0"/>
              <w:rPr>
                <w:sz w:val="16"/>
                <w:szCs w:val="16"/>
                <w:color w:val="auto"/>
              </w:rPr>
            </w:pPr>
          </w:p>
        </w:tc>
        <w:tc>
          <w:tcPr>
            <w:tcW w:w="420" w:type="dxa"/>
            <w:vAlign w:val="bottom"/>
          </w:tcPr>
          <w:p>
            <w:pPr>
              <w:jc w:val="center"/>
              <w:spacing w:after="0" w:line="192" w:lineRule="exact"/>
              <w:rPr>
                <w:sz w:val="20"/>
                <w:szCs w:val="20"/>
                <w:color w:val="auto"/>
              </w:rPr>
            </w:pPr>
            <w:r>
              <w:rPr>
                <w:rFonts w:ascii="Arial" w:cs="Arial" w:eastAsia="Arial" w:hAnsi="Arial"/>
                <w:sz w:val="17"/>
                <w:szCs w:val="17"/>
                <w:color w:val="auto"/>
                <w:w w:val="87"/>
              </w:rPr>
              <w:t>X</w:t>
            </w:r>
          </w:p>
        </w:tc>
        <w:tc>
          <w:tcPr>
            <w:tcW w:w="720" w:type="dxa"/>
            <w:vAlign w:val="bottom"/>
          </w:tcPr>
          <w:p>
            <w:pPr>
              <w:spacing w:after="0"/>
              <w:rPr>
                <w:sz w:val="16"/>
                <w:szCs w:val="16"/>
                <w:color w:val="auto"/>
              </w:rPr>
            </w:pPr>
          </w:p>
        </w:tc>
        <w:tc>
          <w:tcPr>
            <w:tcW w:w="900" w:type="dxa"/>
            <w:vAlign w:val="bottom"/>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6"/>
                <w:szCs w:val="16"/>
                <w:color w:val="auto"/>
              </w:rPr>
            </w:pPr>
          </w:p>
        </w:tc>
        <w:tc>
          <w:tcPr>
            <w:tcW w:w="500" w:type="dxa"/>
            <w:vAlign w:val="bottom"/>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6"/>
                <w:szCs w:val="16"/>
                <w:color w:val="auto"/>
              </w:rPr>
            </w:pPr>
          </w:p>
        </w:tc>
        <w:tc>
          <w:tcPr>
            <w:tcW w:w="1020" w:type="dxa"/>
            <w:vAlign w:val="bottom"/>
          </w:tcPr>
          <w:p>
            <w:pPr>
              <w:jc w:val="center"/>
              <w:spacing w:after="0" w:line="192" w:lineRule="exact"/>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192"/>
        </w:trPr>
        <w:tc>
          <w:tcPr>
            <w:tcW w:w="47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Richard A. Lerner, M.D.</w:t>
            </w:r>
          </w:p>
        </w:tc>
        <w:tc>
          <w:tcPr>
            <w:tcW w:w="720" w:type="dxa"/>
            <w:vAlign w:val="bottom"/>
            <w:shd w:val="clear" w:color="auto" w:fill="D8D8D8"/>
          </w:tcPr>
          <w:p>
            <w:pPr>
              <w:spacing w:after="0"/>
              <w:rPr>
                <w:sz w:val="16"/>
                <w:szCs w:val="16"/>
                <w:color w:val="auto"/>
              </w:rPr>
            </w:pPr>
          </w:p>
        </w:tc>
        <w:tc>
          <w:tcPr>
            <w:tcW w:w="4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9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5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10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192"/>
        </w:trPr>
        <w:tc>
          <w:tcPr>
            <w:tcW w:w="4780" w:type="dxa"/>
            <w:vAlign w:val="bottom"/>
            <w:gridSpan w:val="2"/>
          </w:tcPr>
          <w:p>
            <w:pPr>
              <w:spacing w:after="0" w:line="192" w:lineRule="exact"/>
              <w:rPr>
                <w:sz w:val="20"/>
                <w:szCs w:val="20"/>
                <w:color w:val="auto"/>
              </w:rPr>
            </w:pPr>
            <w:r>
              <w:rPr>
                <w:rFonts w:ascii="Arial" w:cs="Arial" w:eastAsia="Arial" w:hAnsi="Arial"/>
                <w:sz w:val="17"/>
                <w:szCs w:val="17"/>
                <w:color w:val="auto"/>
              </w:rPr>
              <w:t>Mackey J. McDonald</w:t>
            </w:r>
          </w:p>
        </w:tc>
        <w:tc>
          <w:tcPr>
            <w:tcW w:w="720" w:type="dxa"/>
            <w:vAlign w:val="bottom"/>
          </w:tcPr>
          <w:p>
            <w:pPr>
              <w:spacing w:after="0"/>
              <w:rPr>
                <w:sz w:val="16"/>
                <w:szCs w:val="16"/>
                <w:color w:val="auto"/>
              </w:rPr>
            </w:pPr>
          </w:p>
        </w:tc>
        <w:tc>
          <w:tcPr>
            <w:tcW w:w="420" w:type="dxa"/>
            <w:vAlign w:val="bottom"/>
          </w:tcPr>
          <w:p>
            <w:pPr>
              <w:jc w:val="center"/>
              <w:spacing w:after="0" w:line="192" w:lineRule="exact"/>
              <w:rPr>
                <w:sz w:val="20"/>
                <w:szCs w:val="20"/>
                <w:color w:val="auto"/>
              </w:rPr>
            </w:pPr>
            <w:r>
              <w:rPr>
                <w:rFonts w:ascii="Arial" w:cs="Arial" w:eastAsia="Arial" w:hAnsi="Arial"/>
                <w:sz w:val="17"/>
                <w:szCs w:val="17"/>
                <w:color w:val="auto"/>
                <w:w w:val="87"/>
              </w:rPr>
              <w:t>X</w:t>
            </w:r>
          </w:p>
        </w:tc>
        <w:tc>
          <w:tcPr>
            <w:tcW w:w="720" w:type="dxa"/>
            <w:vAlign w:val="bottom"/>
          </w:tcPr>
          <w:p>
            <w:pPr>
              <w:spacing w:after="0"/>
              <w:rPr>
                <w:sz w:val="16"/>
                <w:szCs w:val="16"/>
                <w:color w:val="auto"/>
              </w:rPr>
            </w:pPr>
          </w:p>
        </w:tc>
        <w:tc>
          <w:tcPr>
            <w:tcW w:w="900" w:type="dxa"/>
            <w:vAlign w:val="bottom"/>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6"/>
                <w:szCs w:val="16"/>
                <w:color w:val="auto"/>
              </w:rPr>
            </w:pPr>
          </w:p>
        </w:tc>
        <w:tc>
          <w:tcPr>
            <w:tcW w:w="500" w:type="dxa"/>
            <w:vAlign w:val="bottom"/>
          </w:tcPr>
          <w:p>
            <w:pPr>
              <w:jc w:val="center"/>
              <w:spacing w:after="0" w:line="192" w:lineRule="exact"/>
              <w:rPr>
                <w:sz w:val="20"/>
                <w:szCs w:val="20"/>
                <w:color w:val="auto"/>
              </w:rPr>
            </w:pPr>
            <w:r>
              <w:rPr>
                <w:rFonts w:ascii="Arial" w:cs="Arial" w:eastAsia="Arial" w:hAnsi="Arial"/>
                <w:sz w:val="17"/>
                <w:szCs w:val="17"/>
                <w:color w:val="auto"/>
                <w:w w:val="87"/>
              </w:rPr>
              <w:t>X</w:t>
            </w:r>
          </w:p>
        </w:tc>
        <w:tc>
          <w:tcPr>
            <w:tcW w:w="720" w:type="dxa"/>
            <w:vAlign w:val="bottom"/>
          </w:tcPr>
          <w:p>
            <w:pPr>
              <w:spacing w:after="0"/>
              <w:rPr>
                <w:sz w:val="16"/>
                <w:szCs w:val="16"/>
                <w:color w:val="auto"/>
              </w:rPr>
            </w:pPr>
          </w:p>
        </w:tc>
        <w:tc>
          <w:tcPr>
            <w:tcW w:w="1020" w:type="dxa"/>
            <w:vAlign w:val="bottom"/>
          </w:tcPr>
          <w:p>
            <w:pPr>
              <w:jc w:val="center"/>
              <w:spacing w:after="0" w:line="192" w:lineRule="exact"/>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192"/>
        </w:trPr>
        <w:tc>
          <w:tcPr>
            <w:tcW w:w="47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John C. Pope</w:t>
            </w:r>
          </w:p>
        </w:tc>
        <w:tc>
          <w:tcPr>
            <w:tcW w:w="720" w:type="dxa"/>
            <w:vAlign w:val="bottom"/>
            <w:shd w:val="clear" w:color="auto" w:fill="D8D8D8"/>
          </w:tcPr>
          <w:p>
            <w:pPr>
              <w:spacing w:after="0"/>
              <w:rPr>
                <w:sz w:val="16"/>
                <w:szCs w:val="16"/>
                <w:color w:val="auto"/>
              </w:rPr>
            </w:pPr>
          </w:p>
        </w:tc>
        <w:tc>
          <w:tcPr>
            <w:tcW w:w="4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9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87"/>
              </w:rPr>
              <w:t>X</w:t>
            </w:r>
          </w:p>
        </w:tc>
        <w:tc>
          <w:tcPr>
            <w:tcW w:w="720" w:type="dxa"/>
            <w:vAlign w:val="bottom"/>
            <w:shd w:val="clear" w:color="auto" w:fill="D8D8D8"/>
          </w:tcPr>
          <w:p>
            <w:pPr>
              <w:spacing w:after="0"/>
              <w:rPr>
                <w:sz w:val="16"/>
                <w:szCs w:val="16"/>
                <w:color w:val="auto"/>
              </w:rPr>
            </w:pPr>
          </w:p>
        </w:tc>
        <w:tc>
          <w:tcPr>
            <w:tcW w:w="5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3"/>
              </w:rPr>
              <w:t>Chair</w:t>
            </w:r>
          </w:p>
        </w:tc>
        <w:tc>
          <w:tcPr>
            <w:tcW w:w="720" w:type="dxa"/>
            <w:vAlign w:val="bottom"/>
            <w:shd w:val="clear" w:color="auto" w:fill="D8D8D8"/>
          </w:tcPr>
          <w:p>
            <w:pPr>
              <w:spacing w:after="0"/>
              <w:rPr>
                <w:sz w:val="16"/>
                <w:szCs w:val="16"/>
                <w:color w:val="auto"/>
              </w:rPr>
            </w:pPr>
          </w:p>
        </w:tc>
        <w:tc>
          <w:tcPr>
            <w:tcW w:w="10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192"/>
        </w:trPr>
        <w:tc>
          <w:tcPr>
            <w:tcW w:w="4780" w:type="dxa"/>
            <w:vAlign w:val="bottom"/>
            <w:gridSpan w:val="2"/>
          </w:tcPr>
          <w:p>
            <w:pPr>
              <w:spacing w:after="0" w:line="192" w:lineRule="exact"/>
              <w:rPr>
                <w:sz w:val="20"/>
                <w:szCs w:val="20"/>
                <w:color w:val="auto"/>
              </w:rPr>
            </w:pPr>
            <w:r>
              <w:rPr>
                <w:rFonts w:ascii="Arial" w:cs="Arial" w:eastAsia="Arial" w:hAnsi="Arial"/>
                <w:sz w:val="17"/>
                <w:szCs w:val="17"/>
                <w:color w:val="auto"/>
              </w:rPr>
              <w:t>Fredric G. Reynolds</w:t>
            </w:r>
          </w:p>
        </w:tc>
        <w:tc>
          <w:tcPr>
            <w:tcW w:w="720" w:type="dxa"/>
            <w:vAlign w:val="bottom"/>
          </w:tcPr>
          <w:p>
            <w:pPr>
              <w:spacing w:after="0"/>
              <w:rPr>
                <w:sz w:val="16"/>
                <w:szCs w:val="16"/>
                <w:color w:val="auto"/>
              </w:rPr>
            </w:pPr>
          </w:p>
        </w:tc>
        <w:tc>
          <w:tcPr>
            <w:tcW w:w="420" w:type="dxa"/>
            <w:vAlign w:val="bottom"/>
          </w:tcPr>
          <w:p>
            <w:pPr>
              <w:jc w:val="center"/>
              <w:spacing w:after="0" w:line="192" w:lineRule="exact"/>
              <w:rPr>
                <w:sz w:val="20"/>
                <w:szCs w:val="20"/>
                <w:color w:val="auto"/>
              </w:rPr>
            </w:pPr>
            <w:r>
              <w:rPr>
                <w:rFonts w:ascii="Arial" w:cs="Arial" w:eastAsia="Arial" w:hAnsi="Arial"/>
                <w:sz w:val="17"/>
                <w:szCs w:val="17"/>
                <w:color w:val="auto"/>
                <w:w w:val="98"/>
              </w:rPr>
              <w:t>Chair</w:t>
            </w:r>
          </w:p>
        </w:tc>
        <w:tc>
          <w:tcPr>
            <w:tcW w:w="720" w:type="dxa"/>
            <w:vAlign w:val="bottom"/>
          </w:tcPr>
          <w:p>
            <w:pPr>
              <w:spacing w:after="0"/>
              <w:rPr>
                <w:sz w:val="16"/>
                <w:szCs w:val="16"/>
                <w:color w:val="auto"/>
              </w:rPr>
            </w:pPr>
          </w:p>
        </w:tc>
        <w:tc>
          <w:tcPr>
            <w:tcW w:w="900" w:type="dxa"/>
            <w:vAlign w:val="bottom"/>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6"/>
                <w:szCs w:val="16"/>
                <w:color w:val="auto"/>
              </w:rPr>
            </w:pPr>
          </w:p>
        </w:tc>
        <w:tc>
          <w:tcPr>
            <w:tcW w:w="500" w:type="dxa"/>
            <w:vAlign w:val="bottom"/>
          </w:tcPr>
          <w:p>
            <w:pPr>
              <w:jc w:val="center"/>
              <w:spacing w:after="0" w:line="192" w:lineRule="exact"/>
              <w:rPr>
                <w:sz w:val="20"/>
                <w:szCs w:val="20"/>
                <w:color w:val="auto"/>
              </w:rPr>
            </w:pPr>
            <w:r>
              <w:rPr>
                <w:rFonts w:ascii="Arial" w:cs="Arial" w:eastAsia="Arial" w:hAnsi="Arial"/>
                <w:sz w:val="17"/>
                <w:szCs w:val="17"/>
                <w:color w:val="auto"/>
                <w:w w:val="87"/>
              </w:rPr>
              <w:t>X</w:t>
            </w:r>
          </w:p>
        </w:tc>
        <w:tc>
          <w:tcPr>
            <w:tcW w:w="720" w:type="dxa"/>
            <w:vAlign w:val="bottom"/>
          </w:tcPr>
          <w:p>
            <w:pPr>
              <w:spacing w:after="0"/>
              <w:rPr>
                <w:sz w:val="16"/>
                <w:szCs w:val="16"/>
                <w:color w:val="auto"/>
              </w:rPr>
            </w:pPr>
          </w:p>
        </w:tc>
        <w:tc>
          <w:tcPr>
            <w:tcW w:w="1020" w:type="dxa"/>
            <w:vAlign w:val="bottom"/>
          </w:tcPr>
          <w:p>
            <w:pPr>
              <w:jc w:val="center"/>
              <w:spacing w:after="0" w:line="192" w:lineRule="exact"/>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192"/>
        </w:trPr>
        <w:tc>
          <w:tcPr>
            <w:tcW w:w="4780" w:type="dxa"/>
            <w:vAlign w:val="bottom"/>
            <w:tcBorders>
              <w:bottom w:val="single" w:sz="8" w:color="auto"/>
            </w:tcBorders>
            <w:gridSpan w:val="2"/>
            <w:shd w:val="clear" w:color="auto" w:fill="D8D8D8"/>
          </w:tcPr>
          <w:p>
            <w:pPr>
              <w:spacing w:after="0" w:line="192" w:lineRule="exact"/>
              <w:rPr>
                <w:sz w:val="20"/>
                <w:szCs w:val="20"/>
                <w:color w:val="auto"/>
              </w:rPr>
            </w:pPr>
            <w:r>
              <w:rPr>
                <w:rFonts w:ascii="Arial" w:cs="Arial" w:eastAsia="Arial" w:hAnsi="Arial"/>
                <w:sz w:val="17"/>
                <w:szCs w:val="17"/>
                <w:color w:val="auto"/>
              </w:rPr>
              <w:t>Jean-François M.L. van Boxmeer</w:t>
            </w:r>
          </w:p>
        </w:tc>
        <w:tc>
          <w:tcPr>
            <w:tcW w:w="720" w:type="dxa"/>
            <w:vAlign w:val="bottom"/>
            <w:shd w:val="clear" w:color="auto" w:fill="D8D8D8"/>
          </w:tcPr>
          <w:p>
            <w:pPr>
              <w:spacing w:after="0"/>
              <w:rPr>
                <w:sz w:val="16"/>
                <w:szCs w:val="16"/>
                <w:color w:val="auto"/>
              </w:rPr>
            </w:pPr>
          </w:p>
        </w:tc>
        <w:tc>
          <w:tcPr>
            <w:tcW w:w="420" w:type="dxa"/>
            <w:vAlign w:val="bottom"/>
            <w:tcBorders>
              <w:bottom w:val="single" w:sz="8" w:color="auto"/>
            </w:tcBorders>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900" w:type="dxa"/>
            <w:vAlign w:val="bottom"/>
            <w:tcBorders>
              <w:bottom w:val="single" w:sz="8" w:color="auto"/>
            </w:tcBorders>
            <w:shd w:val="clear" w:color="auto" w:fill="D8D8D8"/>
          </w:tcPr>
          <w:p>
            <w:pPr>
              <w:jc w:val="center"/>
              <w:spacing w:after="0" w:line="192" w:lineRule="exact"/>
              <w:rPr>
                <w:sz w:val="20"/>
                <w:szCs w:val="20"/>
                <w:color w:val="auto"/>
              </w:rPr>
            </w:pPr>
            <w:r>
              <w:rPr>
                <w:rFonts w:ascii="Arial" w:cs="Arial" w:eastAsia="Arial" w:hAnsi="Arial"/>
                <w:sz w:val="17"/>
                <w:szCs w:val="17"/>
                <w:color w:val="auto"/>
                <w:w w:val="87"/>
              </w:rPr>
              <w:t>X</w:t>
            </w:r>
          </w:p>
        </w:tc>
        <w:tc>
          <w:tcPr>
            <w:tcW w:w="720" w:type="dxa"/>
            <w:vAlign w:val="bottom"/>
            <w:shd w:val="clear" w:color="auto" w:fill="D8D8D8"/>
          </w:tcPr>
          <w:p>
            <w:pPr>
              <w:spacing w:after="0"/>
              <w:rPr>
                <w:sz w:val="16"/>
                <w:szCs w:val="16"/>
                <w:color w:val="auto"/>
              </w:rPr>
            </w:pPr>
          </w:p>
        </w:tc>
        <w:tc>
          <w:tcPr>
            <w:tcW w:w="500" w:type="dxa"/>
            <w:vAlign w:val="bottom"/>
            <w:tcBorders>
              <w:bottom w:val="single" w:sz="8" w:color="auto"/>
            </w:tcBorders>
            <w:shd w:val="clear" w:color="auto" w:fill="D8D8D8"/>
          </w:tcPr>
          <w:p>
            <w:pPr>
              <w:jc w:val="center"/>
              <w:spacing w:after="0" w:line="192" w:lineRule="exact"/>
              <w:rPr>
                <w:sz w:val="20"/>
                <w:szCs w:val="20"/>
                <w:color w:val="auto"/>
              </w:rPr>
            </w:pPr>
            <w:r>
              <w:rPr>
                <w:rFonts w:ascii="Arial" w:cs="Arial" w:eastAsia="Arial" w:hAnsi="Arial"/>
                <w:sz w:val="17"/>
                <w:szCs w:val="17"/>
                <w:color w:val="auto"/>
              </w:rPr>
              <w:t>—</w:t>
            </w:r>
          </w:p>
        </w:tc>
        <w:tc>
          <w:tcPr>
            <w:tcW w:w="720" w:type="dxa"/>
            <w:vAlign w:val="bottom"/>
            <w:shd w:val="clear" w:color="auto" w:fill="D8D8D8"/>
          </w:tcPr>
          <w:p>
            <w:pPr>
              <w:spacing w:after="0"/>
              <w:rPr>
                <w:sz w:val="16"/>
                <w:szCs w:val="16"/>
                <w:color w:val="auto"/>
              </w:rPr>
            </w:pPr>
          </w:p>
        </w:tc>
        <w:tc>
          <w:tcPr>
            <w:tcW w:w="1020" w:type="dxa"/>
            <w:vAlign w:val="bottom"/>
            <w:tcBorders>
              <w:bottom w:val="single" w:sz="8" w:color="auto"/>
            </w:tcBorders>
            <w:shd w:val="clear" w:color="auto" w:fill="D8D8D8"/>
          </w:tcPr>
          <w:p>
            <w:pPr>
              <w:jc w:val="center"/>
              <w:spacing w:after="0" w:line="192" w:lineRule="exact"/>
              <w:rPr>
                <w:sz w:val="20"/>
                <w:szCs w:val="20"/>
                <w:color w:val="auto"/>
              </w:rPr>
            </w:pPr>
            <w:r>
              <w:rPr>
                <w:rFonts w:ascii="Arial" w:cs="Arial" w:eastAsia="Arial" w:hAnsi="Arial"/>
                <w:sz w:val="17"/>
                <w:szCs w:val="17"/>
                <w:color w:val="auto"/>
                <w:w w:val="87"/>
              </w:rPr>
              <w:t>X</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360" w:type="dxa"/>
            <w:vAlign w:val="bottom"/>
          </w:tcPr>
          <w:p>
            <w:pPr>
              <w:ind w:left="720"/>
              <w:spacing w:after="0"/>
              <w:rPr>
                <w:sz w:val="20"/>
                <w:szCs w:val="20"/>
                <w:color w:val="auto"/>
              </w:rPr>
            </w:pPr>
            <w:r>
              <w:rPr>
                <w:rFonts w:ascii="Arial" w:cs="Arial" w:eastAsia="Arial" w:hAnsi="Arial"/>
                <w:sz w:val="17"/>
                <w:szCs w:val="17"/>
                <w:color w:val="auto"/>
              </w:rPr>
              <w:t>Number of Total Meetings in 2011</w:t>
            </w:r>
          </w:p>
        </w:tc>
        <w:tc>
          <w:tcPr>
            <w:tcW w:w="1140" w:type="dxa"/>
            <w:vAlign w:val="bottom"/>
            <w:gridSpan w:val="2"/>
          </w:tcPr>
          <w:p>
            <w:pPr>
              <w:jc w:val="center"/>
              <w:ind w:left="637"/>
              <w:spacing w:after="0"/>
              <w:rPr>
                <w:sz w:val="20"/>
                <w:szCs w:val="20"/>
                <w:color w:val="auto"/>
              </w:rPr>
            </w:pPr>
            <w:r>
              <w:rPr>
                <w:rFonts w:ascii="Arial" w:cs="Arial" w:eastAsia="Arial" w:hAnsi="Arial"/>
                <w:sz w:val="17"/>
                <w:szCs w:val="17"/>
                <w:color w:val="auto"/>
                <w:w w:val="94"/>
              </w:rPr>
              <w:t>11</w:t>
            </w:r>
          </w:p>
        </w:tc>
        <w:tc>
          <w:tcPr>
            <w:tcW w:w="1620" w:type="dxa"/>
            <w:vAlign w:val="bottom"/>
            <w:gridSpan w:val="2"/>
          </w:tcPr>
          <w:p>
            <w:pPr>
              <w:jc w:val="center"/>
              <w:ind w:left="637"/>
              <w:spacing w:after="0"/>
              <w:rPr>
                <w:sz w:val="20"/>
                <w:szCs w:val="20"/>
                <w:color w:val="auto"/>
              </w:rPr>
            </w:pPr>
            <w:r>
              <w:rPr>
                <w:rFonts w:ascii="Arial" w:cs="Arial" w:eastAsia="Arial" w:hAnsi="Arial"/>
                <w:sz w:val="17"/>
                <w:szCs w:val="17"/>
                <w:color w:val="auto"/>
              </w:rPr>
              <w:t>9</w:t>
            </w:r>
          </w:p>
        </w:tc>
        <w:tc>
          <w:tcPr>
            <w:tcW w:w="1220" w:type="dxa"/>
            <w:vAlign w:val="bottom"/>
            <w:gridSpan w:val="2"/>
          </w:tcPr>
          <w:p>
            <w:pPr>
              <w:jc w:val="center"/>
              <w:ind w:left="637"/>
              <w:spacing w:after="0"/>
              <w:rPr>
                <w:sz w:val="20"/>
                <w:szCs w:val="20"/>
                <w:color w:val="auto"/>
              </w:rPr>
            </w:pPr>
            <w:r>
              <w:rPr>
                <w:rFonts w:ascii="Arial" w:cs="Arial" w:eastAsia="Arial" w:hAnsi="Arial"/>
                <w:sz w:val="17"/>
                <w:szCs w:val="17"/>
                <w:color w:val="auto"/>
              </w:rPr>
              <w:t>8</w:t>
            </w:r>
          </w:p>
        </w:tc>
        <w:tc>
          <w:tcPr>
            <w:tcW w:w="1740" w:type="dxa"/>
            <w:vAlign w:val="bottom"/>
            <w:gridSpan w:val="2"/>
          </w:tcPr>
          <w:p>
            <w:pPr>
              <w:jc w:val="center"/>
              <w:ind w:left="637"/>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57785</wp:posOffset>
            </wp:positionV>
            <wp:extent cx="7226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12" w:lineRule="exact"/>
        <w:rPr>
          <w:sz w:val="20"/>
          <w:szCs w:val="20"/>
          <w:color w:val="auto"/>
        </w:rPr>
      </w:pPr>
    </w:p>
    <w:p>
      <w:pPr>
        <w:ind w:left="1120" w:right="80" w:hanging="209"/>
        <w:spacing w:after="0" w:line="241" w:lineRule="auto"/>
        <w:tabs>
          <w:tab w:leader="none" w:pos="11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Board periodically reviews committee membership and rotates membership during the year. Accordingly, the membership described in the table may change during 2012.</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Meeting Attendance</w:t>
      </w:r>
    </w:p>
    <w:p>
      <w:pPr>
        <w:spacing w:after="0" w:line="17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expect directors to attend all Board meetings, the Annual Meeting and all meetings of the committees on which they serve. We understand, however, that occasionally a director may be unable to attend a meeting. The Board held 14 meetings in 2011. All incumbent directors who served as directors in 2011 attended more than 87% of the aggregate number of meetings of the Board and all committees on which they served. Additionally, all then-incumbent directors attended the 2011 Annual Meeting of Shareholders.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Committees Related to Strategic Alternatives and Spin-off</w:t>
      </w:r>
    </w:p>
    <w:p>
      <w:pPr>
        <w:spacing w:after="0" w:line="17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During 2011, the Board formed three special committees of the Board to address various matters related to Kraft Foods’ strategy and the Spin-off. The directors who served on one or more of these committees were Ajaypal S. Banga; Myra M. Hart; Peter B. Henry; Lois D. Juliber; Mark D. Ketchum; Mackey J. McDonald; John C. Pope; Fredric G. Reynolds and Irene B. Rosenfeld. These special committees held a total of 20 meetings in 2011.</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170"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The Board established the Audit Committee in accordance with Section 3(a)(58)(A) of the Exchange Act. The Board determined that all members of the Audit Committee are independent within the meaning of the NYSE listing standards and Rule 10A-3 of the Exchange Act. The Board also</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00"/>
          </w:cols>
          <w:pgMar w:left="240" w:top="443" w:right="25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 xml:space="preserve">determined that all Audit Committee members are financially literate within the meaning of the NYSE listing standards and that Fredric G. Reynolds is an </w:t>
      </w:r>
      <w:r>
        <w:rPr>
          <w:rFonts w:ascii="Arial" w:cs="Arial" w:eastAsia="Arial" w:hAnsi="Arial"/>
          <w:sz w:val="17"/>
          <w:szCs w:val="17"/>
          <w:i w:val="1"/>
          <w:iCs w:val="1"/>
          <w:color w:val="auto"/>
        </w:rPr>
        <w:t>“</w:t>
      </w:r>
      <w:r>
        <w:rPr>
          <w:rFonts w:ascii="Arial" w:cs="Arial" w:eastAsia="Arial" w:hAnsi="Arial"/>
          <w:sz w:val="17"/>
          <w:szCs w:val="17"/>
          <w:color w:val="auto"/>
        </w:rPr>
        <w:t>audit committee financial expert” within the meaning of SEC regulations. No Audit Committee member received any payments in 2011 from us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for service as a director.</w:t>
      </w:r>
    </w:p>
    <w:p>
      <w:pPr>
        <w:spacing w:after="0" w:line="145" w:lineRule="exact"/>
        <w:rPr>
          <w:sz w:val="20"/>
          <w:szCs w:val="20"/>
          <w:color w:val="auto"/>
        </w:rPr>
      </w:pPr>
    </w:p>
    <w:p>
      <w:pPr>
        <w:jc w:val="both"/>
        <w:ind w:right="840"/>
        <w:spacing w:after="0" w:line="239" w:lineRule="auto"/>
        <w:rPr>
          <w:sz w:val="20"/>
          <w:szCs w:val="20"/>
          <w:color w:val="auto"/>
        </w:rPr>
      </w:pPr>
      <w:r>
        <w:rPr>
          <w:rFonts w:ascii="Arial" w:cs="Arial" w:eastAsia="Arial" w:hAnsi="Arial"/>
          <w:sz w:val="17"/>
          <w:szCs w:val="17"/>
          <w:color w:val="auto"/>
        </w:rPr>
        <w:t>Under its charter, the Audit Committee is responsible for overseeing our accounting and financial reporting processes and audits of our financial statements. The Audit Committee is directly responsible for the appointment and oversight of our independent auditors, including review of their qualifications, independence and performance.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Among other duties, the Audit Committee also oversees:</w:t>
      </w:r>
    </w:p>
    <w:p>
      <w:pPr>
        <w:spacing w:after="0" w:line="188" w:lineRule="exact"/>
        <w:rPr>
          <w:sz w:val="20"/>
          <w:szCs w:val="20"/>
          <w:color w:val="auto"/>
        </w:rPr>
      </w:pPr>
    </w:p>
    <w:p>
      <w:pPr>
        <w:ind w:left="880" w:right="640" w:hanging="315"/>
        <w:spacing w:after="0" w:line="241"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integrity of our financial statements, our accounting and financial reporting processes, our systems of internal control over financial reporting and safeguarding our assets;</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compliance with legal and regulatory requirements;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performance of our internal auditors and internal audit functions;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guidelines and policies with respect to risk assessment and risk management.</w:t>
      </w:r>
    </w:p>
    <w:p>
      <w:pPr>
        <w:spacing w:after="0" w:line="15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The Audit Committee has established procedures for the receipt, retention and treatment, on a confidential basis, of any complaints we receive. We encourage employees and third-party individuals and organizations to report concerns about our accounting controls, auditing matters or anything else that appears to involve financial or other wrongdoing. To report such matters, please e-mail us at </w:t>
      </w:r>
      <w:r>
        <w:rPr>
          <w:rFonts w:ascii="Arial" w:cs="Arial" w:eastAsia="Arial" w:hAnsi="Arial"/>
          <w:sz w:val="17"/>
          <w:szCs w:val="17"/>
          <w:i w:val="1"/>
          <w:iCs w:val="1"/>
          <w:u w:val="single" w:color="auto"/>
          <w:color w:val="auto"/>
        </w:rPr>
        <w:t>Kraft-FinancialIntegrity@kraft.com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112395</wp:posOffset>
            </wp:positionV>
            <wp:extent cx="7282815" cy="32702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2815" cy="3270250"/>
                    </a:xfrm>
                    <a:prstGeom prst="rect">
                      <a:avLst/>
                    </a:prstGeom>
                    <a:noFill/>
                  </pic:spPr>
                </pic:pic>
              </a:graphicData>
            </a:graphic>
          </wp:anchor>
        </w:drawing>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auto"/>
        </w:rPr>
        <w:t>Audit Committee Report for the Year Ended December 31, 2011</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To our Shareholders:</w:t>
      </w:r>
    </w:p>
    <w:p>
      <w:pPr>
        <w:spacing w:after="0" w:line="170" w:lineRule="exact"/>
        <w:rPr>
          <w:sz w:val="20"/>
          <w:szCs w:val="20"/>
          <w:color w:val="auto"/>
        </w:rPr>
      </w:pPr>
    </w:p>
    <w:p>
      <w:pPr>
        <w:ind w:left="240" w:right="140"/>
        <w:spacing w:after="0" w:line="239" w:lineRule="auto"/>
        <w:rPr>
          <w:sz w:val="20"/>
          <w:szCs w:val="20"/>
          <w:color w:val="auto"/>
        </w:rPr>
      </w:pPr>
      <w:r>
        <w:rPr>
          <w:rFonts w:ascii="Arial" w:cs="Arial" w:eastAsia="Arial" w:hAnsi="Arial"/>
          <w:sz w:val="17"/>
          <w:szCs w:val="17"/>
          <w:color w:val="auto"/>
        </w:rPr>
        <w:t>Management has primary responsibility for Kraft Foods’ financial statements and the reporting process, including the systems of internal control over financial reporting. Our role as the Audit Committee of the Kraft Foods Board of Directors is to oversee Kraft Foods’ accounting and financial reporting processes, and audits of its financial statements. In addition, we assist the Board in its oversight of:</w:t>
      </w:r>
    </w:p>
    <w:p>
      <w:pPr>
        <w:spacing w:after="0" w:line="184" w:lineRule="exact"/>
        <w:rPr>
          <w:sz w:val="20"/>
          <w:szCs w:val="20"/>
          <w:color w:val="auto"/>
        </w:rPr>
      </w:pPr>
    </w:p>
    <w:p>
      <w:pPr>
        <w:ind w:left="900" w:right="20" w:hanging="318"/>
        <w:spacing w:after="0" w:line="241"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integrity of Kraft Foods’ financial statements and Kraft Foods’ accounting and financial reporting processes and systems of internal control over financial reporting and safeguarding the company’s assets;</w:t>
      </w:r>
    </w:p>
    <w:p>
      <w:pPr>
        <w:spacing w:after="0" w:line="67" w:lineRule="exact"/>
        <w:rPr>
          <w:rFonts w:ascii="Arial" w:cs="Arial" w:eastAsia="Arial" w:hAnsi="Arial"/>
          <w:sz w:val="17"/>
          <w:szCs w:val="17"/>
          <w:color w:val="auto"/>
        </w:rPr>
      </w:pPr>
    </w:p>
    <w:p>
      <w:pPr>
        <w:ind w:left="900" w:hanging="318"/>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Kraft Foods’ compliance with legal and regulatory requirements;</w:t>
      </w:r>
    </w:p>
    <w:p>
      <w:pPr>
        <w:spacing w:after="0" w:line="73" w:lineRule="exact"/>
        <w:rPr>
          <w:rFonts w:ascii="Arial" w:cs="Arial" w:eastAsia="Arial" w:hAnsi="Arial"/>
          <w:sz w:val="17"/>
          <w:szCs w:val="17"/>
          <w:color w:val="auto"/>
        </w:rPr>
      </w:pPr>
    </w:p>
    <w:p>
      <w:pPr>
        <w:ind w:left="900" w:hanging="318"/>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Kraft Foods’ independent auditors’ qualifications, independence and performance;</w:t>
      </w:r>
    </w:p>
    <w:p>
      <w:pPr>
        <w:spacing w:after="0" w:line="73" w:lineRule="exact"/>
        <w:rPr>
          <w:rFonts w:ascii="Arial" w:cs="Arial" w:eastAsia="Arial" w:hAnsi="Arial"/>
          <w:sz w:val="17"/>
          <w:szCs w:val="17"/>
          <w:color w:val="auto"/>
        </w:rPr>
      </w:pPr>
    </w:p>
    <w:p>
      <w:pPr>
        <w:ind w:left="900" w:hanging="318"/>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performance of Kraft Foods’ internal auditor and the internal audit function; and</w:t>
      </w:r>
    </w:p>
    <w:p>
      <w:pPr>
        <w:spacing w:after="0" w:line="73" w:lineRule="exact"/>
        <w:rPr>
          <w:rFonts w:ascii="Arial" w:cs="Arial" w:eastAsia="Arial" w:hAnsi="Arial"/>
          <w:sz w:val="17"/>
          <w:szCs w:val="17"/>
          <w:color w:val="auto"/>
        </w:rPr>
      </w:pPr>
    </w:p>
    <w:p>
      <w:pPr>
        <w:ind w:left="900" w:hanging="318"/>
        <w:spacing w:after="0"/>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Kraft Foods’ guidelines and policies with respect to risk assessment and risk management.</w:t>
      </w:r>
    </w:p>
    <w:p>
      <w:pPr>
        <w:spacing w:after="0" w:line="150" w:lineRule="exact"/>
        <w:rPr>
          <w:sz w:val="20"/>
          <w:szCs w:val="20"/>
          <w:color w:val="auto"/>
        </w:rPr>
      </w:pPr>
    </w:p>
    <w:p>
      <w:pPr>
        <w:ind w:left="240" w:right="520"/>
        <w:spacing w:after="0" w:line="241" w:lineRule="auto"/>
        <w:rPr>
          <w:sz w:val="20"/>
          <w:szCs w:val="20"/>
          <w:color w:val="auto"/>
        </w:rPr>
      </w:pPr>
      <w:r>
        <w:rPr>
          <w:rFonts w:ascii="Arial" w:cs="Arial" w:eastAsia="Arial" w:hAnsi="Arial"/>
          <w:sz w:val="17"/>
          <w:szCs w:val="17"/>
          <w:color w:val="auto"/>
        </w:rPr>
        <w:t xml:space="preserve">Our Committee operates under a written charter that the Board last amended and restated on January 19, 2011. You may view the charter in the Corporate Governance section of the Investor Center tab on Kraft Foods’ website: </w:t>
      </w:r>
      <w:r>
        <w:rPr>
          <w:rFonts w:ascii="Arial" w:cs="Arial" w:eastAsia="Arial" w:hAnsi="Arial"/>
          <w:sz w:val="17"/>
          <w:szCs w:val="17"/>
          <w:i w:val="1"/>
          <w:iCs w:val="1"/>
          <w:u w:val="single" w:color="auto"/>
          <w:color w:val="auto"/>
        </w:rPr>
        <w:t>www.kraftfoodscompany.com</w:t>
      </w:r>
      <w:r>
        <w:rPr>
          <w:rFonts w:ascii="Arial" w:cs="Arial" w:eastAsia="Arial" w:hAnsi="Arial"/>
          <w:sz w:val="17"/>
          <w:szCs w:val="17"/>
          <w:i w:val="1"/>
          <w:iCs w:val="1"/>
          <w:color w:val="auto"/>
        </w:rPr>
        <w:t>.</w:t>
      </w:r>
    </w:p>
    <w:p>
      <w:pPr>
        <w:spacing w:after="0" w:line="145" w:lineRule="exact"/>
        <w:rPr>
          <w:sz w:val="20"/>
          <w:szCs w:val="20"/>
          <w:color w:val="auto"/>
        </w:rPr>
      </w:pPr>
    </w:p>
    <w:p>
      <w:pPr>
        <w:ind w:left="240" w:right="420"/>
        <w:spacing w:after="0" w:line="241" w:lineRule="auto"/>
        <w:rPr>
          <w:sz w:val="20"/>
          <w:szCs w:val="20"/>
          <w:color w:val="auto"/>
        </w:rPr>
      </w:pPr>
      <w:r>
        <w:rPr>
          <w:rFonts w:ascii="Arial" w:cs="Arial" w:eastAsia="Arial" w:hAnsi="Arial"/>
          <w:sz w:val="17"/>
          <w:szCs w:val="17"/>
          <w:color w:val="auto"/>
        </w:rPr>
        <w:t>Our duties include overseeing Kraft Foods’ management, the internal auditor department and the independent auditors in their performance of the following functions, for which they are responsible:</w:t>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Management</w:t>
      </w:r>
    </w:p>
    <w:p>
      <w:pPr>
        <w:spacing w:after="0" w:line="73" w:lineRule="exact"/>
        <w:rPr>
          <w:sz w:val="20"/>
          <w:szCs w:val="20"/>
          <w:color w:val="auto"/>
        </w:rPr>
      </w:pPr>
    </w:p>
    <w:p>
      <w:pPr>
        <w:ind w:left="900" w:right="180" w:hanging="318"/>
        <w:spacing w:after="0" w:line="241"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Preparing Kraft Foods’ consolidated financial statements in accordance with accounting principles generally accepted in the United States of America (U.S. GAAP);</w:t>
      </w:r>
    </w:p>
    <w:p>
      <w:pPr>
        <w:spacing w:after="0" w:line="67" w:lineRule="exact"/>
        <w:rPr>
          <w:rFonts w:ascii="Arial" w:cs="Arial" w:eastAsia="Arial" w:hAnsi="Arial"/>
          <w:sz w:val="17"/>
          <w:szCs w:val="17"/>
          <w:color w:val="auto"/>
        </w:rPr>
      </w:pPr>
    </w:p>
    <w:p>
      <w:pPr>
        <w:ind w:left="900" w:hanging="318"/>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Assessing and establishing effective financial reporting systems and internal controls and procedures; and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380"/>
          </w:cols>
          <w:pgMar w:left="240" w:top="443" w:right="27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7282815" cy="64541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2815" cy="645414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520" w:right="4140" w:hanging="10"/>
        <w:spacing w:after="0" w:line="430" w:lineRule="auto"/>
        <w:tabs>
          <w:tab w:leader="none" w:pos="827"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Reporting on the effectiveness of Kraft Foods’ internal control over financial reporting. Internal Audit Department</w:t>
      </w:r>
    </w:p>
    <w:p>
      <w:pPr>
        <w:spacing w:after="0" w:line="28" w:lineRule="exact"/>
        <w:rPr>
          <w:rFonts w:ascii="Arial" w:cs="Arial" w:eastAsia="Arial" w:hAnsi="Arial"/>
          <w:sz w:val="17"/>
          <w:szCs w:val="17"/>
          <w:color w:val="auto"/>
        </w:rPr>
      </w:pPr>
    </w:p>
    <w:p>
      <w:pPr>
        <w:ind w:left="840" w:hanging="330"/>
        <w:spacing w:after="0"/>
        <w:tabs>
          <w:tab w:leader="none" w:pos="8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Independently assessing management’s system of internal controls and procedures; and</w:t>
      </w:r>
    </w:p>
    <w:p>
      <w:pPr>
        <w:spacing w:after="0" w:line="73" w:lineRule="exact"/>
        <w:rPr>
          <w:rFonts w:ascii="Arial" w:cs="Arial" w:eastAsia="Arial" w:hAnsi="Arial"/>
          <w:sz w:val="17"/>
          <w:szCs w:val="17"/>
          <w:color w:val="auto"/>
        </w:rPr>
      </w:pPr>
    </w:p>
    <w:p>
      <w:pPr>
        <w:ind w:left="840" w:hanging="330"/>
        <w:spacing w:after="0"/>
        <w:tabs>
          <w:tab w:leader="none" w:pos="8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Reporting on the effectiveness of that system.</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Independent Auditors</w:t>
      </w:r>
    </w:p>
    <w:p>
      <w:pPr>
        <w:spacing w:after="0" w:line="188" w:lineRule="exact"/>
        <w:rPr>
          <w:sz w:val="20"/>
          <w:szCs w:val="20"/>
          <w:color w:val="auto"/>
        </w:rPr>
      </w:pPr>
    </w:p>
    <w:p>
      <w:pPr>
        <w:ind w:left="840" w:hanging="330"/>
        <w:spacing w:after="0"/>
        <w:tabs>
          <w:tab w:leader="none" w:pos="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Auditing Kraft Foods’ financial statements;</w:t>
      </w:r>
    </w:p>
    <w:p>
      <w:pPr>
        <w:spacing w:after="0" w:line="73" w:lineRule="exact"/>
        <w:rPr>
          <w:rFonts w:ascii="Arial" w:cs="Arial" w:eastAsia="Arial" w:hAnsi="Arial"/>
          <w:sz w:val="17"/>
          <w:szCs w:val="17"/>
          <w:color w:val="auto"/>
        </w:rPr>
      </w:pPr>
    </w:p>
    <w:p>
      <w:pPr>
        <w:ind w:left="840" w:hanging="330"/>
        <w:spacing w:after="0"/>
        <w:tabs>
          <w:tab w:leader="none" w:pos="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Issuing an opinion about whether the financial statements conform with U.S. GAAP; and</w:t>
      </w:r>
    </w:p>
    <w:p>
      <w:pPr>
        <w:spacing w:after="0" w:line="73" w:lineRule="exact"/>
        <w:rPr>
          <w:rFonts w:ascii="Arial" w:cs="Arial" w:eastAsia="Arial" w:hAnsi="Arial"/>
          <w:sz w:val="17"/>
          <w:szCs w:val="17"/>
          <w:color w:val="auto"/>
        </w:rPr>
      </w:pPr>
    </w:p>
    <w:p>
      <w:pPr>
        <w:ind w:left="840" w:hanging="330"/>
        <w:spacing w:after="0"/>
        <w:tabs>
          <w:tab w:leader="none" w:pos="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Annually auditing the effectiveness of Kraft Foods’ internal control over financial reporting.</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Periodically, we meet, both independently and collectively, with management, the internal auditor and the independent auditors, among other things,</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to:</w:t>
      </w:r>
    </w:p>
    <w:p>
      <w:pPr>
        <w:spacing w:after="0" w:line="188" w:lineRule="exact"/>
        <w:rPr>
          <w:sz w:val="20"/>
          <w:szCs w:val="20"/>
          <w:color w:val="auto"/>
        </w:rPr>
      </w:pPr>
    </w:p>
    <w:p>
      <w:pPr>
        <w:ind w:left="840" w:right="260" w:hanging="330"/>
        <w:spacing w:after="0" w:line="241" w:lineRule="auto"/>
        <w:tabs>
          <w:tab w:leader="none" w:pos="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Discuss the quality of Kraft Foods’ accounting and financial reporting processes and the adequacy and effectiveness of its internal controls and procedures;</w:t>
      </w:r>
    </w:p>
    <w:p>
      <w:pPr>
        <w:spacing w:after="0" w:line="67" w:lineRule="exact"/>
        <w:rPr>
          <w:rFonts w:ascii="Arial" w:cs="Arial" w:eastAsia="Arial" w:hAnsi="Arial"/>
          <w:sz w:val="17"/>
          <w:szCs w:val="17"/>
          <w:color w:val="auto"/>
        </w:rPr>
      </w:pPr>
    </w:p>
    <w:p>
      <w:pPr>
        <w:ind w:left="840" w:right="140" w:hanging="330"/>
        <w:spacing w:after="0" w:line="241" w:lineRule="auto"/>
        <w:tabs>
          <w:tab w:leader="none" w:pos="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Review significant audit findings prepared by each of the independent auditors and internal auditor department, together with management’s responses; and</w:t>
      </w:r>
    </w:p>
    <w:p>
      <w:pPr>
        <w:spacing w:after="0" w:line="67" w:lineRule="exact"/>
        <w:rPr>
          <w:rFonts w:ascii="Arial" w:cs="Arial" w:eastAsia="Arial" w:hAnsi="Arial"/>
          <w:sz w:val="17"/>
          <w:szCs w:val="17"/>
          <w:color w:val="auto"/>
        </w:rPr>
      </w:pPr>
    </w:p>
    <w:p>
      <w:pPr>
        <w:ind w:left="840" w:hanging="330"/>
        <w:spacing w:after="0"/>
        <w:tabs>
          <w:tab w:leader="none" w:pos="8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Review the overall scope and plans for the 2012 audits by the internal auditor department and the independent auditors.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Prior to Kraft Foods’ filing of its Annual Report on Form 10-K for the year ended December 31, 2011, with the SEC, we also:</w:t>
      </w:r>
    </w:p>
    <w:p>
      <w:pPr>
        <w:spacing w:after="0" w:line="188" w:lineRule="exact"/>
        <w:rPr>
          <w:sz w:val="20"/>
          <w:szCs w:val="20"/>
          <w:color w:val="auto"/>
        </w:rPr>
      </w:pPr>
    </w:p>
    <w:p>
      <w:pPr>
        <w:ind w:left="840" w:hanging="330"/>
        <w:spacing w:after="0"/>
        <w:tabs>
          <w:tab w:leader="none" w:pos="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Reviewed and discussed the audited financial statements with management and the independent auditors;</w:t>
      </w:r>
    </w:p>
    <w:p>
      <w:pPr>
        <w:spacing w:after="0" w:line="73" w:lineRule="exact"/>
        <w:rPr>
          <w:rFonts w:ascii="Arial" w:cs="Arial" w:eastAsia="Arial" w:hAnsi="Arial"/>
          <w:sz w:val="17"/>
          <w:szCs w:val="17"/>
          <w:color w:val="auto"/>
        </w:rPr>
      </w:pPr>
    </w:p>
    <w:p>
      <w:pPr>
        <w:ind w:left="840" w:hanging="330"/>
        <w:spacing w:after="0"/>
        <w:tabs>
          <w:tab w:leader="none" w:pos="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Discussed with the independent auditors their evaluation of the accounting principles, practices and judgments applied by management;</w:t>
      </w:r>
    </w:p>
    <w:p>
      <w:pPr>
        <w:spacing w:after="0" w:line="73" w:lineRule="exact"/>
        <w:rPr>
          <w:rFonts w:ascii="Arial" w:cs="Arial" w:eastAsia="Arial" w:hAnsi="Arial"/>
          <w:sz w:val="17"/>
          <w:szCs w:val="17"/>
          <w:color w:val="auto"/>
        </w:rPr>
      </w:pPr>
    </w:p>
    <w:p>
      <w:pPr>
        <w:ind w:left="840" w:right="480" w:hanging="330"/>
        <w:spacing w:after="0" w:line="239" w:lineRule="auto"/>
        <w:tabs>
          <w:tab w:leader="none" w:pos="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Discussed any other items the independent auditors are required to communicate to the Audit Committee in accordance with applicable requirements of the Public Company Accounting Oversight Board regarding the independent auditors’ communications with the Audit Committee concerning independence;</w:t>
      </w:r>
    </w:p>
    <w:p>
      <w:pPr>
        <w:spacing w:after="0" w:line="68" w:lineRule="exact"/>
        <w:rPr>
          <w:rFonts w:ascii="Arial" w:cs="Arial" w:eastAsia="Arial" w:hAnsi="Arial"/>
          <w:sz w:val="17"/>
          <w:szCs w:val="17"/>
          <w:color w:val="auto"/>
        </w:rPr>
      </w:pPr>
    </w:p>
    <w:p>
      <w:pPr>
        <w:ind w:left="840" w:right="140" w:hanging="330"/>
        <w:spacing w:after="0" w:line="241" w:lineRule="auto"/>
        <w:tabs>
          <w:tab w:leader="none" w:pos="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Received from the independent auditors the written disclosures and the letter describing any relationships with Kraft Foods that may bear on the auditors’ independence; and</w:t>
      </w:r>
    </w:p>
    <w:p>
      <w:pPr>
        <w:spacing w:after="0" w:line="67" w:lineRule="exact"/>
        <w:rPr>
          <w:rFonts w:ascii="Arial" w:cs="Arial" w:eastAsia="Arial" w:hAnsi="Arial"/>
          <w:sz w:val="17"/>
          <w:szCs w:val="17"/>
          <w:color w:val="auto"/>
        </w:rPr>
      </w:pPr>
    </w:p>
    <w:p>
      <w:pPr>
        <w:ind w:left="840" w:right="160" w:hanging="330"/>
        <w:spacing w:after="0" w:line="239" w:lineRule="auto"/>
        <w:tabs>
          <w:tab w:leader="none" w:pos="8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Discussed with the independent auditors their independence from Kraft Foods, including reviewing non-audit services and fees to assure compliance with (i) regulations prohibiting the independent auditors from performing specified services that could impair their independence, and (ii) with Kraft Foods’ and the Audit Committee’s policies.</w:t>
      </w:r>
    </w:p>
    <w:p>
      <w:pPr>
        <w:spacing w:after="0" w:line="145" w:lineRule="exact"/>
        <w:rPr>
          <w:sz w:val="20"/>
          <w:szCs w:val="20"/>
          <w:color w:val="auto"/>
        </w:rPr>
      </w:pPr>
    </w:p>
    <w:p>
      <w:pPr>
        <w:ind w:left="200" w:right="60" w:firstLine="221"/>
        <w:spacing w:after="0" w:line="238" w:lineRule="auto"/>
        <w:rPr>
          <w:sz w:val="20"/>
          <w:szCs w:val="20"/>
          <w:color w:val="auto"/>
        </w:rPr>
      </w:pPr>
      <w:r>
        <w:rPr>
          <w:rFonts w:ascii="Arial" w:cs="Arial" w:eastAsia="Arial" w:hAnsi="Arial"/>
          <w:sz w:val="17"/>
          <w:szCs w:val="17"/>
          <w:color w:val="auto"/>
        </w:rPr>
        <w:t>Based upon the reports and discussions described in this report and without other independent verification, and subject to the limitations of our role and responsibilities outlined in this report and in our written charter, we recommended to the Board, and the Board approved, that the audited consolidated financial statements be included in Kraft Foods’ Annual Report on Form 10-K for the year ended December 31, 2011, which was filed with the SEC on February 27, 2012.</w:t>
      </w:r>
    </w:p>
    <w:p>
      <w:pPr>
        <w:spacing w:after="0" w:line="126"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Audit Committee:</w:t>
      </w:r>
    </w:p>
    <w:p>
      <w:pPr>
        <w:spacing w:after="0" w:line="1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Fredric G. Reynolds, Chair</w:t>
      </w:r>
    </w:p>
    <w:p>
      <w:pPr>
        <w:ind w:left="840"/>
        <w:spacing w:after="0" w:line="235" w:lineRule="auto"/>
        <w:rPr>
          <w:sz w:val="20"/>
          <w:szCs w:val="20"/>
          <w:color w:val="auto"/>
        </w:rPr>
      </w:pPr>
      <w:r>
        <w:rPr>
          <w:rFonts w:ascii="Arial" w:cs="Arial" w:eastAsia="Arial" w:hAnsi="Arial"/>
          <w:sz w:val="17"/>
          <w:szCs w:val="17"/>
          <w:color w:val="auto"/>
        </w:rPr>
        <w:t>Myra M. Hart</w:t>
      </w:r>
    </w:p>
    <w:p>
      <w:pPr>
        <w:ind w:left="840"/>
        <w:spacing w:after="0" w:line="236" w:lineRule="auto"/>
        <w:rPr>
          <w:sz w:val="20"/>
          <w:szCs w:val="20"/>
          <w:color w:val="auto"/>
        </w:rPr>
      </w:pPr>
      <w:r>
        <w:rPr>
          <w:rFonts w:ascii="Arial" w:cs="Arial" w:eastAsia="Arial" w:hAnsi="Arial"/>
          <w:sz w:val="17"/>
          <w:szCs w:val="17"/>
          <w:color w:val="auto"/>
        </w:rPr>
        <w:t>Mark D. Ketchum</w:t>
      </w:r>
    </w:p>
    <w:p>
      <w:pPr>
        <w:ind w:left="840"/>
        <w:spacing w:after="0"/>
        <w:rPr>
          <w:sz w:val="20"/>
          <w:szCs w:val="20"/>
          <w:color w:val="auto"/>
        </w:rPr>
      </w:pPr>
      <w:r>
        <w:rPr>
          <w:rFonts w:ascii="Arial" w:cs="Arial" w:eastAsia="Arial" w:hAnsi="Arial"/>
          <w:sz w:val="17"/>
          <w:szCs w:val="17"/>
          <w:color w:val="auto"/>
        </w:rPr>
        <w:t>Mackey J. McDonald</w:t>
      </w:r>
    </w:p>
    <w:p>
      <w:pPr>
        <w:spacing w:after="0" w:line="119" w:lineRule="exact"/>
        <w:rPr>
          <w:sz w:val="20"/>
          <w:szCs w:val="20"/>
          <w:color w:val="auto"/>
        </w:rPr>
      </w:pPr>
    </w:p>
    <w:p>
      <w:pPr>
        <w:ind w:left="200" w:right="420"/>
        <w:spacing w:after="0" w:line="249" w:lineRule="auto"/>
        <w:rPr>
          <w:sz w:val="20"/>
          <w:szCs w:val="20"/>
          <w:color w:val="auto"/>
        </w:rPr>
      </w:pPr>
      <w:r>
        <w:rPr>
          <w:rFonts w:ascii="Arial" w:cs="Arial" w:eastAsia="Arial" w:hAnsi="Arial"/>
          <w:sz w:val="17"/>
          <w:szCs w:val="17"/>
          <w:i w:val="1"/>
          <w:iCs w:val="1"/>
          <w:color w:val="auto"/>
        </w:rPr>
        <w:t>The information contained in the above report will not be deemed to be “soliciting material” or “filed” with the SEC, nor will this information be incorporated by reference into any future filing under the Securities Act of 1933, as amended, or the Exchange Act, except to the extent that Kraft Foods specifically incorporates it by reference in such filing.</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60"/>
          </w:cols>
          <w:pgMar w:left="240" w:top="443" w:right="39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Pre-Approval Policies</w:t>
      </w:r>
    </w:p>
    <w:p>
      <w:pPr>
        <w:spacing w:after="0" w:line="150"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Our Audit Committee’s policy, which it reviews annually, is to pre-approve all audit and non-audit services provided by the independent auditors. These services may include audit services, audit-related services, tax services and other permissible non-audit services. The pre-approval authority details the particular service or category of service that the independent auditors will perform and is subject to a specific engagement authorization by management within the pre-approved category spending limits. The Committee’s policy also requires management to report at Committee meetings throughout the year on the actual fees charged by the independent auditors for each category of service.</w:t>
      </w:r>
    </w:p>
    <w:p>
      <w:pPr>
        <w:spacing w:after="0" w:line="148"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During the year, circumstances may arise when it may become necessary to engage the independent auditors for additional services not contemplated in the original pre-approval authority. In those instances, the Committee approves the services before we engage the independent auditors. If pre-approval is needed before a scheduled Committee meeting, the Committee delegated pre-approval authority to its chair. The chair must report on such pre-approval decisions at the Committee’s next regular meeting.</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During 2011, the Audit Committee pre-approved all audit and non-audit services provided by the independent auditors.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Independent Auditors’ Fees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Aggregate fees for professional services rendered by our independent auditors, PricewaterhouseCoopers LLP, for 2011 and 2010 were:</w:t>
      </w:r>
    </w:p>
    <w:p>
      <w:pPr>
        <w:spacing w:after="0" w:line="169" w:lineRule="exact"/>
        <w:rPr>
          <w:sz w:val="20"/>
          <w:szCs w:val="20"/>
          <w:color w:val="auto"/>
        </w:rPr>
      </w:pPr>
    </w:p>
    <w:tbl>
      <w:tblPr>
        <w:tblLayout w:type="fixed"/>
        <w:tblInd w:w="1840" w:type="dxa"/>
        <w:tblCellMar>
          <w:top w:w="0" w:type="dxa"/>
          <w:left w:w="0" w:type="dxa"/>
          <w:bottom w:w="0" w:type="dxa"/>
          <w:right w:w="0" w:type="dxa"/>
        </w:tblCellMar>
      </w:tblPr>
      <w:tr>
        <w:trPr>
          <w:trHeight w:val="157"/>
        </w:trPr>
        <w:tc>
          <w:tcPr>
            <w:tcW w:w="4960" w:type="dxa"/>
            <w:vAlign w:val="bottom"/>
            <w:vMerge w:val="restart"/>
          </w:tcPr>
          <w:p>
            <w:pPr>
              <w:spacing w:after="0"/>
              <w:rPr>
                <w:sz w:val="20"/>
                <w:szCs w:val="20"/>
                <w:color w:val="auto"/>
              </w:rPr>
            </w:pPr>
            <w:r>
              <w:rPr>
                <w:rFonts w:ascii="Arial" w:cs="Arial" w:eastAsia="Arial" w:hAnsi="Arial"/>
                <w:sz w:val="17"/>
                <w:szCs w:val="17"/>
                <w:color w:val="auto"/>
              </w:rPr>
              <w:t>Audit Fees</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2011</w:t>
            </w:r>
          </w:p>
        </w:tc>
        <w:tc>
          <w:tcPr>
            <w:tcW w:w="5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96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5" w:lineRule="exact"/>
              <w:rPr>
                <w:sz w:val="20"/>
                <w:szCs w:val="20"/>
                <w:color w:val="auto"/>
              </w:rPr>
            </w:pPr>
            <w:r>
              <w:rPr>
                <w:rFonts w:ascii="Arial" w:cs="Arial" w:eastAsia="Arial" w:hAnsi="Arial"/>
                <w:sz w:val="17"/>
                <w:szCs w:val="17"/>
                <w:color w:val="auto"/>
              </w:rPr>
              <w:t>20,827,000</w:t>
            </w:r>
          </w:p>
        </w:tc>
        <w:tc>
          <w:tcPr>
            <w:tcW w:w="720" w:type="dxa"/>
            <w:vAlign w:val="bottom"/>
            <w:gridSpan w:val="2"/>
          </w:tcPr>
          <w:p>
            <w:pPr>
              <w:jc w:val="right"/>
              <w:spacing w:after="0" w:line="185" w:lineRule="exact"/>
              <w:rPr>
                <w:sz w:val="20"/>
                <w:szCs w:val="20"/>
                <w:color w:val="auto"/>
              </w:rPr>
            </w:pPr>
            <w:r>
              <w:rPr>
                <w:rFonts w:ascii="Arial" w:cs="Arial" w:eastAsia="Arial" w:hAnsi="Arial"/>
                <w:sz w:val="17"/>
                <w:szCs w:val="17"/>
                <w:color w:val="auto"/>
              </w:rPr>
              <w:t>$</w:t>
            </w:r>
          </w:p>
        </w:tc>
        <w:tc>
          <w:tcPr>
            <w:tcW w:w="900" w:type="dxa"/>
            <w:vAlign w:val="bottom"/>
          </w:tcPr>
          <w:p>
            <w:pPr>
              <w:jc w:val="right"/>
              <w:spacing w:after="0" w:line="185" w:lineRule="exact"/>
              <w:rPr>
                <w:sz w:val="20"/>
                <w:szCs w:val="20"/>
                <w:color w:val="auto"/>
              </w:rPr>
            </w:pPr>
            <w:r>
              <w:rPr>
                <w:rFonts w:ascii="Arial" w:cs="Arial" w:eastAsia="Arial" w:hAnsi="Arial"/>
                <w:sz w:val="17"/>
                <w:szCs w:val="17"/>
                <w:color w:val="auto"/>
              </w:rPr>
              <w:t>25,029,000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6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Audit-Related Fees</w:t>
            </w:r>
          </w:p>
        </w:tc>
        <w:tc>
          <w:tcPr>
            <w:tcW w:w="140" w:type="dxa"/>
            <w:vAlign w:val="bottom"/>
            <w:shd w:val="clear" w:color="auto" w:fill="D8D8D8"/>
          </w:tcPr>
          <w:p>
            <w:pPr>
              <w:spacing w:after="0"/>
              <w:rPr>
                <w:sz w:val="16"/>
                <w:szCs w:val="16"/>
                <w:color w:val="auto"/>
              </w:rPr>
            </w:pP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478,000</w:t>
            </w:r>
          </w:p>
        </w:tc>
        <w:tc>
          <w:tcPr>
            <w:tcW w:w="56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531,000</w:t>
            </w:r>
          </w:p>
        </w:tc>
        <w:tc>
          <w:tcPr>
            <w:tcW w:w="14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60" w:type="dxa"/>
            <w:vAlign w:val="bottom"/>
          </w:tcPr>
          <w:p>
            <w:pPr>
              <w:spacing w:after="0" w:line="192" w:lineRule="exact"/>
              <w:rPr>
                <w:sz w:val="20"/>
                <w:szCs w:val="20"/>
                <w:color w:val="auto"/>
              </w:rPr>
            </w:pPr>
            <w:r>
              <w:rPr>
                <w:rFonts w:ascii="Arial" w:cs="Arial" w:eastAsia="Arial" w:hAnsi="Arial"/>
                <w:sz w:val="17"/>
                <w:szCs w:val="17"/>
                <w:color w:val="auto"/>
              </w:rPr>
              <w:t>Tax Fees</w:t>
            </w:r>
          </w:p>
        </w:tc>
        <w:tc>
          <w:tcPr>
            <w:tcW w:w="140" w:type="dxa"/>
            <w:vAlign w:val="bottom"/>
          </w:tcPr>
          <w:p>
            <w:pPr>
              <w:spacing w:after="0"/>
              <w:rPr>
                <w:sz w:val="16"/>
                <w:szCs w:val="16"/>
                <w:color w:val="auto"/>
              </w:rPr>
            </w:pPr>
          </w:p>
        </w:tc>
        <w:tc>
          <w:tcPr>
            <w:tcW w:w="900" w:type="dxa"/>
            <w:vAlign w:val="bottom"/>
          </w:tcPr>
          <w:p>
            <w:pPr>
              <w:jc w:val="right"/>
              <w:spacing w:after="0" w:line="192" w:lineRule="exact"/>
              <w:rPr>
                <w:sz w:val="20"/>
                <w:szCs w:val="20"/>
                <w:color w:val="auto"/>
              </w:rPr>
            </w:pPr>
            <w:r>
              <w:rPr>
                <w:rFonts w:ascii="Arial" w:cs="Arial" w:eastAsia="Arial" w:hAnsi="Arial"/>
                <w:sz w:val="17"/>
                <w:szCs w:val="17"/>
                <w:color w:val="auto"/>
              </w:rPr>
              <w:t>12,373,000</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92" w:lineRule="exact"/>
              <w:rPr>
                <w:sz w:val="20"/>
                <w:szCs w:val="20"/>
                <w:color w:val="auto"/>
              </w:rPr>
            </w:pPr>
            <w:r>
              <w:rPr>
                <w:rFonts w:ascii="Arial" w:cs="Arial" w:eastAsia="Arial" w:hAnsi="Arial"/>
                <w:sz w:val="17"/>
                <w:szCs w:val="17"/>
                <w:color w:val="auto"/>
              </w:rPr>
              <w:t>14,781,000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6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All Other Fees</w:t>
            </w:r>
          </w:p>
        </w:tc>
        <w:tc>
          <w:tcPr>
            <w:tcW w:w="140" w:type="dxa"/>
            <w:vAlign w:val="bottom"/>
            <w:shd w:val="clear" w:color="auto" w:fill="D8D8D8"/>
          </w:tcPr>
          <w:p>
            <w:pPr>
              <w:spacing w:after="0"/>
              <w:rPr>
                <w:sz w:val="16"/>
                <w:szCs w:val="16"/>
                <w:color w:val="auto"/>
              </w:rPr>
            </w:pP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9,000</w:t>
            </w:r>
          </w:p>
        </w:tc>
        <w:tc>
          <w:tcPr>
            <w:tcW w:w="560" w:type="dxa"/>
            <w:vAlign w:val="bottom"/>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1040" w:type="dxa"/>
            <w:vAlign w:val="bottom"/>
            <w:gridSpan w:val="2"/>
            <w:shd w:val="clear" w:color="auto" w:fill="D8D8D8"/>
          </w:tcPr>
          <w:p>
            <w:pPr>
              <w:jc w:val="right"/>
              <w:ind w:right="140"/>
              <w:spacing w:after="0" w:line="192" w:lineRule="exact"/>
              <w:rPr>
                <w:sz w:val="20"/>
                <w:szCs w:val="20"/>
                <w:color w:val="auto"/>
              </w:rPr>
            </w:pPr>
            <w:r>
              <w:rPr>
                <w:rFonts w:ascii="Arial" w:cs="Arial" w:eastAsia="Arial" w:hAnsi="Arial"/>
                <w:sz w:val="17"/>
                <w:szCs w:val="17"/>
                <w:color w:val="auto"/>
              </w:rPr>
              <w:t>89,000</w:t>
            </w:r>
          </w:p>
        </w:tc>
        <w:tc>
          <w:tcPr>
            <w:tcW w:w="0" w:type="dxa"/>
            <w:vAlign w:val="bottom"/>
          </w:tcPr>
          <w:p>
            <w:pPr>
              <w:spacing w:after="0"/>
              <w:rPr>
                <w:sz w:val="1"/>
                <w:szCs w:val="1"/>
                <w:color w:val="auto"/>
              </w:rPr>
            </w:pPr>
          </w:p>
        </w:tc>
      </w:tr>
      <w:tr>
        <w:trPr>
          <w:trHeight w:val="197"/>
        </w:trPr>
        <w:tc>
          <w:tcPr>
            <w:tcW w:w="4960" w:type="dxa"/>
            <w:vAlign w:val="bottom"/>
          </w:tcPr>
          <w:p>
            <w:pPr>
              <w:spacing w:after="0"/>
              <w:rPr>
                <w:sz w:val="20"/>
                <w:szCs w:val="20"/>
                <w:color w:val="auto"/>
              </w:rPr>
            </w:pPr>
            <w:r>
              <w:rPr>
                <w:rFonts w:ascii="Arial" w:cs="Arial" w:eastAsia="Arial" w:hAnsi="Arial"/>
                <w:sz w:val="17"/>
                <w:szCs w:val="17"/>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33,687,000</w:t>
            </w:r>
          </w:p>
        </w:tc>
        <w:tc>
          <w:tcPr>
            <w:tcW w:w="5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40,430,000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880" w:hanging="315"/>
        <w:spacing w:after="0" w:line="238"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“Audit Fees” include (a) the integrated audit of our consolidated financial statements, including statutory audits of the financial statements of our affiliates, and our internal control over financial reporting and (b) the reviews of our unaudited condensed consolidated interim financial statements (quarterly financial statements). In 2011, audit fees include work related to the Spin-off. Audit fees in 2010 reflect additional work related to the Cadbury acquisition.</w:t>
      </w:r>
    </w:p>
    <w:p>
      <w:pPr>
        <w:spacing w:after="0" w:line="68" w:lineRule="exact"/>
        <w:rPr>
          <w:rFonts w:ascii="Arial" w:cs="Arial" w:eastAsia="Arial" w:hAnsi="Arial"/>
          <w:sz w:val="17"/>
          <w:szCs w:val="17"/>
          <w:color w:val="auto"/>
        </w:rPr>
      </w:pPr>
    </w:p>
    <w:p>
      <w:pPr>
        <w:ind w:left="880" w:right="240" w:hanging="315"/>
        <w:spacing w:after="0" w:line="241"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“Audit-Related Fees” include professional services in connection with employee benefit plan audits, due diligence related to acquisitions and divestitures and procedures related to various other audit and special reports.</w:t>
      </w:r>
    </w:p>
    <w:p>
      <w:pPr>
        <w:spacing w:after="0" w:line="67" w:lineRule="exact"/>
        <w:rPr>
          <w:rFonts w:ascii="Arial" w:cs="Arial" w:eastAsia="Arial" w:hAnsi="Arial"/>
          <w:sz w:val="17"/>
          <w:szCs w:val="17"/>
          <w:color w:val="auto"/>
        </w:rPr>
      </w:pPr>
    </w:p>
    <w:p>
      <w:pPr>
        <w:ind w:left="880" w:right="220" w:hanging="315"/>
        <w:spacing w:after="0" w:line="241"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“Tax Fees” include professional services in connection with tax compliance and advice. The 2011 audit fees include work related to the Spin-off. In 2010, tax fees also include tax advice and professional services related to the Cadbury integration.</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“All Other Fees” include professional services in connection with benchmarking studies and seminars.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All fees above include out-of-pocket expenses.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43" w:right="2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 Committee</w:t>
      </w:r>
    </w:p>
    <w:p>
      <w:pPr>
        <w:spacing w:after="0" w:line="170"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Finance Committee is responsible for considering and making recommendations to the Board on the management of our financial resources and major financial strategies and transactions as set forth in its charter. The Committee reviews and makes recommendations to the Board on financial matters, including:</w:t>
      </w:r>
    </w:p>
    <w:p>
      <w:pPr>
        <w:spacing w:after="0" w:line="184" w:lineRule="exact"/>
        <w:rPr>
          <w:sz w:val="20"/>
          <w:szCs w:val="20"/>
          <w:color w:val="auto"/>
        </w:rPr>
      </w:pPr>
    </w:p>
    <w:p>
      <w:pPr>
        <w:ind w:left="880" w:hanging="315"/>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annual and long-term financing plans, including our projected financial structure and funding requirements;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issuances, sales or repurchases of equity and debt securities;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external dividend policy and dividend recommendations;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proposed major investments, acquisitions, divestitures, joint ventures, significant asset sales and purchase commitments;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financial risk management activities, such as foreign exchange, commodities and interest rate exposure;</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director and officer insurance program;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Board and management authorization levels with respect to financing matters.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 Membership and Public Affairs Committee</w:t>
      </w:r>
    </w:p>
    <w:p>
      <w:pPr>
        <w:spacing w:after="0" w:line="170"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The Board determined that all of the Governance, Membership and Public Affairs Committee members are independent within the meaning of the NYSE listing standards. The Committee’s responsibilities include, among others:</w:t>
      </w:r>
    </w:p>
    <w:p>
      <w:pPr>
        <w:spacing w:after="0" w:line="183" w:lineRule="exact"/>
        <w:rPr>
          <w:sz w:val="20"/>
          <w:szCs w:val="20"/>
          <w:color w:val="auto"/>
        </w:rPr>
      </w:pPr>
    </w:p>
    <w:p>
      <w:pPr>
        <w:ind w:left="880" w:hanging="315"/>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identifying qualified individuals for Board membership consistent with criteria approved by the Board;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considering the performance and suitability of incumbent directors in determining whether to nominate them for re-election;</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making recommendations to the Board as to directors’ independence;</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recommending to the Board the appropriate size, function, needs and composition of the Board and its committees;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recommending to the Board the membership of each committee;</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monitoring directors’ compliance with our stock ownership guidelines;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reviewing and evaluating opportunities for Board members to engage in continuing education;</w:t>
      </w:r>
    </w:p>
    <w:p>
      <w:pPr>
        <w:spacing w:after="0" w:line="73" w:lineRule="exact"/>
        <w:rPr>
          <w:rFonts w:ascii="Arial" w:cs="Arial" w:eastAsia="Arial" w:hAnsi="Arial"/>
          <w:sz w:val="17"/>
          <w:szCs w:val="17"/>
          <w:color w:val="auto"/>
        </w:rPr>
      </w:pPr>
    </w:p>
    <w:p>
      <w:pPr>
        <w:ind w:left="880" w:right="720" w:hanging="315"/>
        <w:spacing w:after="0" w:line="241"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advising the Board on corporate governance matters, including developing and recommending to the Board revisions to our corporate governance principles;</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developing and recommending to the Board and overseeing an annual self-evaluation process for the Board and its committees;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administering and reviewing the Directors Ethics Code;</w:t>
      </w:r>
    </w:p>
    <w:p>
      <w:pPr>
        <w:spacing w:after="0" w:line="73" w:lineRule="exact"/>
        <w:rPr>
          <w:rFonts w:ascii="Arial" w:cs="Arial" w:eastAsia="Arial" w:hAnsi="Arial"/>
          <w:sz w:val="17"/>
          <w:szCs w:val="17"/>
          <w:color w:val="auto"/>
        </w:rPr>
      </w:pPr>
    </w:p>
    <w:p>
      <w:pPr>
        <w:jc w:val="both"/>
        <w:ind w:left="880" w:right="80" w:hanging="315"/>
        <w:spacing w:after="0" w:line="239"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overseeing Kraft Foods’ policies and programs related to corporate citizenship, social responsibility, and public policy issues significant to Kraft Foods such as sustainability and environmental responsibility; food labeling, marketing and packaging; and philanthropic and political activities and contributions; and</w:t>
      </w:r>
    </w:p>
    <w:p>
      <w:pPr>
        <w:spacing w:after="0" w:line="68" w:lineRule="exact"/>
        <w:rPr>
          <w:rFonts w:ascii="Arial" w:cs="Arial" w:eastAsia="Arial" w:hAnsi="Arial"/>
          <w:sz w:val="17"/>
          <w:szCs w:val="17"/>
          <w:color w:val="auto"/>
        </w:rPr>
      </w:pPr>
    </w:p>
    <w:p>
      <w:pPr>
        <w:ind w:left="880" w:right="40" w:hanging="315"/>
        <w:spacing w:after="0" w:line="241" w:lineRule="auto"/>
        <w:tabs>
          <w:tab w:leader="none" w:pos="8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monitoring issues, trends, internal and external factors and relationships that may affect the public image and reputation of Kraft Foods and the food and beverage industry.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443"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The Governance, Membership and Public Affairs Committee will consider any candidate a shareholder properly presents for election to the Board in accordance with the procedures set forth in the By-Laws. The Committee uses the same criteria set forth in the Guidelines to evaluate a candidate suggested by a shareholder as the Committee uses to evaluate a candidate it identifies, as described above under “Item 1. Election of Directors – Process for Nominating Directors,” and makes a recommendation to the Board regarding the candidate’s appointment or nomination for election to the Board. After the Board’s consideration of the candidate suggested by a shareholder, our Corporate Secretary will notify that shareholder whether the Board decided to appoint or nominate the candidate.</w:t>
      </w:r>
    </w:p>
    <w:p>
      <w:pPr>
        <w:spacing w:after="0" w:line="147"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For a description of how shareholders may nominate a candidate for election to the Board at an annual meeting of shareholders and have that nomination included in the proxy statement for that meeting, see “2013 Annual Meeting of Shareholders” in this Proxy Statement.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Resources and Compensation Committee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Compensation Committee Interlocks and Insider Participation</w:t>
      </w:r>
    </w:p>
    <w:p>
      <w:pPr>
        <w:spacing w:after="0" w:line="15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Board has determined that all of the directors who served on the Human Resources and Compensation Committee during 2011 are independent within the meaning of the NYSE listing standards. None of the Committee’s members:</w:t>
      </w:r>
    </w:p>
    <w:p>
      <w:pPr>
        <w:spacing w:after="0" w:line="183" w:lineRule="exact"/>
        <w:rPr>
          <w:sz w:val="20"/>
          <w:szCs w:val="20"/>
          <w:color w:val="auto"/>
        </w:rPr>
      </w:pPr>
    </w:p>
    <w:p>
      <w:pPr>
        <w:ind w:left="880" w:hanging="315"/>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is or was an officer or employee of Kraft Foods;</w:t>
      </w:r>
    </w:p>
    <w:p>
      <w:pPr>
        <w:spacing w:after="0" w:line="73" w:lineRule="exact"/>
        <w:rPr>
          <w:rFonts w:ascii="Arial" w:cs="Arial" w:eastAsia="Arial" w:hAnsi="Arial"/>
          <w:sz w:val="17"/>
          <w:szCs w:val="17"/>
          <w:color w:val="auto"/>
        </w:rPr>
      </w:pPr>
    </w:p>
    <w:p>
      <w:pPr>
        <w:ind w:left="880" w:right="880" w:hanging="315"/>
        <w:spacing w:after="0" w:line="241"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is or was a participant in a “related person” transaction since the beginning of 2011 (for a description of our policy on related person transactions, see “Corporate Governance – Review of Transactions with Related Persons” in this Proxy Statement); or</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is an executive officer of another entity at which one of our executive officers serves on the board of directors.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Responsibilities</w:t>
      </w:r>
    </w:p>
    <w:p>
      <w:pPr>
        <w:spacing w:after="0" w:line="150"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The Human Resources and Compensation Committee’s responsibilities are set forth in its charter. The Committee’s responsibilities include, among other duties:</w:t>
      </w:r>
    </w:p>
    <w:p>
      <w:pPr>
        <w:spacing w:after="0" w:line="183" w:lineRule="exact"/>
        <w:rPr>
          <w:sz w:val="20"/>
          <w:szCs w:val="20"/>
          <w:color w:val="auto"/>
        </w:rPr>
      </w:pPr>
    </w:p>
    <w:p>
      <w:pPr>
        <w:ind w:left="880" w:hanging="315"/>
        <w:spacing w:after="0"/>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assessing the appropriateness and competitiveness of our executive compensation programs;</w:t>
      </w:r>
    </w:p>
    <w:p>
      <w:pPr>
        <w:spacing w:after="0" w:line="73" w:lineRule="exact"/>
        <w:rPr>
          <w:rFonts w:ascii="Arial" w:cs="Arial" w:eastAsia="Arial" w:hAnsi="Arial"/>
          <w:sz w:val="17"/>
          <w:szCs w:val="17"/>
          <w:color w:val="auto"/>
        </w:rPr>
      </w:pPr>
    </w:p>
    <w:p>
      <w:pPr>
        <w:ind w:left="880" w:right="340" w:hanging="315"/>
        <w:spacing w:after="0" w:line="241"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reviewing and approving the Chief Executive Officer’s goals and objectives, evaluating her performance against these goals and objectives and, based upon its evaluation, determining both the elements and amounts of the Chief Executive Officer’s compensation;</w:t>
      </w:r>
    </w:p>
    <w:p>
      <w:pPr>
        <w:spacing w:after="0" w:line="67" w:lineRule="exact"/>
        <w:rPr>
          <w:rFonts w:ascii="Arial" w:cs="Arial" w:eastAsia="Arial" w:hAnsi="Arial"/>
          <w:sz w:val="17"/>
          <w:szCs w:val="17"/>
          <w:color w:val="auto"/>
        </w:rPr>
      </w:pPr>
    </w:p>
    <w:p>
      <w:pPr>
        <w:ind w:left="880" w:right="460" w:hanging="315"/>
        <w:spacing w:after="0" w:line="241"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reviewing and approving the compensation of the Chief Executive Officer’s direct reports and other officers subject to Section 16(a) of the Exchange Act;</w:t>
      </w:r>
    </w:p>
    <w:p>
      <w:pPr>
        <w:spacing w:after="0" w:line="67" w:lineRule="exact"/>
        <w:rPr>
          <w:rFonts w:ascii="Arial" w:cs="Arial" w:eastAsia="Arial" w:hAnsi="Arial"/>
          <w:sz w:val="17"/>
          <w:szCs w:val="17"/>
          <w:color w:val="auto"/>
        </w:rPr>
      </w:pPr>
    </w:p>
    <w:p>
      <w:pPr>
        <w:ind w:left="880" w:right="500" w:hanging="315"/>
        <w:spacing w:after="0" w:line="241"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determining annual incentive compensation, equity awards and other long-term incentive awards granted under our equity and long-term incentive plans to eligible participants;</w:t>
      </w:r>
    </w:p>
    <w:p>
      <w:pPr>
        <w:spacing w:after="0" w:line="67" w:lineRule="exact"/>
        <w:rPr>
          <w:rFonts w:ascii="Arial" w:cs="Arial" w:eastAsia="Arial" w:hAnsi="Arial"/>
          <w:sz w:val="17"/>
          <w:szCs w:val="17"/>
          <w:color w:val="auto"/>
        </w:rPr>
      </w:pPr>
    </w:p>
    <w:p>
      <w:pPr>
        <w:ind w:left="880" w:right="380" w:hanging="315"/>
        <w:spacing w:after="0" w:line="241"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reviewing our compensation policies and practices for employees, including non-executive and executive officers, as they relate to our risk management practices and risk-taking incentives;</w:t>
      </w:r>
    </w:p>
    <w:p>
      <w:pPr>
        <w:spacing w:after="0" w:line="67" w:lineRule="exact"/>
        <w:rPr>
          <w:rFonts w:ascii="Arial" w:cs="Arial" w:eastAsia="Arial" w:hAnsi="Arial"/>
          <w:sz w:val="17"/>
          <w:szCs w:val="17"/>
          <w:color w:val="auto"/>
        </w:rPr>
      </w:pPr>
    </w:p>
    <w:p>
      <w:pPr>
        <w:ind w:left="880" w:right="380" w:hanging="315"/>
        <w:spacing w:after="0" w:line="241"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overseeing the management development and succession planning process (including succession planning for emergencies) for the Chief Executive Officer and her direct reports and, as appropriate, evaluating potential candidates;</w:t>
      </w:r>
    </w:p>
    <w:p>
      <w:pPr>
        <w:spacing w:after="0" w:line="67" w:lineRule="exact"/>
        <w:rPr>
          <w:rFonts w:ascii="Arial" w:cs="Arial" w:eastAsia="Arial" w:hAnsi="Arial"/>
          <w:sz w:val="17"/>
          <w:szCs w:val="17"/>
          <w:color w:val="auto"/>
        </w:rPr>
      </w:pPr>
    </w:p>
    <w:p>
      <w:pPr>
        <w:ind w:left="880" w:right="220" w:hanging="315"/>
        <w:spacing w:after="0" w:line="241"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monitoring our policies, objectives and programs related to diversity and reviewing periodically our diversity performance against appropriate measures;</w:t>
      </w:r>
    </w:p>
    <w:p>
      <w:pPr>
        <w:spacing w:after="0" w:line="67" w:lineRule="exact"/>
        <w:rPr>
          <w:rFonts w:ascii="Arial" w:cs="Arial" w:eastAsia="Arial" w:hAnsi="Arial"/>
          <w:sz w:val="17"/>
          <w:szCs w:val="17"/>
          <w:color w:val="auto"/>
        </w:rPr>
      </w:pPr>
    </w:p>
    <w:p>
      <w:pPr>
        <w:ind w:left="880" w:right="40" w:hanging="315"/>
        <w:spacing w:after="0" w:line="241"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assessing the appropriateness of, and advising the Board regarding, the compensation of non-employee directors for service on the Board and its committees; and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43"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left="880" w:hanging="315"/>
        <w:spacing w:after="0" w:line="241"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reviewing and discussing with management the Compensation Discussion and Analysis and preparing and approving the Committee’s report to shareholders included in our annual Proxy Statement.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Processes and Procedures</w:t>
      </w:r>
    </w:p>
    <w:p>
      <w:pPr>
        <w:spacing w:after="0" w:line="150" w:lineRule="exact"/>
        <w:rPr>
          <w:sz w:val="20"/>
          <w:szCs w:val="20"/>
          <w:color w:val="auto"/>
        </w:rPr>
      </w:pPr>
    </w:p>
    <w:p>
      <w:pPr>
        <w:ind w:right="700"/>
        <w:spacing w:after="0" w:line="241" w:lineRule="auto"/>
        <w:rPr>
          <w:sz w:val="20"/>
          <w:szCs w:val="20"/>
          <w:color w:val="auto"/>
        </w:rPr>
      </w:pPr>
      <w:r>
        <w:rPr>
          <w:rFonts w:ascii="Arial" w:cs="Arial" w:eastAsia="Arial" w:hAnsi="Arial"/>
          <w:sz w:val="17"/>
          <w:szCs w:val="17"/>
          <w:color w:val="auto"/>
        </w:rPr>
        <w:t>The Compensation Discussion and Analysis, included in this Proxy Statement, addresses the Committee’s primary processes for establishing and overseeing executive compensation. Additional processes and procedures include:</w:t>
      </w:r>
    </w:p>
    <w:p>
      <w:pPr>
        <w:spacing w:after="0" w:line="50" w:lineRule="exact"/>
        <w:rPr>
          <w:sz w:val="20"/>
          <w:szCs w:val="20"/>
          <w:color w:val="auto"/>
        </w:rPr>
      </w:pPr>
    </w:p>
    <w:p>
      <w:pPr>
        <w:ind w:left="880" w:hanging="315"/>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Meetings</w:t>
      </w:r>
      <w:r>
        <w:rPr>
          <w:rFonts w:ascii="Arial" w:cs="Arial" w:eastAsia="Arial" w:hAnsi="Arial"/>
          <w:sz w:val="17"/>
          <w:szCs w:val="17"/>
          <w:color w:val="auto"/>
        </w:rPr>
        <w:t>. The Committee meets several times each year to address our compensation programs, benefit plans and policies.</w:t>
      </w:r>
    </w:p>
    <w:p>
      <w:pPr>
        <w:spacing w:after="0" w:line="73" w:lineRule="exact"/>
        <w:rPr>
          <w:rFonts w:ascii="Arial" w:cs="Arial" w:eastAsia="Arial" w:hAnsi="Arial"/>
          <w:sz w:val="17"/>
          <w:szCs w:val="17"/>
          <w:color w:val="auto"/>
        </w:rPr>
      </w:pPr>
    </w:p>
    <w:p>
      <w:pPr>
        <w:ind w:left="880" w:right="100" w:hanging="315"/>
        <w:spacing w:after="0" w:line="255"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Role of Independent Compensation Consultant</w:t>
      </w:r>
      <w:r>
        <w:rPr>
          <w:rFonts w:ascii="Arial" w:cs="Arial" w:eastAsia="Arial" w:hAnsi="Arial"/>
          <w:sz w:val="16"/>
          <w:szCs w:val="16"/>
          <w:color w:val="auto"/>
        </w:rPr>
        <w:t>. In 2011, the Committee retained Compensation Advisory Partners, LLC as its independent</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consultant to assist the Committee in evaluating executive compensation programs and to advise the Committee regarding the amount and form of executive and director compensation. The use of a consultant provides additional assurance that our executive compensation programs are reasonable, competitive and consistent with our objectives. The consultant is engaged directly by the Committee, regularly participates in Committee meetings, including executive sessions of the Committee that excludes management, and advises the Committee with respect to compensation trends and best practices, plan design and the reasonableness of compensation awards. In addition, with respect to the Chief Executive Officer, the consultant prepares specific compensation analyses for the Committee’s consideration. The Chief Executive Officer does not participate in the development of these analyses and has no knowledge of the information in these analyses</w:t>
      </w:r>
      <w:r>
        <w:rPr>
          <w:rFonts w:ascii="Arial" w:cs="Arial" w:eastAsia="Arial" w:hAnsi="Arial"/>
          <w:sz w:val="16"/>
          <w:szCs w:val="16"/>
          <w:i w:val="1"/>
          <w:iCs w:val="1"/>
          <w:color w:val="auto"/>
        </w:rPr>
        <w:t>.</w:t>
      </w:r>
      <w:r>
        <w:rPr>
          <w:rFonts w:ascii="Arial" w:cs="Arial" w:eastAsia="Arial" w:hAnsi="Arial"/>
          <w:sz w:val="16"/>
          <w:szCs w:val="16"/>
          <w:color w:val="auto"/>
        </w:rPr>
        <w:t xml:space="preserve"> The consultant plays a similar role in analyzing the amount and form of director compensation, as discussed below.</w:t>
      </w:r>
    </w:p>
    <w:p>
      <w:pPr>
        <w:spacing w:after="0" w:line="44" w:lineRule="exact"/>
        <w:rPr>
          <w:rFonts w:ascii="Arial" w:cs="Arial" w:eastAsia="Arial" w:hAnsi="Arial"/>
          <w:sz w:val="16"/>
          <w:szCs w:val="16"/>
          <w:color w:val="auto"/>
        </w:rPr>
      </w:pPr>
    </w:p>
    <w:p>
      <w:pPr>
        <w:ind w:left="880" w:right="140" w:hanging="315"/>
        <w:spacing w:after="0" w:line="242" w:lineRule="auto"/>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Role of Executive Officers and Management</w:t>
      </w:r>
      <w:r>
        <w:rPr>
          <w:rFonts w:ascii="Arial" w:cs="Arial" w:eastAsia="Arial" w:hAnsi="Arial"/>
          <w:sz w:val="17"/>
          <w:szCs w:val="17"/>
          <w:color w:val="auto"/>
        </w:rPr>
        <w:t>. Each year, the Chief Executive Officer presents her compensation recommendations for each of</w:t>
      </w:r>
      <w:r>
        <w:rPr>
          <w:rFonts w:ascii="Arial" w:cs="Arial" w:eastAsia="Arial" w:hAnsi="Arial"/>
          <w:sz w:val="17"/>
          <w:szCs w:val="17"/>
          <w:i w:val="1"/>
          <w:iCs w:val="1"/>
          <w:color w:val="auto"/>
        </w:rPr>
        <w:t xml:space="preserve"> </w:t>
      </w:r>
      <w:r>
        <w:rPr>
          <w:rFonts w:ascii="Arial" w:cs="Arial" w:eastAsia="Arial" w:hAnsi="Arial"/>
          <w:sz w:val="17"/>
          <w:szCs w:val="17"/>
          <w:color w:val="auto"/>
        </w:rPr>
        <w:t>the other Named Executive Officers, her remaining direct reports and other executive officers (as described under “Compensation Discussion and Analysis”). The Committee reviews and discusses these recommendations with the Chief Executive Officer and has full discretion over all recommended compensation actions. Executive officers do not play a role in determining or recommending the amount or form of director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Independence of Compensation Consultant to the Committee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Compensation Advisory Partners has served as the Committee’s independent compensation consultant since September 2009. During 2011,</w:t>
      </w:r>
    </w:p>
    <w:p>
      <w:pPr>
        <w:spacing w:after="0"/>
        <w:rPr>
          <w:sz w:val="20"/>
          <w:szCs w:val="20"/>
          <w:color w:val="auto"/>
        </w:rPr>
      </w:pPr>
      <w:r>
        <w:rPr>
          <w:rFonts w:ascii="Arial" w:cs="Arial" w:eastAsia="Arial" w:hAnsi="Arial"/>
          <w:sz w:val="17"/>
          <w:szCs w:val="17"/>
          <w:color w:val="auto"/>
        </w:rPr>
        <w:t>Compensation Advisory Partners provided the Committee advice and services, including:</w:t>
      </w:r>
    </w:p>
    <w:p>
      <w:pPr>
        <w:spacing w:after="0" w:line="188" w:lineRule="exact"/>
        <w:rPr>
          <w:sz w:val="20"/>
          <w:szCs w:val="20"/>
          <w:color w:val="auto"/>
        </w:rPr>
      </w:pPr>
    </w:p>
    <w:p>
      <w:pPr>
        <w:ind w:left="880" w:hanging="315"/>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participating in Committee meetings;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providing competitive market compensation data for executive positions;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conducting periodic reviews of elements of compensation;</w:t>
      </w:r>
    </w:p>
    <w:p>
      <w:pPr>
        <w:spacing w:after="0" w:line="73" w:lineRule="exact"/>
        <w:rPr>
          <w:rFonts w:ascii="Arial" w:cs="Arial" w:eastAsia="Arial" w:hAnsi="Arial"/>
          <w:sz w:val="17"/>
          <w:szCs w:val="17"/>
          <w:color w:val="auto"/>
        </w:rPr>
      </w:pPr>
    </w:p>
    <w:p>
      <w:pPr>
        <w:ind w:left="880" w:right="420" w:hanging="315"/>
        <w:spacing w:after="0" w:line="241"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analyzing “best practices” and providing advice about design of our annual and long-term incentive plans, including selecting performance metrics;</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advising on the composition of our peer groups for benchmarking pay and performance;</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advising on compensation matters related to the Spin-off;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updating the Committee on executive compensation trends, issues and regulatory developments.</w:t>
      </w:r>
    </w:p>
    <w:p>
      <w:pPr>
        <w:spacing w:after="0" w:line="150" w:lineRule="exact"/>
        <w:rPr>
          <w:sz w:val="20"/>
          <w:szCs w:val="20"/>
          <w:color w:val="auto"/>
        </w:rPr>
      </w:pPr>
    </w:p>
    <w:p>
      <w:pPr>
        <w:ind w:right="540"/>
        <w:spacing w:after="0" w:line="241" w:lineRule="auto"/>
        <w:rPr>
          <w:sz w:val="20"/>
          <w:szCs w:val="20"/>
          <w:color w:val="auto"/>
        </w:rPr>
      </w:pPr>
      <w:r>
        <w:rPr>
          <w:rFonts w:ascii="Arial" w:cs="Arial" w:eastAsia="Arial" w:hAnsi="Arial"/>
          <w:sz w:val="17"/>
          <w:szCs w:val="17"/>
          <w:color w:val="auto"/>
        </w:rPr>
        <w:t>The Committee believes that its consultant should be able to advise the Committee independent of management’s influence. As discussed above, in September 2009, after an extensive selection and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43"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interview process, the Committee retained Compensation Advisory Partners as its compensation consultant. The Committee believed that it was in the best interests of the Committee and Kraft Foods to engage a compensation consulting firm that provides no other services to Kraft Foods. For the year ended December 31, 2011, Compensation Advisory Partners provided no services to Kraft Foods other than executive and director compensation consulting services to the Committee.</w:t>
      </w:r>
    </w:p>
    <w:p>
      <w:pPr>
        <w:spacing w:after="0" w:line="146"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At least annually, the Committee reviews the types of advice and services provided by Compensation Advisory Partners and the fees charged for those services. The consultant reports directly to the Committee on all executive and director compensation matters; regularly meets separately with the Committee outside the presence of management; and, speaks separately with the Committee chair and other Committee members between meetings, as necessary or desired.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Analysis of Risk in the Compensation Architecture</w:t>
      </w:r>
    </w:p>
    <w:p>
      <w:pPr>
        <w:spacing w:after="0" w:line="15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2011, the Human Resources and Compensation Committee evaluated the current risk profile of our executive and broad-based compensation programs. In its evaluation, the Committee reviewed our executive compensation structure to determine whether our compensation policies and practices encourage our executive officers or employees to take unnecessary or excessive risks and whether these policies and practices properly mitigate risk. As described below under “Compensation Discussion and Analysis,” our compensation structure is designed to incentivize executives and employees to achieve company financial and strategic goals as well as individual performance goals that promote long-term shareholder returns. The compensation architecture balances this design with multiple elements intended to discourage excessive risk-taking by executives and employees to obtain short-term benefits that may be harmful to Kraft Foods and our shareholders in the long term. The Committee identified numerous safeguards that effectively manage or mitigate risk, including:</w:t>
      </w:r>
    </w:p>
    <w:p>
      <w:pPr>
        <w:spacing w:after="0" w:line="171" w:lineRule="exact"/>
        <w:rPr>
          <w:sz w:val="20"/>
          <w:szCs w:val="20"/>
          <w:color w:val="auto"/>
        </w:rPr>
      </w:pPr>
    </w:p>
    <w:p>
      <w:pPr>
        <w:ind w:left="880" w:right="260" w:hanging="315"/>
        <w:spacing w:after="0" w:line="249"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Corporate and Business Unit Weighting</w:t>
      </w:r>
      <w:r>
        <w:rPr>
          <w:rFonts w:ascii="Arial" w:cs="Arial" w:eastAsia="Arial" w:hAnsi="Arial"/>
          <w:sz w:val="17"/>
          <w:szCs w:val="17"/>
          <w:color w:val="auto"/>
        </w:rPr>
        <w:t>. The balance of corporate and business unit weighting in incentive plans encourages participants to</w:t>
      </w:r>
      <w:r>
        <w:rPr>
          <w:rFonts w:ascii="Arial" w:cs="Arial" w:eastAsia="Arial" w:hAnsi="Arial"/>
          <w:sz w:val="17"/>
          <w:szCs w:val="17"/>
          <w:i w:val="1"/>
          <w:iCs w:val="1"/>
          <w:color w:val="auto"/>
        </w:rPr>
        <w:t xml:space="preserve"> </w:t>
      </w:r>
      <w:r>
        <w:rPr>
          <w:rFonts w:ascii="Arial" w:cs="Arial" w:eastAsia="Arial" w:hAnsi="Arial"/>
          <w:sz w:val="17"/>
          <w:szCs w:val="17"/>
          <w:color w:val="auto"/>
        </w:rPr>
        <w:t>focus on overall corporate performance as well as business unit performance in order to prevent actions that may improve business unit performance and maximize awards but harm our overall health.</w:t>
      </w:r>
    </w:p>
    <w:p>
      <w:pPr>
        <w:spacing w:after="0" w:line="43" w:lineRule="exact"/>
        <w:rPr>
          <w:rFonts w:ascii="Arial" w:cs="Arial" w:eastAsia="Arial" w:hAnsi="Arial"/>
          <w:sz w:val="17"/>
          <w:szCs w:val="17"/>
          <w:color w:val="auto"/>
        </w:rPr>
      </w:pPr>
    </w:p>
    <w:p>
      <w:pPr>
        <w:ind w:left="880" w:right="140" w:hanging="315"/>
        <w:spacing w:after="0" w:line="272" w:lineRule="auto"/>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Short-Term/Long-Term Incentive Mix</w:t>
      </w:r>
      <w:r>
        <w:rPr>
          <w:rFonts w:ascii="Arial" w:cs="Arial" w:eastAsia="Arial" w:hAnsi="Arial"/>
          <w:sz w:val="16"/>
          <w:szCs w:val="16"/>
          <w:color w:val="auto"/>
        </w:rPr>
        <w:t>. The balanced mix between short-term and long-term incentives discourages executives and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from maximizing short-term performance at the expense of long-term performance. Our executive compensation is heavily weighted toward long-term incentive compensation to encourage sustainable shareholder value and ensure accountability for long-term results.</w:t>
      </w:r>
    </w:p>
    <w:p>
      <w:pPr>
        <w:spacing w:after="0" w:line="26" w:lineRule="exact"/>
        <w:rPr>
          <w:rFonts w:ascii="Arial" w:cs="Arial" w:eastAsia="Arial" w:hAnsi="Arial"/>
          <w:sz w:val="16"/>
          <w:szCs w:val="16"/>
          <w:color w:val="auto"/>
        </w:rPr>
      </w:pPr>
    </w:p>
    <w:p>
      <w:pPr>
        <w:ind w:left="880" w:right="120" w:hanging="315"/>
        <w:spacing w:after="0" w:line="263"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Award Caps</w:t>
      </w:r>
      <w:r>
        <w:rPr>
          <w:rFonts w:ascii="Arial" w:cs="Arial" w:eastAsia="Arial" w:hAnsi="Arial"/>
          <w:sz w:val="17"/>
          <w:szCs w:val="17"/>
          <w:color w:val="auto"/>
        </w:rPr>
        <w:t>. Our compensation plans provide for a limit on annual incentive awards to discourage short-term actions that may harm our long-term interests.</w:t>
      </w:r>
    </w:p>
    <w:p>
      <w:pPr>
        <w:spacing w:after="0" w:line="32" w:lineRule="exact"/>
        <w:rPr>
          <w:rFonts w:ascii="Arial" w:cs="Arial" w:eastAsia="Arial" w:hAnsi="Arial"/>
          <w:sz w:val="17"/>
          <w:szCs w:val="17"/>
          <w:color w:val="auto"/>
        </w:rPr>
      </w:pPr>
    </w:p>
    <w:p>
      <w:pPr>
        <w:ind w:left="880" w:right="20" w:hanging="315"/>
        <w:spacing w:after="0" w:line="249"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Multiple Performance Measures</w:t>
      </w:r>
      <w:r>
        <w:rPr>
          <w:rFonts w:ascii="Arial" w:cs="Arial" w:eastAsia="Arial" w:hAnsi="Arial"/>
          <w:sz w:val="17"/>
          <w:szCs w:val="17"/>
          <w:color w:val="auto"/>
        </w:rPr>
        <w:t>. Our incentive plans use multiple performance measures to discourage participants from focusing on</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 of one performance measure at the expense of another. Our incentive plans also include individual performance criteria to ensure that goals do not favor achievement without regard for risks taken.</w:t>
      </w:r>
    </w:p>
    <w:p>
      <w:pPr>
        <w:spacing w:after="0" w:line="43" w:lineRule="exact"/>
        <w:rPr>
          <w:rFonts w:ascii="Arial" w:cs="Arial" w:eastAsia="Arial" w:hAnsi="Arial"/>
          <w:sz w:val="17"/>
          <w:szCs w:val="17"/>
          <w:color w:val="auto"/>
        </w:rPr>
      </w:pPr>
    </w:p>
    <w:p>
      <w:pPr>
        <w:ind w:left="880" w:hanging="315"/>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Committee Discretion</w:t>
      </w:r>
      <w:r>
        <w:rPr>
          <w:rFonts w:ascii="Arial" w:cs="Arial" w:eastAsia="Arial" w:hAnsi="Arial"/>
          <w:sz w:val="17"/>
          <w:szCs w:val="17"/>
          <w:color w:val="auto"/>
        </w:rPr>
        <w:t>. The Committee has discretion to reduce incentive awards based on unforeseen or unintended consequences.</w:t>
      </w:r>
    </w:p>
    <w:p>
      <w:pPr>
        <w:spacing w:after="0" w:line="73" w:lineRule="exact"/>
        <w:rPr>
          <w:rFonts w:ascii="Arial" w:cs="Arial" w:eastAsia="Arial" w:hAnsi="Arial"/>
          <w:sz w:val="17"/>
          <w:szCs w:val="17"/>
          <w:color w:val="auto"/>
        </w:rPr>
      </w:pPr>
    </w:p>
    <w:p>
      <w:pPr>
        <w:ind w:left="880" w:right="300" w:hanging="315"/>
        <w:spacing w:after="0" w:line="249"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Long-Term Incentive Mix</w:t>
      </w:r>
      <w:r>
        <w:rPr>
          <w:rFonts w:ascii="Arial" w:cs="Arial" w:eastAsia="Arial" w:hAnsi="Arial"/>
          <w:sz w:val="17"/>
          <w:szCs w:val="17"/>
          <w:color w:val="auto"/>
        </w:rPr>
        <w:t>. We use a portfolio of long-term incentives, which are all stock-based, to motivate executives to achieve long-term</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goals and top-tier performance results. Multi-year vesting features and multi-year performance cycles of long-term incentive compensation promote sustainable shareholder value creation and long-term growth as well as encourage retention.</w:t>
      </w:r>
    </w:p>
    <w:p>
      <w:pPr>
        <w:spacing w:after="0" w:line="43" w:lineRule="exact"/>
        <w:rPr>
          <w:rFonts w:ascii="Arial" w:cs="Arial" w:eastAsia="Arial" w:hAnsi="Arial"/>
          <w:sz w:val="17"/>
          <w:szCs w:val="17"/>
          <w:color w:val="auto"/>
        </w:rPr>
      </w:pPr>
    </w:p>
    <w:p>
      <w:pPr>
        <w:ind w:left="880" w:right="80" w:hanging="315"/>
        <w:spacing w:after="0" w:line="249" w:lineRule="auto"/>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Stock Ownership Guidelines and Holding Requirements</w:t>
      </w:r>
      <w:r>
        <w:rPr>
          <w:rFonts w:ascii="Arial" w:cs="Arial" w:eastAsia="Arial" w:hAnsi="Arial"/>
          <w:sz w:val="17"/>
          <w:szCs w:val="17"/>
          <w:color w:val="auto"/>
        </w:rPr>
        <w:t>. We use meaningful stock ownership guidelines that are higher than those of our peer</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and stock holding requirements to align our executives’ interests with our shareholders’ interests and ultimately focus our executives on attaining sustainable long-term shareholder returns.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443" w:right="2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80" w:right="260" w:hanging="315"/>
        <w:spacing w:after="0" w:line="249"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Clawback and Anti-Hedging Policies</w:t>
      </w:r>
      <w:r>
        <w:rPr>
          <w:rFonts w:ascii="Arial" w:cs="Arial" w:eastAsia="Arial" w:hAnsi="Arial"/>
          <w:sz w:val="17"/>
          <w:szCs w:val="17"/>
          <w:color w:val="auto"/>
        </w:rPr>
        <w:t>. Our clawback policy allows Kraft Foods to recapture any incentive compensation paid in the event of a</w:t>
      </w:r>
      <w:r>
        <w:rPr>
          <w:rFonts w:ascii="Arial" w:cs="Arial" w:eastAsia="Arial" w:hAnsi="Arial"/>
          <w:sz w:val="17"/>
          <w:szCs w:val="17"/>
          <w:i w:val="1"/>
          <w:iCs w:val="1"/>
          <w:color w:val="auto"/>
        </w:rPr>
        <w:t xml:space="preserve"> </w:t>
      </w:r>
      <w:r>
        <w:rPr>
          <w:rFonts w:ascii="Arial" w:cs="Arial" w:eastAsia="Arial" w:hAnsi="Arial"/>
          <w:sz w:val="17"/>
          <w:szCs w:val="17"/>
          <w:color w:val="auto"/>
        </w:rPr>
        <w:t>restatement of our financial statements, which discourages inappropriate risk-taking behavior. Our anti-hedging policies further align our executives’ and employees’ interests with those of our shareholders.</w:t>
      </w:r>
    </w:p>
    <w:p>
      <w:pPr>
        <w:spacing w:after="0" w:line="43" w:lineRule="exact"/>
        <w:rPr>
          <w:rFonts w:ascii="Arial" w:cs="Arial" w:eastAsia="Arial" w:hAnsi="Arial"/>
          <w:sz w:val="17"/>
          <w:szCs w:val="17"/>
          <w:color w:val="auto"/>
        </w:rPr>
      </w:pPr>
    </w:p>
    <w:p>
      <w:pPr>
        <w:ind w:left="880" w:hanging="315"/>
        <w:spacing w:after="0" w:line="245"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Ethics and Compliance Programs</w:t>
      </w:r>
      <w:r>
        <w:rPr>
          <w:rFonts w:ascii="Arial" w:cs="Arial" w:eastAsia="Arial" w:hAnsi="Arial"/>
          <w:sz w:val="17"/>
          <w:szCs w:val="17"/>
          <w:color w:val="auto"/>
        </w:rPr>
        <w:t>. The Audit Committee oversees our ethics and compliance programs that educate executives and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on appropriate behavior and the consequences of inappropriate actions. These programs use innovative and effective approaches to promote compliance and integrity and encourage employees and others to report concerns by providing multiple reporting avenues with a no retaliation policy.</w:t>
      </w:r>
    </w:p>
    <w:p>
      <w:pPr>
        <w:spacing w:after="0" w:line="46" w:lineRule="exact"/>
        <w:rPr>
          <w:rFonts w:ascii="Arial" w:cs="Arial" w:eastAsia="Arial" w:hAnsi="Arial"/>
          <w:sz w:val="17"/>
          <w:szCs w:val="17"/>
          <w:color w:val="auto"/>
        </w:rPr>
      </w:pPr>
    </w:p>
    <w:p>
      <w:pPr>
        <w:ind w:left="880" w:right="260" w:hanging="315"/>
        <w:spacing w:after="0" w:line="245" w:lineRule="auto"/>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Governance Practices</w:t>
      </w:r>
      <w:r>
        <w:rPr>
          <w:rFonts w:ascii="Arial" w:cs="Arial" w:eastAsia="Arial" w:hAnsi="Arial"/>
          <w:sz w:val="17"/>
          <w:szCs w:val="17"/>
          <w:color w:val="auto"/>
        </w:rPr>
        <w:t>. We have implemented good pay and governance practices that are critical to driving sustained shareholder value,</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targeting pay at the median of our peer group, benchmarking compensation, using quantitative and qualitative results to determine incentive awards, engaging an independent compensation consultant, communicating with our shareholders to understand their views and concerns and conducting annual risk assessments.</w:t>
      </w:r>
    </w:p>
    <w:p>
      <w:pPr>
        <w:spacing w:after="0" w:line="141"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The Committee also analyzed our overall enterprise risks and whether our compensation programs could impact individual behavior so as to exacerbate these enterprise risks. The Human Resources and Compensation Committee collaborated with the Audit Committee in this analysis.</w:t>
      </w:r>
    </w:p>
    <w:p>
      <w:pPr>
        <w:spacing w:after="0" w:line="145"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In addition to the Committee’s evaluation, Compensation Advisory Partners also reviewed our executive and broad-based incentive plans and noted similar terms in our incentive plans that mitigate risk.</w:t>
      </w:r>
    </w:p>
    <w:p>
      <w:pPr>
        <w:spacing w:after="0" w:line="145" w:lineRule="exact"/>
        <w:rPr>
          <w:sz w:val="20"/>
          <w:szCs w:val="20"/>
          <w:color w:val="auto"/>
        </w:rPr>
      </w:pPr>
    </w:p>
    <w:p>
      <w:pPr>
        <w:ind w:right="440"/>
        <w:spacing w:after="0" w:line="241" w:lineRule="auto"/>
        <w:rPr>
          <w:sz w:val="20"/>
          <w:szCs w:val="20"/>
          <w:color w:val="auto"/>
        </w:rPr>
      </w:pPr>
      <w:r>
        <w:rPr>
          <w:rFonts w:ascii="Arial" w:cs="Arial" w:eastAsia="Arial" w:hAnsi="Arial"/>
          <w:sz w:val="17"/>
          <w:szCs w:val="17"/>
          <w:color w:val="auto"/>
        </w:rPr>
        <w:t>In light of these analyses, the Human Resources and Compensation Committee believes that our compensation programs do not create risks that are reasonably likely to have a material adverse effect on Kraft Foods.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282815" cy="2067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2815" cy="2067560"/>
                    </a:xfrm>
                    <a:prstGeom prst="rect">
                      <a:avLst/>
                    </a:prstGeom>
                    <a:noFill/>
                  </pic:spPr>
                </pic:pic>
              </a:graphicData>
            </a:graphic>
          </wp:anchor>
        </w:drawing>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auto"/>
        </w:rPr>
        <w:t>Human Resources and Compensation Committee Report for the Year Ended December 31, 2011</w:t>
      </w:r>
    </w:p>
    <w:p>
      <w:pPr>
        <w:spacing w:after="0" w:line="150" w:lineRule="exact"/>
        <w:rPr>
          <w:sz w:val="20"/>
          <w:szCs w:val="20"/>
          <w:color w:val="auto"/>
        </w:rPr>
      </w:pPr>
    </w:p>
    <w:p>
      <w:pPr>
        <w:ind w:left="240" w:right="300"/>
        <w:spacing w:after="0" w:line="237" w:lineRule="auto"/>
        <w:rPr>
          <w:sz w:val="20"/>
          <w:szCs w:val="20"/>
          <w:color w:val="auto"/>
        </w:rPr>
      </w:pPr>
      <w:r>
        <w:rPr>
          <w:rFonts w:ascii="Arial" w:cs="Arial" w:eastAsia="Arial" w:hAnsi="Arial"/>
          <w:sz w:val="17"/>
          <w:szCs w:val="17"/>
          <w:color w:val="auto"/>
        </w:rPr>
        <w:t>The Human Resources and Compensation Committee oversees our compensation programs on behalf of the Board. In fulfilling its oversight responsibilities, the Committee reviewed and discussed with management the Compensation Discussion and Analysis included in this Proxy Statement. In reliance on that review and discussion, the Committee recommended to the Board that the Compensation Discussion and Analysis be included in our Proxy Statement to be filed with the SEC in connection with our Annual Meeting and incorporated by reference in our Annual Report on Form 10-K for the year ended December 31, 2011, which was filed with the SEC on February 27, 2012.</w:t>
      </w:r>
    </w:p>
    <w:p>
      <w:pPr>
        <w:spacing w:after="0" w:line="205"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Human Resources and Compensation Committee:</w:t>
      </w:r>
    </w:p>
    <w:p>
      <w:pPr>
        <w:spacing w:after="0" w:line="13" w:lineRule="exact"/>
        <w:rPr>
          <w:sz w:val="20"/>
          <w:szCs w:val="20"/>
          <w:color w:val="auto"/>
        </w:rPr>
      </w:pPr>
    </w:p>
    <w:p>
      <w:pPr>
        <w:ind w:left="940"/>
        <w:spacing w:after="0"/>
        <w:rPr>
          <w:sz w:val="20"/>
          <w:szCs w:val="20"/>
          <w:color w:val="auto"/>
        </w:rPr>
      </w:pPr>
      <w:r>
        <w:rPr>
          <w:rFonts w:ascii="Arial" w:cs="Arial" w:eastAsia="Arial" w:hAnsi="Arial"/>
          <w:sz w:val="17"/>
          <w:szCs w:val="17"/>
          <w:color w:val="auto"/>
        </w:rPr>
        <w:t>Ajaypal S. Banga, Chair</w:t>
      </w:r>
    </w:p>
    <w:p>
      <w:pPr>
        <w:ind w:left="940"/>
        <w:spacing w:after="0" w:line="235" w:lineRule="auto"/>
        <w:rPr>
          <w:sz w:val="20"/>
          <w:szCs w:val="20"/>
          <w:color w:val="auto"/>
        </w:rPr>
      </w:pPr>
      <w:r>
        <w:rPr>
          <w:rFonts w:ascii="Arial" w:cs="Arial" w:eastAsia="Arial" w:hAnsi="Arial"/>
          <w:sz w:val="17"/>
          <w:szCs w:val="17"/>
          <w:color w:val="auto"/>
        </w:rPr>
        <w:t>Lois D. Juliber</w:t>
      </w:r>
    </w:p>
    <w:p>
      <w:pPr>
        <w:ind w:left="940"/>
        <w:spacing w:after="0" w:line="236" w:lineRule="auto"/>
        <w:rPr>
          <w:sz w:val="20"/>
          <w:szCs w:val="20"/>
          <w:color w:val="auto"/>
        </w:rPr>
      </w:pPr>
      <w:r>
        <w:rPr>
          <w:rFonts w:ascii="Arial" w:cs="Arial" w:eastAsia="Arial" w:hAnsi="Arial"/>
          <w:sz w:val="17"/>
          <w:szCs w:val="17"/>
          <w:color w:val="auto"/>
        </w:rPr>
        <w:t>Mark D. Ketchum*</w:t>
      </w:r>
    </w:p>
    <w:p>
      <w:pPr>
        <w:ind w:left="940"/>
        <w:spacing w:after="0" w:line="235" w:lineRule="auto"/>
        <w:rPr>
          <w:sz w:val="20"/>
          <w:szCs w:val="20"/>
          <w:color w:val="auto"/>
        </w:rPr>
      </w:pPr>
      <w:r>
        <w:rPr>
          <w:rFonts w:ascii="Arial" w:cs="Arial" w:eastAsia="Arial" w:hAnsi="Arial"/>
          <w:sz w:val="17"/>
          <w:szCs w:val="17"/>
          <w:color w:val="auto"/>
        </w:rPr>
        <w:t>John C. Pope</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Jean-François M.L. van Boxmeer</w:t>
      </w:r>
    </w:p>
    <w:p>
      <w:pPr>
        <w:spacing w:after="0" w:line="73" w:lineRule="exact"/>
        <w:rPr>
          <w:sz w:val="20"/>
          <w:szCs w:val="20"/>
          <w:color w:val="auto"/>
        </w:rPr>
      </w:pPr>
    </w:p>
    <w:p>
      <w:pPr>
        <w:ind w:left="1140" w:right="180" w:hanging="212"/>
        <w:spacing w:after="0" w:line="241" w:lineRule="auto"/>
        <w:tabs>
          <w:tab w:leader="none" w:pos="1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Mr. Ketchum served as a member of the Committee through May 23, 2011 and participated in part of the compensation actions described under “Compensation Discussion and Analysis” included in this Proxy Statement.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443" w:right="2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23"/>
          <w:szCs w:val="23"/>
          <w:b w:val="1"/>
          <w:bCs w:val="1"/>
          <w:color w:val="auto"/>
        </w:rPr>
        <w:t>COMPENSATION OF NON-EMPLOYEE DIRECTORS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Directors who are full-time Kraft Foods employees (currently only Irene Rosenfeld) receive no compensation for their services as directors.</w:t>
      </w:r>
    </w:p>
    <w:p>
      <w:pPr>
        <w:spacing w:after="0" w:line="150"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We strive to provide competitive compensation to attract and retain highly qualified non-employee directors who will best represent our shareholders’ interests. With its compensation consultant’s assistance, the Human Resources and Compensation Committee periodically benchmarks non-employee director compensation against a compensation peer group and general industry data, considers the appropriateness of the form and amount of non-employee director compensation and makes recommendations to the Board concerning such compensation.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cash and equity compensation elements in place during 2011 for our non-employee directors.</w:t>
      </w:r>
    </w:p>
    <w:p>
      <w:pPr>
        <w:spacing w:after="0" w:line="169" w:lineRule="exact"/>
        <w:rPr>
          <w:sz w:val="20"/>
          <w:szCs w:val="20"/>
          <w:color w:val="auto"/>
        </w:rPr>
      </w:pPr>
    </w:p>
    <w:tbl>
      <w:tblPr>
        <w:tblLayout w:type="fixed"/>
        <w:tblInd w:w="2860" w:type="dxa"/>
        <w:tblCellMar>
          <w:top w:w="0" w:type="dxa"/>
          <w:left w:w="0" w:type="dxa"/>
          <w:bottom w:w="0" w:type="dxa"/>
          <w:right w:w="0" w:type="dxa"/>
        </w:tblCellMar>
      </w:tblPr>
      <w:tr>
        <w:trPr>
          <w:trHeight w:val="170"/>
        </w:trPr>
        <w:tc>
          <w:tcPr>
            <w:tcW w:w="4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Compensation Elements</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5"/>
        </w:trPr>
        <w:tc>
          <w:tcPr>
            <w:tcW w:w="4400" w:type="dxa"/>
            <w:vAlign w:val="bottom"/>
          </w:tcPr>
          <w:p>
            <w:pPr>
              <w:spacing w:after="0" w:line="185" w:lineRule="exact"/>
              <w:rPr>
                <w:sz w:val="20"/>
                <w:szCs w:val="20"/>
                <w:color w:val="auto"/>
              </w:rPr>
            </w:pPr>
            <w:r>
              <w:rPr>
                <w:rFonts w:ascii="Arial" w:cs="Arial" w:eastAsia="Arial" w:hAnsi="Arial"/>
                <w:sz w:val="17"/>
                <w:szCs w:val="17"/>
                <w:color w:val="auto"/>
              </w:rPr>
              <w:t>Annual Board Retainer</w:t>
            </w:r>
          </w:p>
        </w:tc>
        <w:tc>
          <w:tcPr>
            <w:tcW w:w="56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c>
          <w:tcPr>
            <w:tcW w:w="760" w:type="dxa"/>
            <w:vAlign w:val="bottom"/>
          </w:tcPr>
          <w:p>
            <w:pPr>
              <w:jc w:val="right"/>
              <w:ind w:right="37"/>
              <w:spacing w:after="0" w:line="185" w:lineRule="exact"/>
              <w:rPr>
                <w:sz w:val="20"/>
                <w:szCs w:val="20"/>
                <w:color w:val="auto"/>
              </w:rPr>
            </w:pPr>
            <w:r>
              <w:rPr>
                <w:rFonts w:ascii="Arial" w:cs="Arial" w:eastAsia="Arial" w:hAnsi="Arial"/>
                <w:sz w:val="17"/>
                <w:szCs w:val="17"/>
                <w:color w:val="auto"/>
              </w:rPr>
              <w:t>110,000</w:t>
            </w:r>
          </w:p>
        </w:tc>
      </w:tr>
      <w:tr>
        <w:trPr>
          <w:trHeight w:val="192"/>
        </w:trPr>
        <w:tc>
          <w:tcPr>
            <w:tcW w:w="440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Annual Committee Chair Retainer</w:t>
            </w:r>
          </w:p>
        </w:tc>
        <w:tc>
          <w:tcPr>
            <w:tcW w:w="5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shd w:val="clear" w:color="auto" w:fill="D8D8D8"/>
          </w:tcPr>
          <w:p>
            <w:pPr>
              <w:jc w:val="right"/>
              <w:ind w:right="37"/>
              <w:spacing w:after="0" w:line="192" w:lineRule="exact"/>
              <w:rPr>
                <w:sz w:val="20"/>
                <w:szCs w:val="20"/>
                <w:color w:val="auto"/>
              </w:rPr>
            </w:pPr>
            <w:r>
              <w:rPr>
                <w:rFonts w:ascii="Arial" w:cs="Arial" w:eastAsia="Arial" w:hAnsi="Arial"/>
                <w:sz w:val="17"/>
                <w:szCs w:val="17"/>
                <w:color w:val="auto"/>
              </w:rPr>
              <w:t>10,000</w:t>
            </w:r>
          </w:p>
        </w:tc>
      </w:tr>
      <w:tr>
        <w:trPr>
          <w:trHeight w:val="192"/>
        </w:trPr>
        <w:tc>
          <w:tcPr>
            <w:tcW w:w="4400" w:type="dxa"/>
            <w:vAlign w:val="bottom"/>
          </w:tcPr>
          <w:p>
            <w:pPr>
              <w:spacing w:after="0" w:line="192" w:lineRule="exact"/>
              <w:rPr>
                <w:sz w:val="20"/>
                <w:szCs w:val="20"/>
                <w:color w:val="auto"/>
              </w:rPr>
            </w:pPr>
            <w:r>
              <w:rPr>
                <w:rFonts w:ascii="Arial" w:cs="Arial" w:eastAsia="Arial" w:hAnsi="Arial"/>
                <w:sz w:val="17"/>
                <w:szCs w:val="17"/>
                <w:color w:val="auto"/>
              </w:rPr>
              <w:t>Annual Lead Director Retainer</w:t>
            </w:r>
          </w:p>
        </w:tc>
        <w:tc>
          <w:tcPr>
            <w:tcW w:w="560" w:type="dxa"/>
            <w:vAlign w:val="bottom"/>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tcPr>
          <w:p>
            <w:pPr>
              <w:jc w:val="right"/>
              <w:ind w:right="37"/>
              <w:spacing w:after="0" w:line="192" w:lineRule="exact"/>
              <w:rPr>
                <w:sz w:val="20"/>
                <w:szCs w:val="20"/>
                <w:color w:val="auto"/>
              </w:rPr>
            </w:pPr>
            <w:r>
              <w:rPr>
                <w:rFonts w:ascii="Arial" w:cs="Arial" w:eastAsia="Arial" w:hAnsi="Arial"/>
                <w:sz w:val="17"/>
                <w:szCs w:val="17"/>
                <w:color w:val="auto"/>
              </w:rPr>
              <w:t>30,000</w:t>
            </w:r>
          </w:p>
        </w:tc>
      </w:tr>
      <w:tr>
        <w:trPr>
          <w:trHeight w:val="192"/>
        </w:trPr>
        <w:tc>
          <w:tcPr>
            <w:tcW w:w="440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Annual Stock Grant Value</w:t>
            </w:r>
            <w:r>
              <w:rPr>
                <w:rFonts w:ascii="Arial" w:cs="Arial" w:eastAsia="Arial" w:hAnsi="Arial"/>
                <w:sz w:val="10"/>
                <w:szCs w:val="10"/>
                <w:color w:val="auto"/>
              </w:rPr>
              <w:t>(1)</w:t>
            </w:r>
          </w:p>
        </w:tc>
        <w:tc>
          <w:tcPr>
            <w:tcW w:w="5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w:t>
            </w:r>
          </w:p>
        </w:tc>
        <w:tc>
          <w:tcPr>
            <w:tcW w:w="760" w:type="dxa"/>
            <w:vAlign w:val="bottom"/>
            <w:shd w:val="clear" w:color="auto" w:fill="D8D8D8"/>
          </w:tcPr>
          <w:p>
            <w:pPr>
              <w:jc w:val="right"/>
              <w:ind w:right="37"/>
              <w:spacing w:after="0" w:line="192" w:lineRule="exact"/>
              <w:rPr>
                <w:sz w:val="20"/>
                <w:szCs w:val="20"/>
                <w:color w:val="auto"/>
              </w:rPr>
            </w:pPr>
            <w:r>
              <w:rPr>
                <w:rFonts w:ascii="Arial" w:cs="Arial" w:eastAsia="Arial" w:hAnsi="Arial"/>
                <w:sz w:val="17"/>
                <w:szCs w:val="17"/>
                <w:color w:val="auto"/>
              </w:rPr>
              <w:t>125,000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64770</wp:posOffset>
            </wp:positionV>
            <wp:extent cx="7226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4" w:lineRule="exact"/>
        <w:rPr>
          <w:sz w:val="20"/>
          <w:szCs w:val="20"/>
          <w:color w:val="auto"/>
        </w:rPr>
      </w:pPr>
    </w:p>
    <w:p>
      <w:pPr>
        <w:jc w:val="both"/>
        <w:ind w:left="1480" w:right="860" w:hanging="569"/>
        <w:spacing w:after="0" w:line="239" w:lineRule="auto"/>
        <w:tabs>
          <w:tab w:leader="none" w:pos="14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2011, non-employee directors were awarded deferred shares that were immediately vested, but receipt of the shares is deferred until six months after the non-employee director no longer serves on the Board. Dividends on deferred stock are reinvested in deferred shares until the distribution date.</w:t>
      </w:r>
    </w:p>
    <w:p>
      <w:pPr>
        <w:spacing w:after="0" w:line="145"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We pay the non-employee directors their cash retainers quarterly. Non-employee directors can defer 25%, 50%, 75% or 100% of their cash retainers into accounts that mirror the funds in the Kraft Foods Inc. Thrift 401(k) Plan pursuant to the Kraft Foods Inc. 2001 Compensation Plan for Non-Employee Directors. Non-employee directors also receive an annual stock award that is granted at the Board meeting immediately following our annual meeting of shareholders. At the non-employee director’s election, he or she may receive the annual stock award in the form of (i) unrestricted shares of our common stock, subject to a holding period ending six months after the director no longer serves on the Board or (ii) vested deferred shares, delivery of which is deferred until six months after he or she no longer serves on the Board.</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To further align our non-employee directors’ and shareholders’ interests, we require that they hold shares of our common stock in an amount equal to five times the annual Board retainer (equivalent to $550,000) within five years of becoming a director. If a non-employee director does not meet the stock ownership requirement within the timeline, the Lead Director will consider the director’s particular situation and may take any further action as he or she deems appropriate. As of March 1, 2012, all individuals who have served as our directors for five or more years satisfy the stock ownership requirement.</w:t>
      </w:r>
    </w:p>
    <w:p>
      <w:pPr>
        <w:spacing w:after="0" w:line="133" w:lineRule="exact"/>
        <w:rPr>
          <w:sz w:val="20"/>
          <w:szCs w:val="20"/>
          <w:color w:val="auto"/>
        </w:rPr>
      </w:pPr>
    </w:p>
    <w:p>
      <w:pPr>
        <w:ind w:right="420"/>
        <w:spacing w:after="0" w:line="241" w:lineRule="auto"/>
        <w:rPr>
          <w:sz w:val="20"/>
          <w:szCs w:val="20"/>
          <w:color w:val="auto"/>
        </w:rPr>
      </w:pPr>
      <w:r>
        <w:rPr>
          <w:rFonts w:ascii="Arial" w:cs="Arial" w:eastAsia="Arial" w:hAnsi="Arial"/>
          <w:sz w:val="17"/>
          <w:szCs w:val="17"/>
          <w:color w:val="auto"/>
        </w:rPr>
        <w:t>Non-employee directors may also participate in the Kraft Foods Foundation Matching Gift Program on the same terms as our employees. Under the program, the Kraft Foods Foundation matches up to $15,000 per director, per year, of contributions to 501(c)(3) non-profit organizations.</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60"/>
          </w:cols>
          <w:pgMar w:left="240" w:top="443" w:right="39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Non-Employee Director Compensation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7"/>
              </w:rPr>
              <w:t>Fees Earned or</w:t>
            </w: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rPr>
              <w:t>Paid in Cash</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All Other</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5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54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440" w:type="dxa"/>
            <w:vAlign w:val="bottom"/>
            <w:vMerge w:val="restart"/>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2"/>
          </w:tcPr>
          <w:p>
            <w:pPr>
              <w:ind w:left="20"/>
              <w:spacing w:after="0" w:line="141" w:lineRule="exact"/>
              <w:rPr>
                <w:sz w:val="20"/>
                <w:szCs w:val="20"/>
                <w:color w:val="auto"/>
              </w:rPr>
            </w:pPr>
            <w:r>
              <w:rPr>
                <w:rFonts w:ascii="Arial" w:cs="Arial" w:eastAsia="Arial" w:hAnsi="Arial"/>
                <w:sz w:val="13"/>
                <w:szCs w:val="13"/>
                <w:b w:val="1"/>
                <w:bCs w:val="1"/>
                <w:color w:val="auto"/>
              </w:rPr>
              <w:t>Stock Awards</w:t>
            </w:r>
          </w:p>
        </w:tc>
        <w:tc>
          <w:tcPr>
            <w:tcW w:w="1400" w:type="dxa"/>
            <w:vAlign w:val="bottom"/>
            <w:gridSpan w:val="2"/>
          </w:tcPr>
          <w:p>
            <w:pPr>
              <w:ind w:left="40"/>
              <w:spacing w:after="0" w:line="141" w:lineRule="exact"/>
              <w:rPr>
                <w:sz w:val="20"/>
                <w:szCs w:val="20"/>
                <w:color w:val="auto"/>
              </w:rPr>
            </w:pPr>
            <w:r>
              <w:rPr>
                <w:rFonts w:ascii="Arial" w:cs="Arial" w:eastAsia="Arial" w:hAnsi="Arial"/>
                <w:sz w:val="13"/>
                <w:szCs w:val="13"/>
                <w:b w:val="1"/>
                <w:bCs w:val="1"/>
                <w:color w:val="auto"/>
              </w:rPr>
              <w:t>Compensation</w:t>
            </w:r>
          </w:p>
        </w:tc>
        <w:tc>
          <w:tcPr>
            <w:tcW w:w="820" w:type="dxa"/>
            <w:vAlign w:val="bottom"/>
            <w:gridSpan w:val="2"/>
          </w:tcPr>
          <w:p>
            <w:pPr>
              <w:ind w:left="200"/>
              <w:spacing w:after="0" w:line="141"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7"/>
        </w:trPr>
        <w:tc>
          <w:tcPr>
            <w:tcW w:w="5480" w:type="dxa"/>
            <w:vAlign w:val="bottom"/>
            <w:tcBorders>
              <w:bottom w:val="single" w:sz="8" w:color="auto"/>
            </w:tcBorders>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4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44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($)(3)</w:t>
            </w:r>
          </w:p>
        </w:tc>
        <w:tc>
          <w:tcPr>
            <w:tcW w:w="440" w:type="dxa"/>
            <w:vAlign w:val="bottom"/>
          </w:tcPr>
          <w:p>
            <w:pPr>
              <w:spacing w:after="0"/>
              <w:rPr>
                <w:sz w:val="13"/>
                <w:szCs w:val="13"/>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920" w:type="dxa"/>
            <w:vAlign w:val="bottom"/>
            <w:gridSpan w:val="2"/>
          </w:tcPr>
          <w:p>
            <w:pPr>
              <w:spacing w:after="0" w:line="185" w:lineRule="exact"/>
              <w:rPr>
                <w:sz w:val="20"/>
                <w:szCs w:val="20"/>
                <w:color w:val="auto"/>
              </w:rPr>
            </w:pPr>
            <w:r>
              <w:rPr>
                <w:rFonts w:ascii="Arial" w:cs="Arial" w:eastAsia="Arial" w:hAnsi="Arial"/>
                <w:sz w:val="17"/>
                <w:szCs w:val="17"/>
                <w:color w:val="auto"/>
              </w:rPr>
              <w:t>Banga, Ajaypal</w:t>
            </w:r>
          </w:p>
        </w:tc>
        <w:tc>
          <w:tcPr>
            <w:tcW w:w="1000" w:type="dxa"/>
            <w:vAlign w:val="bottom"/>
          </w:tcPr>
          <w:p>
            <w:pPr>
              <w:jc w:val="right"/>
              <w:ind w:right="121"/>
              <w:spacing w:after="0" w:line="185" w:lineRule="exact"/>
              <w:rPr>
                <w:sz w:val="20"/>
                <w:szCs w:val="20"/>
                <w:color w:val="auto"/>
              </w:rPr>
            </w:pPr>
            <w:r>
              <w:rPr>
                <w:rFonts w:ascii="Arial" w:cs="Arial" w:eastAsia="Arial" w:hAnsi="Arial"/>
                <w:sz w:val="17"/>
                <w:szCs w:val="17"/>
                <w:color w:val="auto"/>
              </w:rPr>
              <w:t>120,000</w:t>
            </w:r>
          </w:p>
        </w:tc>
        <w:tc>
          <w:tcPr>
            <w:tcW w:w="440" w:type="dxa"/>
            <w:vAlign w:val="bottom"/>
          </w:tcPr>
          <w:p>
            <w:pPr>
              <w:spacing w:after="0"/>
              <w:rPr>
                <w:sz w:val="16"/>
                <w:szCs w:val="16"/>
                <w:color w:val="auto"/>
              </w:rPr>
            </w:pPr>
          </w:p>
        </w:tc>
        <w:tc>
          <w:tcPr>
            <w:tcW w:w="900" w:type="dxa"/>
            <w:vAlign w:val="bottom"/>
          </w:tcPr>
          <w:p>
            <w:pPr>
              <w:jc w:val="center"/>
              <w:spacing w:after="0" w:line="185" w:lineRule="exact"/>
              <w:rPr>
                <w:sz w:val="20"/>
                <w:szCs w:val="20"/>
                <w:color w:val="auto"/>
              </w:rPr>
            </w:pPr>
            <w:r>
              <w:rPr>
                <w:rFonts w:ascii="Arial" w:cs="Arial" w:eastAsia="Arial" w:hAnsi="Arial"/>
                <w:sz w:val="17"/>
                <w:szCs w:val="17"/>
                <w:color w:val="auto"/>
                <w:w w:val="97"/>
              </w:rPr>
              <w:t>125,049</w:t>
            </w:r>
          </w:p>
        </w:tc>
        <w:tc>
          <w:tcPr>
            <w:tcW w:w="440" w:type="dxa"/>
            <w:vAlign w:val="bottom"/>
          </w:tcPr>
          <w:p>
            <w:pPr>
              <w:spacing w:after="0"/>
              <w:rPr>
                <w:sz w:val="16"/>
                <w:szCs w:val="16"/>
                <w:color w:val="auto"/>
              </w:rPr>
            </w:pPr>
          </w:p>
        </w:tc>
        <w:tc>
          <w:tcPr>
            <w:tcW w:w="960" w:type="dxa"/>
            <w:vAlign w:val="bottom"/>
          </w:tcPr>
          <w:p>
            <w:pPr>
              <w:jc w:val="center"/>
              <w:spacing w:after="0" w:line="185" w:lineRule="exact"/>
              <w:rPr>
                <w:sz w:val="20"/>
                <w:szCs w:val="20"/>
                <w:color w:val="auto"/>
              </w:rPr>
            </w:pPr>
            <w:r>
              <w:rPr>
                <w:rFonts w:ascii="Arial" w:cs="Arial" w:eastAsia="Arial" w:hAnsi="Arial"/>
                <w:sz w:val="17"/>
                <w:szCs w:val="17"/>
                <w:color w:val="auto"/>
                <w:w w:val="99"/>
              </w:rPr>
              <w:t>20,000</w:t>
            </w:r>
          </w:p>
        </w:tc>
        <w:tc>
          <w:tcPr>
            <w:tcW w:w="440" w:type="dxa"/>
            <w:vAlign w:val="bottom"/>
          </w:tcPr>
          <w:p>
            <w:pPr>
              <w:spacing w:after="0"/>
              <w:rPr>
                <w:sz w:val="16"/>
                <w:szCs w:val="16"/>
                <w:color w:val="auto"/>
              </w:rPr>
            </w:pPr>
          </w:p>
        </w:tc>
        <w:tc>
          <w:tcPr>
            <w:tcW w:w="700" w:type="dxa"/>
            <w:vAlign w:val="bottom"/>
          </w:tcPr>
          <w:p>
            <w:pPr>
              <w:jc w:val="right"/>
              <w:spacing w:after="0" w:line="185" w:lineRule="exact"/>
              <w:rPr>
                <w:sz w:val="20"/>
                <w:szCs w:val="20"/>
                <w:color w:val="auto"/>
              </w:rPr>
            </w:pPr>
            <w:r>
              <w:rPr>
                <w:rFonts w:ascii="Arial" w:cs="Arial" w:eastAsia="Arial" w:hAnsi="Arial"/>
                <w:sz w:val="17"/>
                <w:szCs w:val="17"/>
                <w:color w:val="auto"/>
              </w:rPr>
              <w:t>265,049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Hart, Myra</w:t>
            </w:r>
          </w:p>
        </w:tc>
        <w:tc>
          <w:tcPr>
            <w:tcW w:w="1000" w:type="dxa"/>
            <w:vAlign w:val="bottom"/>
            <w:shd w:val="clear" w:color="auto" w:fill="D8D8D8"/>
          </w:tcPr>
          <w:p>
            <w:pPr>
              <w:jc w:val="right"/>
              <w:ind w:right="121"/>
              <w:spacing w:after="0" w:line="192" w:lineRule="exact"/>
              <w:rPr>
                <w:sz w:val="20"/>
                <w:szCs w:val="20"/>
                <w:color w:val="auto"/>
              </w:rPr>
            </w:pPr>
            <w:r>
              <w:rPr>
                <w:rFonts w:ascii="Arial" w:cs="Arial" w:eastAsia="Arial" w:hAnsi="Arial"/>
                <w:sz w:val="17"/>
                <w:szCs w:val="17"/>
                <w:color w:val="auto"/>
              </w:rPr>
              <w:t>120,000</w:t>
            </w:r>
          </w:p>
        </w:tc>
        <w:tc>
          <w:tcPr>
            <w:tcW w:w="440" w:type="dxa"/>
            <w:vAlign w:val="bottom"/>
            <w:shd w:val="clear" w:color="auto" w:fill="D8D8D8"/>
          </w:tcPr>
          <w:p>
            <w:pPr>
              <w:spacing w:after="0"/>
              <w:rPr>
                <w:sz w:val="16"/>
                <w:szCs w:val="16"/>
                <w:color w:val="auto"/>
              </w:rPr>
            </w:pPr>
          </w:p>
        </w:tc>
        <w:tc>
          <w:tcPr>
            <w:tcW w:w="9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7"/>
              </w:rPr>
              <w:t>125,049</w:t>
            </w:r>
          </w:p>
        </w:tc>
        <w:tc>
          <w:tcPr>
            <w:tcW w:w="440" w:type="dxa"/>
            <w:vAlign w:val="bottom"/>
            <w:shd w:val="clear" w:color="auto" w:fill="D8D8D8"/>
          </w:tcPr>
          <w:p>
            <w:pPr>
              <w:spacing w:after="0"/>
              <w:rPr>
                <w:sz w:val="16"/>
                <w:szCs w:val="16"/>
                <w:color w:val="auto"/>
              </w:rPr>
            </w:pPr>
          </w:p>
        </w:tc>
        <w:tc>
          <w:tcPr>
            <w:tcW w:w="96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9"/>
              </w:rPr>
              <w:t>30,000</w:t>
            </w:r>
          </w:p>
        </w:tc>
        <w:tc>
          <w:tcPr>
            <w:tcW w:w="440" w:type="dxa"/>
            <w:vAlign w:val="bottom"/>
            <w:shd w:val="clear" w:color="auto" w:fill="D8D8D8"/>
          </w:tcPr>
          <w:p>
            <w:pPr>
              <w:spacing w:after="0"/>
              <w:rPr>
                <w:sz w:val="16"/>
                <w:szCs w:val="16"/>
                <w:color w:val="auto"/>
              </w:rPr>
            </w:pPr>
          </w:p>
        </w:tc>
        <w:tc>
          <w:tcPr>
            <w:tcW w:w="7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275,049</w:t>
            </w:r>
          </w:p>
        </w:tc>
        <w:tc>
          <w:tcPr>
            <w:tcW w:w="12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gridSpan w:val="2"/>
          </w:tcPr>
          <w:p>
            <w:pPr>
              <w:spacing w:after="0" w:line="192" w:lineRule="exact"/>
              <w:rPr>
                <w:sz w:val="20"/>
                <w:szCs w:val="20"/>
                <w:color w:val="auto"/>
              </w:rPr>
            </w:pPr>
            <w:r>
              <w:rPr>
                <w:rFonts w:ascii="Arial" w:cs="Arial" w:eastAsia="Arial" w:hAnsi="Arial"/>
                <w:sz w:val="17"/>
                <w:szCs w:val="17"/>
                <w:color w:val="auto"/>
              </w:rPr>
              <w:t>Henry, Peter</w:t>
            </w:r>
            <w:r>
              <w:rPr>
                <w:rFonts w:ascii="Arial" w:cs="Arial" w:eastAsia="Arial" w:hAnsi="Arial"/>
                <w:sz w:val="10"/>
                <w:szCs w:val="10"/>
                <w:color w:val="auto"/>
              </w:rPr>
              <w:t>(4)</w:t>
            </w:r>
          </w:p>
        </w:tc>
        <w:tc>
          <w:tcPr>
            <w:tcW w:w="1000" w:type="dxa"/>
            <w:vAlign w:val="bottom"/>
          </w:tcPr>
          <w:p>
            <w:pPr>
              <w:jc w:val="right"/>
              <w:ind w:right="121"/>
              <w:spacing w:after="0" w:line="192" w:lineRule="exact"/>
              <w:rPr>
                <w:sz w:val="20"/>
                <w:szCs w:val="20"/>
                <w:color w:val="auto"/>
              </w:rPr>
            </w:pPr>
            <w:r>
              <w:rPr>
                <w:rFonts w:ascii="Arial" w:cs="Arial" w:eastAsia="Arial" w:hAnsi="Arial"/>
                <w:sz w:val="17"/>
                <w:szCs w:val="17"/>
                <w:color w:val="auto"/>
              </w:rPr>
              <w:t>66,484</w:t>
            </w:r>
          </w:p>
        </w:tc>
        <w:tc>
          <w:tcPr>
            <w:tcW w:w="440" w:type="dxa"/>
            <w:vAlign w:val="bottom"/>
          </w:tcPr>
          <w:p>
            <w:pPr>
              <w:spacing w:after="0"/>
              <w:rPr>
                <w:sz w:val="16"/>
                <w:szCs w:val="16"/>
                <w:color w:val="auto"/>
              </w:rPr>
            </w:pPr>
          </w:p>
        </w:tc>
        <w:tc>
          <w:tcPr>
            <w:tcW w:w="900" w:type="dxa"/>
            <w:vAlign w:val="bottom"/>
          </w:tcPr>
          <w:p>
            <w:pPr>
              <w:jc w:val="center"/>
              <w:spacing w:after="0" w:line="192" w:lineRule="exact"/>
              <w:rPr>
                <w:sz w:val="20"/>
                <w:szCs w:val="20"/>
                <w:color w:val="auto"/>
              </w:rPr>
            </w:pPr>
            <w:r>
              <w:rPr>
                <w:rFonts w:ascii="Arial" w:cs="Arial" w:eastAsia="Arial" w:hAnsi="Arial"/>
                <w:sz w:val="17"/>
                <w:szCs w:val="17"/>
                <w:color w:val="auto"/>
                <w:w w:val="97"/>
              </w:rPr>
              <w:t>125,049</w:t>
            </w:r>
          </w:p>
        </w:tc>
        <w:tc>
          <w:tcPr>
            <w:tcW w:w="440" w:type="dxa"/>
            <w:vAlign w:val="bottom"/>
          </w:tcPr>
          <w:p>
            <w:pPr>
              <w:spacing w:after="0"/>
              <w:rPr>
                <w:sz w:val="16"/>
                <w:szCs w:val="16"/>
                <w:color w:val="auto"/>
              </w:rPr>
            </w:pPr>
          </w:p>
        </w:tc>
        <w:tc>
          <w:tcPr>
            <w:tcW w:w="1400" w:type="dxa"/>
            <w:vAlign w:val="bottom"/>
            <w:gridSpan w:val="2"/>
          </w:tcPr>
          <w:p>
            <w:pPr>
              <w:ind w:left="540"/>
              <w:spacing w:after="0" w:line="192" w:lineRule="exact"/>
              <w:rPr>
                <w:sz w:val="20"/>
                <w:szCs w:val="20"/>
                <w:color w:val="auto"/>
              </w:rPr>
            </w:pPr>
            <w:r>
              <w:rPr>
                <w:rFonts w:ascii="Arial" w:cs="Arial" w:eastAsia="Arial" w:hAnsi="Arial"/>
                <w:sz w:val="17"/>
                <w:szCs w:val="17"/>
                <w:color w:val="auto"/>
              </w:rPr>
              <w:t>—</w:t>
            </w:r>
          </w:p>
        </w:tc>
        <w:tc>
          <w:tcPr>
            <w:tcW w:w="700" w:type="dxa"/>
            <w:vAlign w:val="bottom"/>
          </w:tcPr>
          <w:p>
            <w:pPr>
              <w:jc w:val="right"/>
              <w:spacing w:after="0" w:line="192" w:lineRule="exact"/>
              <w:rPr>
                <w:sz w:val="20"/>
                <w:szCs w:val="20"/>
                <w:color w:val="auto"/>
              </w:rPr>
            </w:pPr>
            <w:r>
              <w:rPr>
                <w:rFonts w:ascii="Arial" w:cs="Arial" w:eastAsia="Arial" w:hAnsi="Arial"/>
                <w:sz w:val="17"/>
                <w:szCs w:val="17"/>
                <w:color w:val="auto"/>
              </w:rPr>
              <w:t>191,533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Juliber, Lois</w:t>
            </w:r>
          </w:p>
        </w:tc>
        <w:tc>
          <w:tcPr>
            <w:tcW w:w="1000" w:type="dxa"/>
            <w:vAlign w:val="bottom"/>
            <w:shd w:val="clear" w:color="auto" w:fill="D8D8D8"/>
          </w:tcPr>
          <w:p>
            <w:pPr>
              <w:jc w:val="right"/>
              <w:ind w:right="121"/>
              <w:spacing w:after="0" w:line="192" w:lineRule="exact"/>
              <w:rPr>
                <w:sz w:val="20"/>
                <w:szCs w:val="20"/>
                <w:color w:val="auto"/>
              </w:rPr>
            </w:pPr>
            <w:r>
              <w:rPr>
                <w:rFonts w:ascii="Arial" w:cs="Arial" w:eastAsia="Arial" w:hAnsi="Arial"/>
                <w:sz w:val="17"/>
                <w:szCs w:val="17"/>
                <w:color w:val="auto"/>
              </w:rPr>
              <w:t>110,000</w:t>
            </w:r>
          </w:p>
        </w:tc>
        <w:tc>
          <w:tcPr>
            <w:tcW w:w="440" w:type="dxa"/>
            <w:vAlign w:val="bottom"/>
            <w:shd w:val="clear" w:color="auto" w:fill="D8D8D8"/>
          </w:tcPr>
          <w:p>
            <w:pPr>
              <w:spacing w:after="0"/>
              <w:rPr>
                <w:sz w:val="16"/>
                <w:szCs w:val="16"/>
                <w:color w:val="auto"/>
              </w:rPr>
            </w:pPr>
          </w:p>
        </w:tc>
        <w:tc>
          <w:tcPr>
            <w:tcW w:w="9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7"/>
              </w:rPr>
              <w:t>125,049</w:t>
            </w:r>
          </w:p>
        </w:tc>
        <w:tc>
          <w:tcPr>
            <w:tcW w:w="440" w:type="dxa"/>
            <w:vAlign w:val="bottom"/>
            <w:shd w:val="clear" w:color="auto" w:fill="D8D8D8"/>
          </w:tcPr>
          <w:p>
            <w:pPr>
              <w:spacing w:after="0"/>
              <w:rPr>
                <w:sz w:val="16"/>
                <w:szCs w:val="16"/>
                <w:color w:val="auto"/>
              </w:rPr>
            </w:pPr>
          </w:p>
        </w:tc>
        <w:tc>
          <w:tcPr>
            <w:tcW w:w="96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9"/>
              </w:rPr>
              <w:t>12,500</w:t>
            </w:r>
          </w:p>
        </w:tc>
        <w:tc>
          <w:tcPr>
            <w:tcW w:w="440" w:type="dxa"/>
            <w:vAlign w:val="bottom"/>
            <w:shd w:val="clear" w:color="auto" w:fill="D8D8D8"/>
          </w:tcPr>
          <w:p>
            <w:pPr>
              <w:spacing w:after="0"/>
              <w:rPr>
                <w:sz w:val="16"/>
                <w:szCs w:val="16"/>
                <w:color w:val="auto"/>
              </w:rPr>
            </w:pPr>
          </w:p>
        </w:tc>
        <w:tc>
          <w:tcPr>
            <w:tcW w:w="7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247,549</w:t>
            </w:r>
          </w:p>
        </w:tc>
        <w:tc>
          <w:tcPr>
            <w:tcW w:w="12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gridSpan w:val="2"/>
          </w:tcPr>
          <w:p>
            <w:pPr>
              <w:spacing w:after="0" w:line="192" w:lineRule="exact"/>
              <w:rPr>
                <w:sz w:val="20"/>
                <w:szCs w:val="20"/>
                <w:color w:val="auto"/>
              </w:rPr>
            </w:pPr>
            <w:r>
              <w:rPr>
                <w:rFonts w:ascii="Arial" w:cs="Arial" w:eastAsia="Arial" w:hAnsi="Arial"/>
                <w:sz w:val="17"/>
                <w:szCs w:val="17"/>
                <w:color w:val="auto"/>
              </w:rPr>
              <w:t>Ketchum, Mark</w:t>
            </w:r>
          </w:p>
        </w:tc>
        <w:tc>
          <w:tcPr>
            <w:tcW w:w="1000" w:type="dxa"/>
            <w:vAlign w:val="bottom"/>
          </w:tcPr>
          <w:p>
            <w:pPr>
              <w:jc w:val="right"/>
              <w:ind w:right="121"/>
              <w:spacing w:after="0" w:line="192" w:lineRule="exact"/>
              <w:rPr>
                <w:sz w:val="20"/>
                <w:szCs w:val="20"/>
                <w:color w:val="auto"/>
              </w:rPr>
            </w:pPr>
            <w:r>
              <w:rPr>
                <w:rFonts w:ascii="Arial" w:cs="Arial" w:eastAsia="Arial" w:hAnsi="Arial"/>
                <w:sz w:val="17"/>
                <w:szCs w:val="17"/>
                <w:color w:val="auto"/>
              </w:rPr>
              <w:t>140,000</w:t>
            </w:r>
          </w:p>
        </w:tc>
        <w:tc>
          <w:tcPr>
            <w:tcW w:w="440" w:type="dxa"/>
            <w:vAlign w:val="bottom"/>
          </w:tcPr>
          <w:p>
            <w:pPr>
              <w:spacing w:after="0"/>
              <w:rPr>
                <w:sz w:val="16"/>
                <w:szCs w:val="16"/>
                <w:color w:val="auto"/>
              </w:rPr>
            </w:pPr>
          </w:p>
        </w:tc>
        <w:tc>
          <w:tcPr>
            <w:tcW w:w="900" w:type="dxa"/>
            <w:vAlign w:val="bottom"/>
          </w:tcPr>
          <w:p>
            <w:pPr>
              <w:jc w:val="center"/>
              <w:spacing w:after="0" w:line="192" w:lineRule="exact"/>
              <w:rPr>
                <w:sz w:val="20"/>
                <w:szCs w:val="20"/>
                <w:color w:val="auto"/>
              </w:rPr>
            </w:pPr>
            <w:r>
              <w:rPr>
                <w:rFonts w:ascii="Arial" w:cs="Arial" w:eastAsia="Arial" w:hAnsi="Arial"/>
                <w:sz w:val="17"/>
                <w:szCs w:val="17"/>
                <w:color w:val="auto"/>
                <w:w w:val="97"/>
              </w:rPr>
              <w:t>125,049</w:t>
            </w:r>
          </w:p>
        </w:tc>
        <w:tc>
          <w:tcPr>
            <w:tcW w:w="440" w:type="dxa"/>
            <w:vAlign w:val="bottom"/>
          </w:tcPr>
          <w:p>
            <w:pPr>
              <w:spacing w:after="0"/>
              <w:rPr>
                <w:sz w:val="16"/>
                <w:szCs w:val="16"/>
                <w:color w:val="auto"/>
              </w:rPr>
            </w:pPr>
          </w:p>
        </w:tc>
        <w:tc>
          <w:tcPr>
            <w:tcW w:w="1400" w:type="dxa"/>
            <w:vAlign w:val="bottom"/>
            <w:gridSpan w:val="2"/>
          </w:tcPr>
          <w:p>
            <w:pPr>
              <w:ind w:left="540"/>
              <w:spacing w:after="0" w:line="192" w:lineRule="exact"/>
              <w:rPr>
                <w:sz w:val="20"/>
                <w:szCs w:val="20"/>
                <w:color w:val="auto"/>
              </w:rPr>
            </w:pPr>
            <w:r>
              <w:rPr>
                <w:rFonts w:ascii="Arial" w:cs="Arial" w:eastAsia="Arial" w:hAnsi="Arial"/>
                <w:sz w:val="17"/>
                <w:szCs w:val="17"/>
                <w:color w:val="auto"/>
              </w:rPr>
              <w:t>—</w:t>
            </w:r>
          </w:p>
        </w:tc>
        <w:tc>
          <w:tcPr>
            <w:tcW w:w="700" w:type="dxa"/>
            <w:vAlign w:val="bottom"/>
          </w:tcPr>
          <w:p>
            <w:pPr>
              <w:jc w:val="right"/>
              <w:spacing w:after="0" w:line="192" w:lineRule="exact"/>
              <w:rPr>
                <w:sz w:val="20"/>
                <w:szCs w:val="20"/>
                <w:color w:val="auto"/>
              </w:rPr>
            </w:pPr>
            <w:r>
              <w:rPr>
                <w:rFonts w:ascii="Arial" w:cs="Arial" w:eastAsia="Arial" w:hAnsi="Arial"/>
                <w:sz w:val="17"/>
                <w:szCs w:val="17"/>
                <w:color w:val="auto"/>
              </w:rPr>
              <w:t>265,049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Lerner, Richard</w:t>
            </w:r>
          </w:p>
        </w:tc>
        <w:tc>
          <w:tcPr>
            <w:tcW w:w="1000" w:type="dxa"/>
            <w:vAlign w:val="bottom"/>
            <w:shd w:val="clear" w:color="auto" w:fill="D8D8D8"/>
          </w:tcPr>
          <w:p>
            <w:pPr>
              <w:jc w:val="right"/>
              <w:ind w:right="121"/>
              <w:spacing w:after="0" w:line="192" w:lineRule="exact"/>
              <w:rPr>
                <w:sz w:val="20"/>
                <w:szCs w:val="20"/>
                <w:color w:val="auto"/>
              </w:rPr>
            </w:pPr>
            <w:r>
              <w:rPr>
                <w:rFonts w:ascii="Arial" w:cs="Arial" w:eastAsia="Arial" w:hAnsi="Arial"/>
                <w:sz w:val="17"/>
                <w:szCs w:val="17"/>
                <w:color w:val="auto"/>
              </w:rPr>
              <w:t>110,000</w:t>
            </w:r>
          </w:p>
        </w:tc>
        <w:tc>
          <w:tcPr>
            <w:tcW w:w="440" w:type="dxa"/>
            <w:vAlign w:val="bottom"/>
            <w:shd w:val="clear" w:color="auto" w:fill="D8D8D8"/>
          </w:tcPr>
          <w:p>
            <w:pPr>
              <w:spacing w:after="0"/>
              <w:rPr>
                <w:sz w:val="16"/>
                <w:szCs w:val="16"/>
                <w:color w:val="auto"/>
              </w:rPr>
            </w:pPr>
          </w:p>
        </w:tc>
        <w:tc>
          <w:tcPr>
            <w:tcW w:w="9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7"/>
              </w:rPr>
              <w:t>125,049</w:t>
            </w:r>
          </w:p>
        </w:tc>
        <w:tc>
          <w:tcPr>
            <w:tcW w:w="440" w:type="dxa"/>
            <w:vAlign w:val="bottom"/>
            <w:shd w:val="clear" w:color="auto" w:fill="D8D8D8"/>
          </w:tcPr>
          <w:p>
            <w:pPr>
              <w:spacing w:after="0"/>
              <w:rPr>
                <w:sz w:val="16"/>
                <w:szCs w:val="16"/>
                <w:color w:val="auto"/>
              </w:rPr>
            </w:pPr>
          </w:p>
        </w:tc>
        <w:tc>
          <w:tcPr>
            <w:tcW w:w="1400" w:type="dxa"/>
            <w:vAlign w:val="bottom"/>
            <w:gridSpan w:val="2"/>
            <w:shd w:val="clear" w:color="auto" w:fill="D8D8D8"/>
          </w:tcPr>
          <w:p>
            <w:pPr>
              <w:ind w:left="540"/>
              <w:spacing w:after="0" w:line="192" w:lineRule="exact"/>
              <w:rPr>
                <w:sz w:val="20"/>
                <w:szCs w:val="20"/>
                <w:color w:val="auto"/>
              </w:rPr>
            </w:pPr>
            <w:r>
              <w:rPr>
                <w:rFonts w:ascii="Arial" w:cs="Arial" w:eastAsia="Arial" w:hAnsi="Arial"/>
                <w:sz w:val="17"/>
                <w:szCs w:val="17"/>
                <w:color w:val="auto"/>
              </w:rPr>
              <w:t>—</w:t>
            </w:r>
          </w:p>
        </w:tc>
        <w:tc>
          <w:tcPr>
            <w:tcW w:w="7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235,049</w:t>
            </w:r>
          </w:p>
        </w:tc>
        <w:tc>
          <w:tcPr>
            <w:tcW w:w="12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gridSpan w:val="2"/>
          </w:tcPr>
          <w:p>
            <w:pPr>
              <w:spacing w:after="0" w:line="192" w:lineRule="exact"/>
              <w:rPr>
                <w:sz w:val="20"/>
                <w:szCs w:val="20"/>
                <w:color w:val="auto"/>
              </w:rPr>
            </w:pPr>
            <w:r>
              <w:rPr>
                <w:rFonts w:ascii="Arial" w:cs="Arial" w:eastAsia="Arial" w:hAnsi="Arial"/>
                <w:sz w:val="17"/>
                <w:szCs w:val="17"/>
                <w:color w:val="auto"/>
              </w:rPr>
              <w:t>McDonald, Mackey</w:t>
            </w:r>
          </w:p>
        </w:tc>
        <w:tc>
          <w:tcPr>
            <w:tcW w:w="1000" w:type="dxa"/>
            <w:vAlign w:val="bottom"/>
          </w:tcPr>
          <w:p>
            <w:pPr>
              <w:jc w:val="right"/>
              <w:ind w:right="121"/>
              <w:spacing w:after="0" w:line="192" w:lineRule="exact"/>
              <w:rPr>
                <w:sz w:val="20"/>
                <w:szCs w:val="20"/>
                <w:color w:val="auto"/>
              </w:rPr>
            </w:pPr>
            <w:r>
              <w:rPr>
                <w:rFonts w:ascii="Arial" w:cs="Arial" w:eastAsia="Arial" w:hAnsi="Arial"/>
                <w:sz w:val="17"/>
                <w:szCs w:val="17"/>
                <w:color w:val="auto"/>
              </w:rPr>
              <w:t>110,000</w:t>
            </w:r>
          </w:p>
        </w:tc>
        <w:tc>
          <w:tcPr>
            <w:tcW w:w="440" w:type="dxa"/>
            <w:vAlign w:val="bottom"/>
          </w:tcPr>
          <w:p>
            <w:pPr>
              <w:spacing w:after="0"/>
              <w:rPr>
                <w:sz w:val="16"/>
                <w:szCs w:val="16"/>
                <w:color w:val="auto"/>
              </w:rPr>
            </w:pPr>
          </w:p>
        </w:tc>
        <w:tc>
          <w:tcPr>
            <w:tcW w:w="900" w:type="dxa"/>
            <w:vAlign w:val="bottom"/>
          </w:tcPr>
          <w:p>
            <w:pPr>
              <w:jc w:val="center"/>
              <w:spacing w:after="0" w:line="192" w:lineRule="exact"/>
              <w:rPr>
                <w:sz w:val="20"/>
                <w:szCs w:val="20"/>
                <w:color w:val="auto"/>
              </w:rPr>
            </w:pPr>
            <w:r>
              <w:rPr>
                <w:rFonts w:ascii="Arial" w:cs="Arial" w:eastAsia="Arial" w:hAnsi="Arial"/>
                <w:sz w:val="17"/>
                <w:szCs w:val="17"/>
                <w:color w:val="auto"/>
                <w:w w:val="97"/>
              </w:rPr>
              <w:t>125,049</w:t>
            </w:r>
          </w:p>
        </w:tc>
        <w:tc>
          <w:tcPr>
            <w:tcW w:w="440" w:type="dxa"/>
            <w:vAlign w:val="bottom"/>
          </w:tcPr>
          <w:p>
            <w:pPr>
              <w:spacing w:after="0"/>
              <w:rPr>
                <w:sz w:val="16"/>
                <w:szCs w:val="16"/>
                <w:color w:val="auto"/>
              </w:rPr>
            </w:pPr>
          </w:p>
        </w:tc>
        <w:tc>
          <w:tcPr>
            <w:tcW w:w="960" w:type="dxa"/>
            <w:vAlign w:val="bottom"/>
          </w:tcPr>
          <w:p>
            <w:pPr>
              <w:jc w:val="center"/>
              <w:spacing w:after="0" w:line="192" w:lineRule="exact"/>
              <w:rPr>
                <w:sz w:val="20"/>
                <w:szCs w:val="20"/>
                <w:color w:val="auto"/>
              </w:rPr>
            </w:pPr>
            <w:r>
              <w:rPr>
                <w:rFonts w:ascii="Arial" w:cs="Arial" w:eastAsia="Arial" w:hAnsi="Arial"/>
                <w:sz w:val="17"/>
                <w:szCs w:val="17"/>
                <w:color w:val="auto"/>
                <w:w w:val="99"/>
              </w:rPr>
              <w:t>30,000</w:t>
            </w:r>
          </w:p>
        </w:tc>
        <w:tc>
          <w:tcPr>
            <w:tcW w:w="440" w:type="dxa"/>
            <w:vAlign w:val="bottom"/>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7"/>
                <w:szCs w:val="17"/>
                <w:color w:val="auto"/>
              </w:rPr>
              <w:t>265,049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Pope, John</w:t>
            </w:r>
          </w:p>
        </w:tc>
        <w:tc>
          <w:tcPr>
            <w:tcW w:w="1000" w:type="dxa"/>
            <w:vAlign w:val="bottom"/>
            <w:shd w:val="clear" w:color="auto" w:fill="D8D8D8"/>
          </w:tcPr>
          <w:p>
            <w:pPr>
              <w:jc w:val="right"/>
              <w:ind w:right="121"/>
              <w:spacing w:after="0" w:line="192" w:lineRule="exact"/>
              <w:rPr>
                <w:sz w:val="20"/>
                <w:szCs w:val="20"/>
                <w:color w:val="auto"/>
              </w:rPr>
            </w:pPr>
            <w:r>
              <w:rPr>
                <w:rFonts w:ascii="Arial" w:cs="Arial" w:eastAsia="Arial" w:hAnsi="Arial"/>
                <w:sz w:val="17"/>
                <w:szCs w:val="17"/>
                <w:color w:val="auto"/>
              </w:rPr>
              <w:t>120,000</w:t>
            </w:r>
          </w:p>
        </w:tc>
        <w:tc>
          <w:tcPr>
            <w:tcW w:w="440" w:type="dxa"/>
            <w:vAlign w:val="bottom"/>
            <w:shd w:val="clear" w:color="auto" w:fill="D8D8D8"/>
          </w:tcPr>
          <w:p>
            <w:pPr>
              <w:spacing w:after="0"/>
              <w:rPr>
                <w:sz w:val="16"/>
                <w:szCs w:val="16"/>
                <w:color w:val="auto"/>
              </w:rPr>
            </w:pPr>
          </w:p>
        </w:tc>
        <w:tc>
          <w:tcPr>
            <w:tcW w:w="9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7"/>
              </w:rPr>
              <w:t>125,049</w:t>
            </w:r>
          </w:p>
        </w:tc>
        <w:tc>
          <w:tcPr>
            <w:tcW w:w="440" w:type="dxa"/>
            <w:vAlign w:val="bottom"/>
            <w:shd w:val="clear" w:color="auto" w:fill="D8D8D8"/>
          </w:tcPr>
          <w:p>
            <w:pPr>
              <w:spacing w:after="0"/>
              <w:rPr>
                <w:sz w:val="16"/>
                <w:szCs w:val="16"/>
                <w:color w:val="auto"/>
              </w:rPr>
            </w:pPr>
          </w:p>
        </w:tc>
        <w:tc>
          <w:tcPr>
            <w:tcW w:w="960" w:type="dxa"/>
            <w:vAlign w:val="bottom"/>
            <w:shd w:val="clear" w:color="auto" w:fill="D8D8D8"/>
          </w:tcPr>
          <w:p>
            <w:pPr>
              <w:ind w:left="360"/>
              <w:spacing w:after="0" w:line="192" w:lineRule="exact"/>
              <w:rPr>
                <w:sz w:val="20"/>
                <w:szCs w:val="20"/>
                <w:color w:val="auto"/>
              </w:rPr>
            </w:pPr>
            <w:r>
              <w:rPr>
                <w:rFonts w:ascii="Arial" w:cs="Arial" w:eastAsia="Arial" w:hAnsi="Arial"/>
                <w:sz w:val="17"/>
                <w:szCs w:val="17"/>
                <w:color w:val="auto"/>
              </w:rPr>
              <w:t>2,200</w:t>
            </w:r>
          </w:p>
        </w:tc>
        <w:tc>
          <w:tcPr>
            <w:tcW w:w="440" w:type="dxa"/>
            <w:vAlign w:val="bottom"/>
            <w:shd w:val="clear" w:color="auto" w:fill="D8D8D8"/>
          </w:tcPr>
          <w:p>
            <w:pPr>
              <w:spacing w:after="0"/>
              <w:rPr>
                <w:sz w:val="16"/>
                <w:szCs w:val="16"/>
                <w:color w:val="auto"/>
              </w:rPr>
            </w:pPr>
          </w:p>
        </w:tc>
        <w:tc>
          <w:tcPr>
            <w:tcW w:w="7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247,249</w:t>
            </w:r>
          </w:p>
        </w:tc>
        <w:tc>
          <w:tcPr>
            <w:tcW w:w="12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gridSpan w:val="2"/>
          </w:tcPr>
          <w:p>
            <w:pPr>
              <w:spacing w:after="0" w:line="192" w:lineRule="exact"/>
              <w:rPr>
                <w:sz w:val="20"/>
                <w:szCs w:val="20"/>
                <w:color w:val="auto"/>
              </w:rPr>
            </w:pPr>
            <w:r>
              <w:rPr>
                <w:rFonts w:ascii="Arial" w:cs="Arial" w:eastAsia="Arial" w:hAnsi="Arial"/>
                <w:sz w:val="17"/>
                <w:szCs w:val="17"/>
                <w:color w:val="auto"/>
              </w:rPr>
              <w:t>Reynolds, Fredric</w:t>
            </w:r>
          </w:p>
        </w:tc>
        <w:tc>
          <w:tcPr>
            <w:tcW w:w="1000" w:type="dxa"/>
            <w:vAlign w:val="bottom"/>
          </w:tcPr>
          <w:p>
            <w:pPr>
              <w:jc w:val="right"/>
              <w:ind w:right="121"/>
              <w:spacing w:after="0" w:line="192" w:lineRule="exact"/>
              <w:rPr>
                <w:sz w:val="20"/>
                <w:szCs w:val="20"/>
                <w:color w:val="auto"/>
              </w:rPr>
            </w:pPr>
            <w:r>
              <w:rPr>
                <w:rFonts w:ascii="Arial" w:cs="Arial" w:eastAsia="Arial" w:hAnsi="Arial"/>
                <w:sz w:val="17"/>
                <w:szCs w:val="17"/>
                <w:color w:val="auto"/>
              </w:rPr>
              <w:t>120,000</w:t>
            </w:r>
          </w:p>
        </w:tc>
        <w:tc>
          <w:tcPr>
            <w:tcW w:w="440" w:type="dxa"/>
            <w:vAlign w:val="bottom"/>
          </w:tcPr>
          <w:p>
            <w:pPr>
              <w:spacing w:after="0"/>
              <w:rPr>
                <w:sz w:val="16"/>
                <w:szCs w:val="16"/>
                <w:color w:val="auto"/>
              </w:rPr>
            </w:pPr>
          </w:p>
        </w:tc>
        <w:tc>
          <w:tcPr>
            <w:tcW w:w="900" w:type="dxa"/>
            <w:vAlign w:val="bottom"/>
          </w:tcPr>
          <w:p>
            <w:pPr>
              <w:jc w:val="center"/>
              <w:spacing w:after="0" w:line="192" w:lineRule="exact"/>
              <w:rPr>
                <w:sz w:val="20"/>
                <w:szCs w:val="20"/>
                <w:color w:val="auto"/>
              </w:rPr>
            </w:pPr>
            <w:r>
              <w:rPr>
                <w:rFonts w:ascii="Arial" w:cs="Arial" w:eastAsia="Arial" w:hAnsi="Arial"/>
                <w:sz w:val="17"/>
                <w:szCs w:val="17"/>
                <w:color w:val="auto"/>
                <w:w w:val="97"/>
              </w:rPr>
              <w:t>125,049</w:t>
            </w:r>
          </w:p>
        </w:tc>
        <w:tc>
          <w:tcPr>
            <w:tcW w:w="440" w:type="dxa"/>
            <w:vAlign w:val="bottom"/>
          </w:tcPr>
          <w:p>
            <w:pPr>
              <w:spacing w:after="0"/>
              <w:rPr>
                <w:sz w:val="16"/>
                <w:szCs w:val="16"/>
                <w:color w:val="auto"/>
              </w:rPr>
            </w:pPr>
          </w:p>
        </w:tc>
        <w:tc>
          <w:tcPr>
            <w:tcW w:w="960" w:type="dxa"/>
            <w:vAlign w:val="bottom"/>
          </w:tcPr>
          <w:p>
            <w:pPr>
              <w:jc w:val="center"/>
              <w:spacing w:after="0" w:line="192" w:lineRule="exact"/>
              <w:rPr>
                <w:sz w:val="20"/>
                <w:szCs w:val="20"/>
                <w:color w:val="auto"/>
              </w:rPr>
            </w:pPr>
            <w:r>
              <w:rPr>
                <w:rFonts w:ascii="Arial" w:cs="Arial" w:eastAsia="Arial" w:hAnsi="Arial"/>
                <w:sz w:val="17"/>
                <w:szCs w:val="17"/>
                <w:color w:val="auto"/>
                <w:w w:val="99"/>
              </w:rPr>
              <w:t>30,000</w:t>
            </w:r>
          </w:p>
        </w:tc>
        <w:tc>
          <w:tcPr>
            <w:tcW w:w="440" w:type="dxa"/>
            <w:vAlign w:val="bottom"/>
          </w:tcPr>
          <w:p>
            <w:pPr>
              <w:spacing w:after="0"/>
              <w:rPr>
                <w:sz w:val="16"/>
                <w:szCs w:val="16"/>
                <w:color w:val="auto"/>
              </w:rPr>
            </w:pPr>
          </w:p>
        </w:tc>
        <w:tc>
          <w:tcPr>
            <w:tcW w:w="700" w:type="dxa"/>
            <w:vAlign w:val="bottom"/>
          </w:tcPr>
          <w:p>
            <w:pPr>
              <w:jc w:val="right"/>
              <w:spacing w:after="0" w:line="192" w:lineRule="exact"/>
              <w:rPr>
                <w:sz w:val="20"/>
                <w:szCs w:val="20"/>
                <w:color w:val="auto"/>
              </w:rPr>
            </w:pPr>
            <w:r>
              <w:rPr>
                <w:rFonts w:ascii="Arial" w:cs="Arial" w:eastAsia="Arial" w:hAnsi="Arial"/>
                <w:sz w:val="17"/>
                <w:szCs w:val="17"/>
                <w:color w:val="auto"/>
              </w:rPr>
              <w:t>275,049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van Boxmeer, Jean-François</w:t>
            </w:r>
          </w:p>
        </w:tc>
        <w:tc>
          <w:tcPr>
            <w:tcW w:w="1000" w:type="dxa"/>
            <w:vAlign w:val="bottom"/>
            <w:shd w:val="clear" w:color="auto" w:fill="D8D8D8"/>
          </w:tcPr>
          <w:p>
            <w:pPr>
              <w:jc w:val="right"/>
              <w:ind w:right="121"/>
              <w:spacing w:after="0" w:line="192" w:lineRule="exact"/>
              <w:rPr>
                <w:sz w:val="20"/>
                <w:szCs w:val="20"/>
                <w:color w:val="auto"/>
              </w:rPr>
            </w:pPr>
            <w:r>
              <w:rPr>
                <w:rFonts w:ascii="Arial" w:cs="Arial" w:eastAsia="Arial" w:hAnsi="Arial"/>
                <w:sz w:val="17"/>
                <w:szCs w:val="17"/>
                <w:color w:val="auto"/>
              </w:rPr>
              <w:t>110,000</w:t>
            </w:r>
          </w:p>
        </w:tc>
        <w:tc>
          <w:tcPr>
            <w:tcW w:w="440" w:type="dxa"/>
            <w:vAlign w:val="bottom"/>
            <w:shd w:val="clear" w:color="auto" w:fill="D8D8D8"/>
          </w:tcPr>
          <w:p>
            <w:pPr>
              <w:spacing w:after="0"/>
              <w:rPr>
                <w:sz w:val="16"/>
                <w:szCs w:val="16"/>
                <w:color w:val="auto"/>
              </w:rPr>
            </w:pPr>
          </w:p>
        </w:tc>
        <w:tc>
          <w:tcPr>
            <w:tcW w:w="9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7"/>
              </w:rPr>
              <w:t>125,049</w:t>
            </w:r>
          </w:p>
        </w:tc>
        <w:tc>
          <w:tcPr>
            <w:tcW w:w="440" w:type="dxa"/>
            <w:vAlign w:val="bottom"/>
            <w:shd w:val="clear" w:color="auto" w:fill="D8D8D8"/>
          </w:tcPr>
          <w:p>
            <w:pPr>
              <w:spacing w:after="0"/>
              <w:rPr>
                <w:sz w:val="16"/>
                <w:szCs w:val="16"/>
                <w:color w:val="auto"/>
              </w:rPr>
            </w:pPr>
          </w:p>
        </w:tc>
        <w:tc>
          <w:tcPr>
            <w:tcW w:w="1400" w:type="dxa"/>
            <w:vAlign w:val="bottom"/>
            <w:gridSpan w:val="2"/>
            <w:shd w:val="clear" w:color="auto" w:fill="D8D8D8"/>
          </w:tcPr>
          <w:p>
            <w:pPr>
              <w:ind w:left="540"/>
              <w:spacing w:after="0" w:line="192" w:lineRule="exact"/>
              <w:rPr>
                <w:sz w:val="20"/>
                <w:szCs w:val="20"/>
                <w:color w:val="auto"/>
              </w:rPr>
            </w:pPr>
            <w:r>
              <w:rPr>
                <w:rFonts w:ascii="Arial" w:cs="Arial" w:eastAsia="Arial" w:hAnsi="Arial"/>
                <w:sz w:val="17"/>
                <w:szCs w:val="17"/>
                <w:color w:val="auto"/>
              </w:rPr>
              <w:t>—</w:t>
            </w:r>
          </w:p>
        </w:tc>
        <w:tc>
          <w:tcPr>
            <w:tcW w:w="7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235,049</w:t>
            </w:r>
          </w:p>
        </w:tc>
        <w:tc>
          <w:tcPr>
            <w:tcW w:w="12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920" w:type="dxa"/>
            <w:vAlign w:val="bottom"/>
            <w:gridSpan w:val="2"/>
          </w:tcPr>
          <w:p>
            <w:pPr>
              <w:spacing w:after="0" w:line="192" w:lineRule="exact"/>
              <w:rPr>
                <w:sz w:val="20"/>
                <w:szCs w:val="20"/>
                <w:color w:val="auto"/>
              </w:rPr>
            </w:pPr>
            <w:r>
              <w:rPr>
                <w:rFonts w:ascii="Arial" w:cs="Arial" w:eastAsia="Arial" w:hAnsi="Arial"/>
                <w:sz w:val="17"/>
                <w:szCs w:val="17"/>
                <w:color w:val="auto"/>
              </w:rPr>
              <w:t>Wright, Deborah</w:t>
            </w:r>
            <w:r>
              <w:rPr>
                <w:rFonts w:ascii="Arial" w:cs="Arial" w:eastAsia="Arial" w:hAnsi="Arial"/>
                <w:sz w:val="10"/>
                <w:szCs w:val="10"/>
                <w:color w:val="auto"/>
              </w:rPr>
              <w:t>(5)</w:t>
            </w:r>
          </w:p>
        </w:tc>
        <w:tc>
          <w:tcPr>
            <w:tcW w:w="1000" w:type="dxa"/>
            <w:vAlign w:val="bottom"/>
          </w:tcPr>
          <w:p>
            <w:pPr>
              <w:jc w:val="right"/>
              <w:ind w:right="121"/>
              <w:spacing w:after="0" w:line="192" w:lineRule="exact"/>
              <w:rPr>
                <w:sz w:val="20"/>
                <w:szCs w:val="20"/>
                <w:color w:val="auto"/>
              </w:rPr>
            </w:pPr>
            <w:r>
              <w:rPr>
                <w:rFonts w:ascii="Arial" w:cs="Arial" w:eastAsia="Arial" w:hAnsi="Arial"/>
                <w:sz w:val="17"/>
                <w:szCs w:val="17"/>
                <w:color w:val="auto"/>
              </w:rPr>
              <w:t>47,802</w:t>
            </w:r>
          </w:p>
        </w:tc>
        <w:tc>
          <w:tcPr>
            <w:tcW w:w="440" w:type="dxa"/>
            <w:vAlign w:val="bottom"/>
          </w:tcPr>
          <w:p>
            <w:pPr>
              <w:spacing w:after="0"/>
              <w:rPr>
                <w:sz w:val="16"/>
                <w:szCs w:val="16"/>
                <w:color w:val="auto"/>
              </w:rPr>
            </w:pPr>
          </w:p>
        </w:tc>
        <w:tc>
          <w:tcPr>
            <w:tcW w:w="1340" w:type="dxa"/>
            <w:vAlign w:val="bottom"/>
            <w:gridSpan w:val="2"/>
          </w:tcPr>
          <w:p>
            <w:pPr>
              <w:ind w:left="520"/>
              <w:spacing w:after="0" w:line="192" w:lineRule="exact"/>
              <w:rPr>
                <w:sz w:val="20"/>
                <w:szCs w:val="20"/>
                <w:color w:val="auto"/>
              </w:rPr>
            </w:pPr>
            <w:r>
              <w:rPr>
                <w:rFonts w:ascii="Arial" w:cs="Arial" w:eastAsia="Arial" w:hAnsi="Arial"/>
                <w:sz w:val="17"/>
                <w:szCs w:val="17"/>
                <w:color w:val="auto"/>
              </w:rPr>
              <w:t>—</w:t>
            </w:r>
          </w:p>
        </w:tc>
        <w:tc>
          <w:tcPr>
            <w:tcW w:w="1400" w:type="dxa"/>
            <w:vAlign w:val="bottom"/>
            <w:gridSpan w:val="2"/>
          </w:tcPr>
          <w:p>
            <w:pPr>
              <w:ind w:left="540"/>
              <w:spacing w:after="0" w:line="192"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120"/>
              <w:spacing w:after="0" w:line="192" w:lineRule="exact"/>
              <w:rPr>
                <w:sz w:val="20"/>
                <w:szCs w:val="20"/>
                <w:color w:val="auto"/>
              </w:rPr>
            </w:pPr>
            <w:r>
              <w:rPr>
                <w:rFonts w:ascii="Arial" w:cs="Arial" w:eastAsia="Arial" w:hAnsi="Arial"/>
                <w:sz w:val="17"/>
                <w:szCs w:val="17"/>
                <w:color w:val="auto"/>
              </w:rPr>
              <w:t>47,802</w:t>
            </w:r>
          </w:p>
        </w:tc>
        <w:tc>
          <w:tcPr>
            <w:tcW w:w="0" w:type="dxa"/>
            <w:vAlign w:val="bottom"/>
          </w:tcPr>
          <w:p>
            <w:pPr>
              <w:spacing w:after="0"/>
              <w:rPr>
                <w:sz w:val="1"/>
                <w:szCs w:val="1"/>
                <w:color w:val="auto"/>
              </w:rPr>
            </w:pPr>
          </w:p>
        </w:tc>
      </w:tr>
      <w:tr>
        <w:trPr>
          <w:trHeight w:val="192"/>
        </w:trPr>
        <w:tc>
          <w:tcPr>
            <w:tcW w:w="59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Zarb, Frank</w:t>
            </w:r>
            <w:r>
              <w:rPr>
                <w:rFonts w:ascii="Arial" w:cs="Arial" w:eastAsia="Arial" w:hAnsi="Arial"/>
                <w:sz w:val="10"/>
                <w:szCs w:val="10"/>
                <w:color w:val="auto"/>
              </w:rPr>
              <w:t>(5)</w:t>
            </w:r>
          </w:p>
        </w:tc>
        <w:tc>
          <w:tcPr>
            <w:tcW w:w="1000" w:type="dxa"/>
            <w:vAlign w:val="bottom"/>
            <w:shd w:val="clear" w:color="auto" w:fill="D8D8D8"/>
          </w:tcPr>
          <w:p>
            <w:pPr>
              <w:jc w:val="right"/>
              <w:ind w:right="121"/>
              <w:spacing w:after="0" w:line="192" w:lineRule="exact"/>
              <w:rPr>
                <w:sz w:val="20"/>
                <w:szCs w:val="20"/>
                <w:color w:val="auto"/>
              </w:rPr>
            </w:pPr>
            <w:r>
              <w:rPr>
                <w:rFonts w:ascii="Arial" w:cs="Arial" w:eastAsia="Arial" w:hAnsi="Arial"/>
                <w:sz w:val="17"/>
                <w:szCs w:val="17"/>
                <w:color w:val="auto"/>
              </w:rPr>
              <w:t>43,819</w:t>
            </w:r>
          </w:p>
        </w:tc>
        <w:tc>
          <w:tcPr>
            <w:tcW w:w="440" w:type="dxa"/>
            <w:vAlign w:val="bottom"/>
            <w:shd w:val="clear" w:color="auto" w:fill="D8D8D8"/>
          </w:tcPr>
          <w:p>
            <w:pPr>
              <w:spacing w:after="0"/>
              <w:rPr>
                <w:sz w:val="16"/>
                <w:szCs w:val="16"/>
                <w:color w:val="auto"/>
              </w:rPr>
            </w:pPr>
          </w:p>
        </w:tc>
        <w:tc>
          <w:tcPr>
            <w:tcW w:w="1340" w:type="dxa"/>
            <w:vAlign w:val="bottom"/>
            <w:gridSpan w:val="2"/>
            <w:shd w:val="clear" w:color="auto" w:fill="D8D8D8"/>
          </w:tcPr>
          <w:p>
            <w:pPr>
              <w:ind w:left="520"/>
              <w:spacing w:after="0" w:line="192"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D8D8D8"/>
          </w:tcPr>
          <w:p>
            <w:pPr>
              <w:ind w:left="540"/>
              <w:spacing w:after="0" w:line="192"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D8D8D8"/>
          </w:tcPr>
          <w:p>
            <w:pPr>
              <w:jc w:val="right"/>
              <w:ind w:right="120"/>
              <w:spacing w:after="0" w:line="192" w:lineRule="exact"/>
              <w:rPr>
                <w:sz w:val="20"/>
                <w:szCs w:val="20"/>
                <w:color w:val="auto"/>
              </w:rPr>
            </w:pPr>
            <w:r>
              <w:rPr>
                <w:rFonts w:ascii="Arial" w:cs="Arial" w:eastAsia="Arial" w:hAnsi="Arial"/>
                <w:sz w:val="17"/>
                <w:szCs w:val="17"/>
                <w:color w:val="auto"/>
              </w:rPr>
              <w:t>43,819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7214870</wp:posOffset>
            </wp:positionH>
            <wp:positionV relativeFrom="paragraph">
              <wp:posOffset>-1477645</wp:posOffset>
            </wp:positionV>
            <wp:extent cx="406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064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wp:posOffset>
            </wp:positionH>
            <wp:positionV relativeFrom="paragraph">
              <wp:posOffset>64770</wp:posOffset>
            </wp:positionV>
            <wp:extent cx="7226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4" w:lineRule="exact"/>
        <w:rPr>
          <w:sz w:val="20"/>
          <w:szCs w:val="20"/>
          <w:color w:val="auto"/>
        </w:rPr>
      </w:pPr>
    </w:p>
    <w:p>
      <w:pPr>
        <w:ind w:left="1480" w:right="60" w:hanging="569"/>
        <w:spacing w:after="0" w:line="241" w:lineRule="auto"/>
        <w:tabs>
          <w:tab w:leader="none" w:pos="14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Includes all retainer fees paid or deferred pursuant to the Kraft Foods Inc. 2001 Compensation Plan for Non-Employee Directors. Non-employee directors do not receive meeting fees.</w:t>
      </w:r>
    </w:p>
    <w:p>
      <w:pPr>
        <w:spacing w:after="0" w:line="67" w:lineRule="exact"/>
        <w:rPr>
          <w:rFonts w:ascii="Arial" w:cs="Arial" w:eastAsia="Arial" w:hAnsi="Arial"/>
          <w:sz w:val="17"/>
          <w:szCs w:val="17"/>
          <w:color w:val="auto"/>
        </w:rPr>
      </w:pPr>
    </w:p>
    <w:p>
      <w:pPr>
        <w:ind w:left="1480" w:right="40" w:hanging="569"/>
        <w:spacing w:after="0" w:line="237" w:lineRule="auto"/>
        <w:tabs>
          <w:tab w:leader="none" w:pos="14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amounts shown in this column represent the full grant date fair value of the deferred stock awards granted in 2011 as computed in accordance with Financial Accounting Standards Board (“FASB”) Accounting Standards Codification (“ASC”) Topic 718. The deferred shares are immediately vested, but receipt of the shares is deferred until six months after the director no longer serves on the Board. The 2011 Non-Employee Director Stock Awards Table below provides further detail on the non-employee director grants made in 2011 and the number of stock awards and stock options outstanding as of December 31, 2011.</w:t>
      </w:r>
    </w:p>
    <w:p>
      <w:pPr>
        <w:spacing w:after="0" w:line="71" w:lineRule="exact"/>
        <w:rPr>
          <w:rFonts w:ascii="Arial" w:cs="Arial" w:eastAsia="Arial" w:hAnsi="Arial"/>
          <w:sz w:val="17"/>
          <w:szCs w:val="17"/>
          <w:color w:val="auto"/>
        </w:rPr>
      </w:pPr>
    </w:p>
    <w:p>
      <w:pPr>
        <w:ind w:left="1480" w:hanging="569"/>
        <w:spacing w:after="0" w:line="237" w:lineRule="auto"/>
        <w:tabs>
          <w:tab w:leader="none" w:pos="14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Kraft Foods Foundation contributions made as part of the Kraft Foods Foundation Matching Gift Program. For Ms. Hart and Messrs. Banga, McDonald and Reynolds, includes an additional amount of Kraft Foods Foundation contributions above the general $15,000 annual limit. In January and October 2011, the Foundation offered a two-for-one match promotion under which the Kraft Foods Foundation contributed amounts over the general annual limit to non-profit organizations on the director’s behalf. This two-for-one promotion was available to all our U.S. employees and directors on the same terms.</w:t>
      </w:r>
    </w:p>
    <w:p>
      <w:pPr>
        <w:spacing w:after="0" w:line="71" w:lineRule="exact"/>
        <w:rPr>
          <w:rFonts w:ascii="Arial" w:cs="Arial" w:eastAsia="Arial" w:hAnsi="Arial"/>
          <w:sz w:val="17"/>
          <w:szCs w:val="17"/>
          <w:color w:val="auto"/>
        </w:rPr>
      </w:pPr>
    </w:p>
    <w:p>
      <w:pPr>
        <w:ind w:left="1480" w:hanging="569"/>
        <w:spacing w:after="0"/>
        <w:tabs>
          <w:tab w:leader="none" w:pos="14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Mr. Henry joined the Board on May 24, 2011.</w:t>
      </w:r>
    </w:p>
    <w:p>
      <w:pPr>
        <w:spacing w:after="0" w:line="73" w:lineRule="exact"/>
        <w:rPr>
          <w:rFonts w:ascii="Arial" w:cs="Arial" w:eastAsia="Arial" w:hAnsi="Arial"/>
          <w:sz w:val="17"/>
          <w:szCs w:val="17"/>
          <w:color w:val="auto"/>
        </w:rPr>
      </w:pPr>
    </w:p>
    <w:p>
      <w:pPr>
        <w:ind w:left="1480" w:hanging="569"/>
        <w:spacing w:after="0"/>
        <w:tabs>
          <w:tab w:leader="none" w:pos="14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Ms. Wright and Mr. Zarb completed their terms on the Board on May 24, 2011.</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443" w:right="25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Non-Employee Director Stock Awards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17"/>
        </w:trPr>
        <w:tc>
          <w:tcPr>
            <w:tcW w:w="4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7"/>
              </w:rPr>
              <w:t>Grant Date Fair</w:t>
            </w:r>
          </w:p>
        </w:tc>
        <w:tc>
          <w:tcPr>
            <w:tcW w:w="0" w:type="dxa"/>
            <w:vAlign w:val="bottom"/>
          </w:tcPr>
          <w:p>
            <w:pPr>
              <w:spacing w:after="0"/>
              <w:rPr>
                <w:sz w:val="1"/>
                <w:szCs w:val="1"/>
                <w:color w:val="auto"/>
              </w:rPr>
            </w:pPr>
          </w:p>
        </w:tc>
      </w:tr>
      <w:tr>
        <w:trPr>
          <w:trHeight w:val="132"/>
        </w:trPr>
        <w:tc>
          <w:tcPr>
            <w:tcW w:w="4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4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rPr>
              <w:t>Value of Stock</w:t>
            </w:r>
          </w:p>
        </w:tc>
        <w:tc>
          <w:tcPr>
            <w:tcW w:w="0" w:type="dxa"/>
            <w:vAlign w:val="bottom"/>
          </w:tcPr>
          <w:p>
            <w:pPr>
              <w:spacing w:after="0"/>
              <w:rPr>
                <w:sz w:val="1"/>
                <w:szCs w:val="1"/>
                <w:color w:val="auto"/>
              </w:rPr>
            </w:pPr>
          </w:p>
        </w:tc>
      </w:tr>
      <w:tr>
        <w:trPr>
          <w:trHeight w:val="150"/>
        </w:trPr>
        <w:tc>
          <w:tcPr>
            <w:tcW w:w="410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vMerge w:val="restart"/>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8"/>
              </w:rPr>
              <w:t>Number of Shares</w:t>
            </w:r>
          </w:p>
        </w:tc>
        <w:tc>
          <w:tcPr>
            <w:tcW w:w="1100" w:type="dxa"/>
            <w:vAlign w:val="bottom"/>
          </w:tcPr>
          <w:p>
            <w:pPr>
              <w:spacing w:after="0"/>
              <w:rPr>
                <w:sz w:val="13"/>
                <w:szCs w:val="13"/>
                <w:color w:val="auto"/>
              </w:rPr>
            </w:pPr>
          </w:p>
        </w:tc>
        <w:tc>
          <w:tcPr>
            <w:tcW w:w="940" w:type="dxa"/>
            <w:vAlign w:val="bottom"/>
          </w:tcPr>
          <w:p>
            <w:pPr>
              <w:jc w:val="center"/>
              <w:spacing w:after="0" w:line="150" w:lineRule="exact"/>
              <w:rPr>
                <w:sz w:val="20"/>
                <w:szCs w:val="20"/>
                <w:color w:val="auto"/>
              </w:rPr>
            </w:pPr>
            <w:r>
              <w:rPr>
                <w:rFonts w:ascii="Arial" w:cs="Arial" w:eastAsia="Arial" w:hAnsi="Arial"/>
                <w:sz w:val="11"/>
                <w:szCs w:val="11"/>
                <w:b w:val="1"/>
                <w:bCs w:val="1"/>
                <w:color w:val="auto"/>
              </w:rPr>
              <w:t>Granted</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57"/>
        </w:trPr>
        <w:tc>
          <w:tcPr>
            <w:tcW w:w="4100" w:type="dxa"/>
            <w:vAlign w:val="bottom"/>
            <w:tcBorders>
              <w:bottom w:val="single" w:sz="8" w:color="auto"/>
            </w:tcBorders>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of Stock Granted</w:t>
            </w:r>
          </w:p>
        </w:tc>
        <w:tc>
          <w:tcPr>
            <w:tcW w:w="110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5"/>
        </w:trPr>
        <w:tc>
          <w:tcPr>
            <w:tcW w:w="5200" w:type="dxa"/>
            <w:vAlign w:val="bottom"/>
            <w:gridSpan w:val="2"/>
          </w:tcPr>
          <w:p>
            <w:pPr>
              <w:spacing w:after="0" w:line="185" w:lineRule="exact"/>
              <w:rPr>
                <w:sz w:val="20"/>
                <w:szCs w:val="20"/>
                <w:color w:val="auto"/>
              </w:rPr>
            </w:pPr>
            <w:r>
              <w:rPr>
                <w:rFonts w:ascii="Arial" w:cs="Arial" w:eastAsia="Arial" w:hAnsi="Arial"/>
                <w:sz w:val="17"/>
                <w:szCs w:val="17"/>
                <w:color w:val="auto"/>
              </w:rPr>
              <w:t>Banga, Ajaypal</w:t>
            </w:r>
          </w:p>
        </w:tc>
        <w:tc>
          <w:tcPr>
            <w:tcW w:w="1100" w:type="dxa"/>
            <w:vAlign w:val="bottom"/>
          </w:tcPr>
          <w:p>
            <w:pPr>
              <w:jc w:val="center"/>
              <w:spacing w:after="0" w:line="185" w:lineRule="exact"/>
              <w:rPr>
                <w:sz w:val="20"/>
                <w:szCs w:val="20"/>
                <w:color w:val="auto"/>
              </w:rPr>
            </w:pPr>
            <w:r>
              <w:rPr>
                <w:rFonts w:ascii="Arial" w:cs="Arial" w:eastAsia="Arial" w:hAnsi="Arial"/>
                <w:sz w:val="17"/>
                <w:szCs w:val="17"/>
                <w:color w:val="auto"/>
                <w:w w:val="98"/>
              </w:rPr>
              <w:t>3,580</w:t>
            </w:r>
          </w:p>
        </w:tc>
        <w:tc>
          <w:tcPr>
            <w:tcW w:w="2040" w:type="dxa"/>
            <w:vAlign w:val="bottom"/>
            <w:gridSpan w:val="2"/>
          </w:tcPr>
          <w:p>
            <w:pPr>
              <w:jc w:val="center"/>
              <w:ind w:left="1039"/>
              <w:spacing w:after="0" w:line="185"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Hart, Myra</w:t>
            </w:r>
          </w:p>
        </w:tc>
        <w:tc>
          <w:tcPr>
            <w:tcW w:w="11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8"/>
              </w:rPr>
              <w:t>3,580</w:t>
            </w:r>
          </w:p>
        </w:tc>
        <w:tc>
          <w:tcPr>
            <w:tcW w:w="2040" w:type="dxa"/>
            <w:vAlign w:val="bottom"/>
            <w:gridSpan w:val="2"/>
            <w:shd w:val="clear" w:color="auto" w:fill="D8D8D8"/>
          </w:tcPr>
          <w:p>
            <w:pPr>
              <w:jc w:val="center"/>
              <w:ind w:left="1039"/>
              <w:spacing w:after="0" w:line="192"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tcPr>
          <w:p>
            <w:pPr>
              <w:spacing w:after="0" w:line="192" w:lineRule="exact"/>
              <w:rPr>
                <w:sz w:val="20"/>
                <w:szCs w:val="20"/>
                <w:color w:val="auto"/>
              </w:rPr>
            </w:pPr>
            <w:r>
              <w:rPr>
                <w:rFonts w:ascii="Arial" w:cs="Arial" w:eastAsia="Arial" w:hAnsi="Arial"/>
                <w:sz w:val="17"/>
                <w:szCs w:val="17"/>
                <w:color w:val="auto"/>
              </w:rPr>
              <w:t>Henry, Peter</w:t>
            </w:r>
          </w:p>
        </w:tc>
        <w:tc>
          <w:tcPr>
            <w:tcW w:w="1100" w:type="dxa"/>
            <w:vAlign w:val="bottom"/>
          </w:tcPr>
          <w:p>
            <w:pPr>
              <w:jc w:val="center"/>
              <w:spacing w:after="0" w:line="192" w:lineRule="exact"/>
              <w:rPr>
                <w:sz w:val="20"/>
                <w:szCs w:val="20"/>
                <w:color w:val="auto"/>
              </w:rPr>
            </w:pPr>
            <w:r>
              <w:rPr>
                <w:rFonts w:ascii="Arial" w:cs="Arial" w:eastAsia="Arial" w:hAnsi="Arial"/>
                <w:sz w:val="17"/>
                <w:szCs w:val="17"/>
                <w:color w:val="auto"/>
                <w:w w:val="98"/>
              </w:rPr>
              <w:t>3,580</w:t>
            </w:r>
          </w:p>
        </w:tc>
        <w:tc>
          <w:tcPr>
            <w:tcW w:w="2040" w:type="dxa"/>
            <w:vAlign w:val="bottom"/>
            <w:gridSpan w:val="2"/>
          </w:tcPr>
          <w:p>
            <w:pPr>
              <w:jc w:val="center"/>
              <w:ind w:left="1039"/>
              <w:spacing w:after="0" w:line="192"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Juliber, Lois</w:t>
            </w:r>
          </w:p>
        </w:tc>
        <w:tc>
          <w:tcPr>
            <w:tcW w:w="11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8"/>
              </w:rPr>
              <w:t>3,580</w:t>
            </w:r>
          </w:p>
        </w:tc>
        <w:tc>
          <w:tcPr>
            <w:tcW w:w="2040" w:type="dxa"/>
            <w:vAlign w:val="bottom"/>
            <w:gridSpan w:val="2"/>
            <w:shd w:val="clear" w:color="auto" w:fill="D8D8D8"/>
          </w:tcPr>
          <w:p>
            <w:pPr>
              <w:jc w:val="center"/>
              <w:ind w:left="1039"/>
              <w:spacing w:after="0" w:line="192"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tcPr>
          <w:p>
            <w:pPr>
              <w:spacing w:after="0" w:line="192" w:lineRule="exact"/>
              <w:rPr>
                <w:sz w:val="20"/>
                <w:szCs w:val="20"/>
                <w:color w:val="auto"/>
              </w:rPr>
            </w:pPr>
            <w:r>
              <w:rPr>
                <w:rFonts w:ascii="Arial" w:cs="Arial" w:eastAsia="Arial" w:hAnsi="Arial"/>
                <w:sz w:val="17"/>
                <w:szCs w:val="17"/>
                <w:color w:val="auto"/>
              </w:rPr>
              <w:t>Ketchum, Mark</w:t>
            </w:r>
          </w:p>
        </w:tc>
        <w:tc>
          <w:tcPr>
            <w:tcW w:w="1100" w:type="dxa"/>
            <w:vAlign w:val="bottom"/>
          </w:tcPr>
          <w:p>
            <w:pPr>
              <w:jc w:val="center"/>
              <w:spacing w:after="0" w:line="192" w:lineRule="exact"/>
              <w:rPr>
                <w:sz w:val="20"/>
                <w:szCs w:val="20"/>
                <w:color w:val="auto"/>
              </w:rPr>
            </w:pPr>
            <w:r>
              <w:rPr>
                <w:rFonts w:ascii="Arial" w:cs="Arial" w:eastAsia="Arial" w:hAnsi="Arial"/>
                <w:sz w:val="17"/>
                <w:szCs w:val="17"/>
                <w:color w:val="auto"/>
                <w:w w:val="98"/>
              </w:rPr>
              <w:t>3,580</w:t>
            </w:r>
          </w:p>
        </w:tc>
        <w:tc>
          <w:tcPr>
            <w:tcW w:w="2040" w:type="dxa"/>
            <w:vAlign w:val="bottom"/>
            <w:gridSpan w:val="2"/>
          </w:tcPr>
          <w:p>
            <w:pPr>
              <w:jc w:val="center"/>
              <w:ind w:left="1039"/>
              <w:spacing w:after="0" w:line="192"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Lerner, Richard</w:t>
            </w:r>
          </w:p>
        </w:tc>
        <w:tc>
          <w:tcPr>
            <w:tcW w:w="11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8"/>
              </w:rPr>
              <w:t>3,580</w:t>
            </w:r>
          </w:p>
        </w:tc>
        <w:tc>
          <w:tcPr>
            <w:tcW w:w="2040" w:type="dxa"/>
            <w:vAlign w:val="bottom"/>
            <w:gridSpan w:val="2"/>
            <w:shd w:val="clear" w:color="auto" w:fill="D8D8D8"/>
          </w:tcPr>
          <w:p>
            <w:pPr>
              <w:jc w:val="center"/>
              <w:ind w:left="1039"/>
              <w:spacing w:after="0" w:line="192"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tcPr>
          <w:p>
            <w:pPr>
              <w:spacing w:after="0" w:line="192" w:lineRule="exact"/>
              <w:rPr>
                <w:sz w:val="20"/>
                <w:szCs w:val="20"/>
                <w:color w:val="auto"/>
              </w:rPr>
            </w:pPr>
            <w:r>
              <w:rPr>
                <w:rFonts w:ascii="Arial" w:cs="Arial" w:eastAsia="Arial" w:hAnsi="Arial"/>
                <w:sz w:val="17"/>
                <w:szCs w:val="17"/>
                <w:color w:val="auto"/>
              </w:rPr>
              <w:t>McDonald, Mackey</w:t>
            </w:r>
          </w:p>
        </w:tc>
        <w:tc>
          <w:tcPr>
            <w:tcW w:w="1100" w:type="dxa"/>
            <w:vAlign w:val="bottom"/>
          </w:tcPr>
          <w:p>
            <w:pPr>
              <w:jc w:val="center"/>
              <w:spacing w:after="0" w:line="192" w:lineRule="exact"/>
              <w:rPr>
                <w:sz w:val="20"/>
                <w:szCs w:val="20"/>
                <w:color w:val="auto"/>
              </w:rPr>
            </w:pPr>
            <w:r>
              <w:rPr>
                <w:rFonts w:ascii="Arial" w:cs="Arial" w:eastAsia="Arial" w:hAnsi="Arial"/>
                <w:sz w:val="17"/>
                <w:szCs w:val="17"/>
                <w:color w:val="auto"/>
                <w:w w:val="98"/>
              </w:rPr>
              <w:t>3,580</w:t>
            </w:r>
          </w:p>
        </w:tc>
        <w:tc>
          <w:tcPr>
            <w:tcW w:w="2040" w:type="dxa"/>
            <w:vAlign w:val="bottom"/>
            <w:gridSpan w:val="2"/>
          </w:tcPr>
          <w:p>
            <w:pPr>
              <w:jc w:val="center"/>
              <w:ind w:left="1039"/>
              <w:spacing w:after="0" w:line="192"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Pope, John</w:t>
            </w:r>
          </w:p>
        </w:tc>
        <w:tc>
          <w:tcPr>
            <w:tcW w:w="11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8"/>
              </w:rPr>
              <w:t>3,580</w:t>
            </w:r>
          </w:p>
        </w:tc>
        <w:tc>
          <w:tcPr>
            <w:tcW w:w="2040" w:type="dxa"/>
            <w:vAlign w:val="bottom"/>
            <w:gridSpan w:val="2"/>
            <w:shd w:val="clear" w:color="auto" w:fill="D8D8D8"/>
          </w:tcPr>
          <w:p>
            <w:pPr>
              <w:jc w:val="center"/>
              <w:ind w:left="1039"/>
              <w:spacing w:after="0" w:line="192"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tcPr>
          <w:p>
            <w:pPr>
              <w:spacing w:after="0" w:line="192" w:lineRule="exact"/>
              <w:rPr>
                <w:sz w:val="20"/>
                <w:szCs w:val="20"/>
                <w:color w:val="auto"/>
              </w:rPr>
            </w:pPr>
            <w:r>
              <w:rPr>
                <w:rFonts w:ascii="Arial" w:cs="Arial" w:eastAsia="Arial" w:hAnsi="Arial"/>
                <w:sz w:val="17"/>
                <w:szCs w:val="17"/>
                <w:color w:val="auto"/>
              </w:rPr>
              <w:t>Reynolds, Fredric</w:t>
            </w:r>
          </w:p>
        </w:tc>
        <w:tc>
          <w:tcPr>
            <w:tcW w:w="1100" w:type="dxa"/>
            <w:vAlign w:val="bottom"/>
          </w:tcPr>
          <w:p>
            <w:pPr>
              <w:jc w:val="center"/>
              <w:spacing w:after="0" w:line="192" w:lineRule="exact"/>
              <w:rPr>
                <w:sz w:val="20"/>
                <w:szCs w:val="20"/>
                <w:color w:val="auto"/>
              </w:rPr>
            </w:pPr>
            <w:r>
              <w:rPr>
                <w:rFonts w:ascii="Arial" w:cs="Arial" w:eastAsia="Arial" w:hAnsi="Arial"/>
                <w:sz w:val="17"/>
                <w:szCs w:val="17"/>
                <w:color w:val="auto"/>
                <w:w w:val="98"/>
              </w:rPr>
              <w:t>3,580</w:t>
            </w:r>
          </w:p>
        </w:tc>
        <w:tc>
          <w:tcPr>
            <w:tcW w:w="2040" w:type="dxa"/>
            <w:vAlign w:val="bottom"/>
            <w:gridSpan w:val="2"/>
          </w:tcPr>
          <w:p>
            <w:pPr>
              <w:jc w:val="center"/>
              <w:ind w:left="1039"/>
              <w:spacing w:after="0" w:line="192"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van Boxmeer, Jean-François</w:t>
            </w:r>
          </w:p>
        </w:tc>
        <w:tc>
          <w:tcPr>
            <w:tcW w:w="110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8"/>
              </w:rPr>
              <w:t>3,580</w:t>
            </w:r>
          </w:p>
        </w:tc>
        <w:tc>
          <w:tcPr>
            <w:tcW w:w="2040" w:type="dxa"/>
            <w:vAlign w:val="bottom"/>
            <w:gridSpan w:val="2"/>
            <w:shd w:val="clear" w:color="auto" w:fill="D8D8D8"/>
          </w:tcPr>
          <w:p>
            <w:pPr>
              <w:jc w:val="center"/>
              <w:ind w:left="1039"/>
              <w:spacing w:after="0" w:line="192" w:lineRule="exact"/>
              <w:rPr>
                <w:sz w:val="20"/>
                <w:szCs w:val="20"/>
                <w:color w:val="auto"/>
              </w:rPr>
            </w:pPr>
            <w:r>
              <w:rPr>
                <w:rFonts w:ascii="Arial" w:cs="Arial" w:eastAsia="Arial" w:hAnsi="Arial"/>
                <w:sz w:val="17"/>
                <w:szCs w:val="17"/>
                <w:color w:val="auto"/>
                <w:w w:val="97"/>
              </w:rPr>
              <w:t>125,049</w:t>
            </w:r>
          </w:p>
        </w:tc>
        <w:tc>
          <w:tcPr>
            <w:tcW w:w="0" w:type="dxa"/>
            <w:vAlign w:val="bottom"/>
          </w:tcPr>
          <w:p>
            <w:pPr>
              <w:spacing w:after="0"/>
              <w:rPr>
                <w:sz w:val="1"/>
                <w:szCs w:val="1"/>
                <w:color w:val="auto"/>
              </w:rPr>
            </w:pPr>
          </w:p>
        </w:tc>
      </w:tr>
      <w:tr>
        <w:trPr>
          <w:trHeight w:val="192"/>
        </w:trPr>
        <w:tc>
          <w:tcPr>
            <w:tcW w:w="5200" w:type="dxa"/>
            <w:vAlign w:val="bottom"/>
            <w:gridSpan w:val="2"/>
          </w:tcPr>
          <w:p>
            <w:pPr>
              <w:spacing w:after="0" w:line="192" w:lineRule="exact"/>
              <w:rPr>
                <w:sz w:val="20"/>
                <w:szCs w:val="20"/>
                <w:color w:val="auto"/>
              </w:rPr>
            </w:pPr>
            <w:r>
              <w:rPr>
                <w:rFonts w:ascii="Arial" w:cs="Arial" w:eastAsia="Arial" w:hAnsi="Arial"/>
                <w:sz w:val="17"/>
                <w:szCs w:val="17"/>
                <w:color w:val="auto"/>
              </w:rPr>
              <w:t>Wright, Deborah</w:t>
            </w:r>
            <w:r>
              <w:rPr>
                <w:rFonts w:ascii="Arial" w:cs="Arial" w:eastAsia="Arial" w:hAnsi="Arial"/>
                <w:sz w:val="10"/>
                <w:szCs w:val="10"/>
                <w:color w:val="auto"/>
              </w:rPr>
              <w:t>(2)</w:t>
            </w:r>
          </w:p>
        </w:tc>
        <w:tc>
          <w:tcPr>
            <w:tcW w:w="1100" w:type="dxa"/>
            <w:vAlign w:val="bottom"/>
          </w:tcPr>
          <w:p>
            <w:pPr>
              <w:ind w:left="420"/>
              <w:spacing w:after="0" w:line="192" w:lineRule="exact"/>
              <w:rPr>
                <w:sz w:val="20"/>
                <w:szCs w:val="20"/>
                <w:color w:val="auto"/>
              </w:rPr>
            </w:pPr>
            <w:r>
              <w:rPr>
                <w:rFonts w:ascii="Arial" w:cs="Arial" w:eastAsia="Arial" w:hAnsi="Arial"/>
                <w:sz w:val="17"/>
                <w:szCs w:val="17"/>
                <w:color w:val="auto"/>
              </w:rPr>
              <w:t>—</w:t>
            </w:r>
          </w:p>
        </w:tc>
        <w:tc>
          <w:tcPr>
            <w:tcW w:w="1100" w:type="dxa"/>
            <w:vAlign w:val="bottom"/>
          </w:tcPr>
          <w:p>
            <w:pPr>
              <w:spacing w:after="0"/>
              <w:rPr>
                <w:sz w:val="16"/>
                <w:szCs w:val="16"/>
                <w:color w:val="auto"/>
              </w:rPr>
            </w:pPr>
          </w:p>
        </w:tc>
        <w:tc>
          <w:tcPr>
            <w:tcW w:w="940" w:type="dxa"/>
            <w:vAlign w:val="bottom"/>
          </w:tcPr>
          <w:p>
            <w:pPr>
              <w:ind w:left="34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520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Zarb, Frank</w:t>
            </w:r>
            <w:r>
              <w:rPr>
                <w:rFonts w:ascii="Arial" w:cs="Arial" w:eastAsia="Arial" w:hAnsi="Arial"/>
                <w:sz w:val="10"/>
                <w:szCs w:val="10"/>
                <w:color w:val="auto"/>
              </w:rPr>
              <w:t>(2)</w:t>
            </w:r>
          </w:p>
        </w:tc>
        <w:tc>
          <w:tcPr>
            <w:tcW w:w="1100" w:type="dxa"/>
            <w:vAlign w:val="bottom"/>
            <w:shd w:val="clear" w:color="auto" w:fill="D8D8D8"/>
          </w:tcPr>
          <w:p>
            <w:pPr>
              <w:ind w:left="420"/>
              <w:spacing w:after="0" w:line="192" w:lineRule="exact"/>
              <w:rPr>
                <w:sz w:val="20"/>
                <w:szCs w:val="20"/>
                <w:color w:val="auto"/>
              </w:rPr>
            </w:pPr>
            <w:r>
              <w:rPr>
                <w:rFonts w:ascii="Arial" w:cs="Arial" w:eastAsia="Arial" w:hAnsi="Arial"/>
                <w:sz w:val="17"/>
                <w:szCs w:val="17"/>
                <w:color w:val="auto"/>
              </w:rPr>
              <w:t>—</w:t>
            </w:r>
          </w:p>
        </w:tc>
        <w:tc>
          <w:tcPr>
            <w:tcW w:w="1100" w:type="dxa"/>
            <w:vAlign w:val="bottom"/>
            <w:shd w:val="clear" w:color="auto" w:fill="D8D8D8"/>
          </w:tcPr>
          <w:p>
            <w:pPr>
              <w:spacing w:after="0"/>
              <w:rPr>
                <w:sz w:val="16"/>
                <w:szCs w:val="16"/>
                <w:color w:val="auto"/>
              </w:rPr>
            </w:pPr>
          </w:p>
        </w:tc>
        <w:tc>
          <w:tcPr>
            <w:tcW w:w="940" w:type="dxa"/>
            <w:vAlign w:val="bottom"/>
            <w:shd w:val="clear" w:color="auto" w:fill="D8D8D8"/>
          </w:tcPr>
          <w:p>
            <w:pPr>
              <w:ind w:left="34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64770</wp:posOffset>
            </wp:positionV>
            <wp:extent cx="7226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4" w:lineRule="exact"/>
        <w:rPr>
          <w:sz w:val="20"/>
          <w:szCs w:val="20"/>
          <w:color w:val="auto"/>
        </w:rPr>
      </w:pPr>
    </w:p>
    <w:p>
      <w:pPr>
        <w:ind w:left="1480" w:hanging="569"/>
        <w:spacing w:after="0" w:line="235" w:lineRule="auto"/>
        <w:tabs>
          <w:tab w:leader="none" w:pos="1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amounts shown in this column represent the full grant date fair value of the deferred stock awards granted in 2011 as computed in accordance with FASB ASC Topic 718.</w:t>
      </w:r>
    </w:p>
    <w:p>
      <w:pPr>
        <w:ind w:left="1480" w:hanging="569"/>
        <w:spacing w:after="0"/>
        <w:tabs>
          <w:tab w:leader="none" w:pos="1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Ms. Wright and Mr. Zarb completed their terms on May 24, 2011 prior to the 2011 annual stock grant.</w:t>
      </w:r>
    </w:p>
    <w:p>
      <w:pPr>
        <w:spacing w:after="0" w:line="15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As of December 31, 2011, each non-employee director had an aggregate of 7,701 deferred stock awards outstanding, except for Mr. Henry who had 3,580 deferred stock awards outstanding. In addition, as of December 31, 2011, Mr. Pope held options to purchase 1,710 shares of our common stock.</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360"/>
          </w:cols>
          <w:pgMar w:left="240" w:top="443" w:right="29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ind w:left="3140"/>
        <w:spacing w:after="0"/>
        <w:rPr>
          <w:sz w:val="20"/>
          <w:szCs w:val="20"/>
          <w:color w:val="auto"/>
        </w:rPr>
      </w:pPr>
      <w:r>
        <w:rPr>
          <w:rFonts w:ascii="Arial" w:cs="Arial" w:eastAsia="Arial" w:hAnsi="Arial"/>
          <w:sz w:val="23"/>
          <w:szCs w:val="23"/>
          <w:b w:val="1"/>
          <w:bCs w:val="1"/>
          <w:color w:val="auto"/>
        </w:rPr>
        <w:t>COMPENSATION DISCUSSION AND ANALYSIS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In our Compensation Discussion and Analysis, we:</w:t>
      </w:r>
    </w:p>
    <w:p>
      <w:pPr>
        <w:spacing w:after="0" w:line="73" w:lineRule="exact"/>
        <w:rPr>
          <w:sz w:val="20"/>
          <w:szCs w:val="20"/>
          <w:color w:val="auto"/>
        </w:rPr>
      </w:pPr>
    </w:p>
    <w:p>
      <w:pPr>
        <w:ind w:left="880" w:hanging="315"/>
        <w:spacing w:after="0"/>
        <w:tabs>
          <w:tab w:leader="none" w:pos="8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describe our goals for compensating our executive officers;</w:t>
      </w:r>
    </w:p>
    <w:p>
      <w:pPr>
        <w:spacing w:after="0" w:line="73" w:lineRule="exact"/>
        <w:rPr>
          <w:rFonts w:ascii="Arial" w:cs="Arial" w:eastAsia="Arial" w:hAnsi="Arial"/>
          <w:sz w:val="17"/>
          <w:szCs w:val="17"/>
          <w:color w:val="auto"/>
        </w:rPr>
      </w:pPr>
    </w:p>
    <w:p>
      <w:pPr>
        <w:ind w:left="880" w:right="160" w:hanging="315"/>
        <w:spacing w:after="0" w:line="241" w:lineRule="auto"/>
        <w:tabs>
          <w:tab w:leader="none" w:pos="8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describe how we designed our compensation program and explain how executive compensation decisions reflect both Kraft Foods’ business performance and the individual performance goals for each of our Named Executive Officers; and</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explain the tables and other disclosures that follow.</w:t>
      </w:r>
    </w:p>
    <w:p>
      <w:pPr>
        <w:spacing w:after="0" w:line="150" w:lineRule="exact"/>
        <w:rPr>
          <w:sz w:val="20"/>
          <w:szCs w:val="20"/>
          <w:color w:val="auto"/>
        </w:rPr>
      </w:pPr>
    </w:p>
    <w:p>
      <w:pPr>
        <w:ind w:right="640"/>
        <w:spacing w:after="0" w:line="241" w:lineRule="auto"/>
        <w:rPr>
          <w:sz w:val="20"/>
          <w:szCs w:val="20"/>
          <w:color w:val="auto"/>
        </w:rPr>
      </w:pPr>
      <w:r>
        <w:rPr>
          <w:rFonts w:ascii="Arial" w:cs="Arial" w:eastAsia="Arial" w:hAnsi="Arial"/>
          <w:sz w:val="17"/>
          <w:szCs w:val="17"/>
          <w:color w:val="auto"/>
        </w:rPr>
        <w:t>This Compensation Discussion and Analysis presents compensation information for the following individuals (referred to as our “Named Executive Officers”):</w:t>
      </w:r>
    </w:p>
    <w:p>
      <w:pPr>
        <w:spacing w:after="0" w:line="68" w:lineRule="exact"/>
        <w:rPr>
          <w:sz w:val="20"/>
          <w:szCs w:val="20"/>
          <w:color w:val="auto"/>
        </w:rPr>
      </w:pPr>
    </w:p>
    <w:p>
      <w:pPr>
        <w:ind w:left="880" w:hanging="315"/>
        <w:spacing w:after="0"/>
        <w:tabs>
          <w:tab w:leader="none" w:pos="8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Irene Rosenfeld, who served as our Chairman and Chief Executive Officer (“CEO”) in 2011;</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David Brearton, who served as our Chief Financial Officer for part of 2011;</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Timothy McLevish, who served as our Chief Financial Officer for part of 2011;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Sanjay Khosla, W. Anthony Vernon and Mary Beth West, our three other most highly compensated executive officers during 2011.</w:t>
      </w:r>
    </w:p>
    <w:p>
      <w:pPr>
        <w:spacing w:after="0" w:line="15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Named Executive Officers include Timothy McLevish who concluded his tenure as Chief Financial Officer effective May 9, 2011. He continues to serve as our Executive Vice President. David Brearton has served as our Executive Vice President and Chief Financial Officer since May 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282815" cy="30181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2815" cy="3018155"/>
                    </a:xfrm>
                    <a:prstGeom prst="rect">
                      <a:avLst/>
                    </a:prstGeom>
                    <a:noFill/>
                  </pic:spPr>
                </pic:pic>
              </a:graphicData>
            </a:graphic>
          </wp:anchor>
        </w:drawing>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Executive Summary</w:t>
      </w:r>
    </w:p>
    <w:p>
      <w:pPr>
        <w:spacing w:after="0" w:line="170" w:lineRule="exact"/>
        <w:rPr>
          <w:sz w:val="20"/>
          <w:szCs w:val="20"/>
          <w:color w:val="auto"/>
        </w:rPr>
      </w:pPr>
    </w:p>
    <w:p>
      <w:pPr>
        <w:ind w:left="240" w:right="560"/>
        <w:spacing w:after="0" w:line="257" w:lineRule="auto"/>
        <w:rPr>
          <w:sz w:val="20"/>
          <w:szCs w:val="20"/>
          <w:color w:val="auto"/>
        </w:rPr>
      </w:pPr>
      <w:r>
        <w:rPr>
          <w:rFonts w:ascii="Arial" w:cs="Arial" w:eastAsia="Arial" w:hAnsi="Arial"/>
          <w:sz w:val="16"/>
          <w:szCs w:val="16"/>
          <w:color w:val="auto"/>
        </w:rPr>
        <w:t>In this section we highlight our 2011 performance and the key actions the Human Resources and Compensation Committee (referred to in this Compensation Discussion and Analysis as the “Committee”) took to further align the interests of our Named Executive Officers with those of our shareholders. We also include a summary of our compensation governance highlights to provide a better understanding of the Committee’s pay decisions relative to company performance in 2011 and our most recently completed three-year (2009 – 2011) performance cycle.</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2011 Performance</w:t>
      </w:r>
    </w:p>
    <w:p>
      <w:pPr>
        <w:spacing w:after="0" w:line="168" w:lineRule="exact"/>
        <w:rPr>
          <w:sz w:val="20"/>
          <w:szCs w:val="20"/>
          <w:color w:val="auto"/>
        </w:rPr>
      </w:pPr>
    </w:p>
    <w:p>
      <w:pPr>
        <w:ind w:left="240" w:right="240"/>
        <w:spacing w:after="0" w:line="228" w:lineRule="auto"/>
        <w:rPr>
          <w:sz w:val="20"/>
          <w:szCs w:val="20"/>
          <w:color w:val="auto"/>
        </w:rPr>
      </w:pPr>
      <w:r>
        <w:rPr>
          <w:rFonts w:ascii="Arial" w:cs="Arial" w:eastAsia="Arial" w:hAnsi="Arial"/>
          <w:sz w:val="17"/>
          <w:szCs w:val="17"/>
          <w:color w:val="auto"/>
        </w:rPr>
        <w:t>In 2011, we delivered superior financial performance including top-tier revenue growth and earnings results. Our net revenues grew 10.5% while our Organic Net Revenue Growth</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was 6.6%. Operating Earnings Per Share (“EPS”) was $2.29, an increase of 13.4%, driven primarily by operating gains, lower tax cost and favorable foreign currency. Each of our geographical segments contributed to our strong performance. Strong operating gains, cost management and delivery on our Cadbury integration synergies all contributed to drive our strong profitability growth. Cash flow results were also strong for the second straight year. Our Total Shareholder Return during 2011 was 22.7%, which significantly exceeded the median of our Performance Peer Group (10.2%).</w:t>
      </w:r>
    </w:p>
    <w:p>
      <w:pPr>
        <w:spacing w:after="0" w:line="147" w:lineRule="exact"/>
        <w:rPr>
          <w:sz w:val="20"/>
          <w:szCs w:val="20"/>
          <w:color w:val="auto"/>
        </w:rPr>
      </w:pPr>
    </w:p>
    <w:p>
      <w:pPr>
        <w:ind w:left="240" w:right="400"/>
        <w:spacing w:after="0" w:line="241" w:lineRule="auto"/>
        <w:rPr>
          <w:sz w:val="20"/>
          <w:szCs w:val="20"/>
          <w:color w:val="auto"/>
        </w:rPr>
      </w:pPr>
      <w:r>
        <w:rPr>
          <w:rFonts w:ascii="Arial" w:cs="Arial" w:eastAsia="Arial" w:hAnsi="Arial"/>
          <w:sz w:val="17"/>
          <w:szCs w:val="17"/>
          <w:color w:val="auto"/>
        </w:rPr>
        <w:t>In the midst of delivering strong operating performance, we announced the Spin-off, which the Committee considered when evaluating our Named Executive Officers’ performance in 2011.</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2011 Performance and Impact to Annual Cash Incentive Payouts</w:t>
      </w:r>
    </w:p>
    <w:p>
      <w:pPr>
        <w:spacing w:after="0" w:line="168" w:lineRule="exact"/>
        <w:rPr>
          <w:sz w:val="20"/>
          <w:szCs w:val="20"/>
          <w:color w:val="auto"/>
        </w:rPr>
      </w:pPr>
    </w:p>
    <w:p>
      <w:pPr>
        <w:ind w:left="240" w:right="280"/>
        <w:spacing w:after="0" w:line="239" w:lineRule="auto"/>
        <w:rPr>
          <w:sz w:val="20"/>
          <w:szCs w:val="20"/>
          <w:color w:val="auto"/>
        </w:rPr>
      </w:pPr>
      <w:r>
        <w:rPr>
          <w:rFonts w:ascii="Arial" w:cs="Arial" w:eastAsia="Arial" w:hAnsi="Arial"/>
          <w:sz w:val="17"/>
          <w:szCs w:val="17"/>
          <w:color w:val="auto"/>
        </w:rPr>
        <w:t>In early 2012, the Committee reviewed performance with respect to the 2011 Annual Cash Incentive Program objectives. We significantly exceeded our top line growth goal and were slightly below our aggressive profitability and cash flow goals. Our 2011 performance, which drove Annual Cash Incentive Program payouts for our Named Executive Officers, is as follows:</w:t>
      </w:r>
    </w:p>
    <w:p>
      <w:pPr>
        <w:spacing w:after="0" w:line="68" w:lineRule="exact"/>
        <w:rPr>
          <w:sz w:val="20"/>
          <w:szCs w:val="20"/>
          <w:color w:val="auto"/>
        </w:rPr>
      </w:pPr>
    </w:p>
    <w:p>
      <w:pPr>
        <w:ind w:left="900" w:hanging="318"/>
        <w:spacing w:after="0"/>
        <w:tabs>
          <w:tab w:leader="none" w:pos="9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Organic Net Revenue Growth – 6.6%</w:t>
      </w:r>
    </w:p>
    <w:p>
      <w:pPr>
        <w:spacing w:after="0" w:line="188" w:lineRule="exact"/>
        <w:rPr>
          <w:rFonts w:ascii="Arial" w:cs="Arial" w:eastAsia="Arial" w:hAnsi="Arial"/>
          <w:sz w:val="17"/>
          <w:szCs w:val="17"/>
          <w:color w:val="auto"/>
        </w:rPr>
      </w:pPr>
    </w:p>
    <w:p>
      <w:pPr>
        <w:ind w:left="5620" w:right="3560" w:hanging="5618"/>
        <w:spacing w:after="0" w:line="414" w:lineRule="auto"/>
        <w:tabs>
          <w:tab w:leader="none" w:pos="449" w:val="left"/>
        </w:tabs>
        <w:numPr>
          <w:ilvl w:val="0"/>
          <w:numId w:val="48"/>
        </w:numPr>
        <w:rPr>
          <w:rFonts w:ascii="Arial" w:cs="Arial" w:eastAsia="Arial" w:hAnsi="Arial"/>
          <w:sz w:val="17"/>
          <w:szCs w:val="17"/>
          <w:color w:val="auto"/>
        </w:rPr>
      </w:pPr>
      <w:r>
        <w:rPr>
          <w:rFonts w:ascii="Arial" w:cs="Arial" w:eastAsia="Arial" w:hAnsi="Arial"/>
          <w:sz w:val="17"/>
          <w:szCs w:val="17"/>
          <w:color w:val="auto"/>
        </w:rPr>
        <w:t>See Exhibit A to this Proxy Statement for a reconciliation of GAAP to non-GAAP financial measures.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-454025</wp:posOffset>
            </wp:positionV>
            <wp:extent cx="7226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ectPr>
          <w:pgSz w:w="11900" w:h="16838" w:orient="portrait"/>
          <w:cols w:equalWidth="0" w:num="1">
            <w:col w:w="11360"/>
          </w:cols>
          <w:pgMar w:left="240" w:top="443" w:right="29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192405</wp:posOffset>
            </wp:positionV>
            <wp:extent cx="7282815" cy="51542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2815" cy="515429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900" w:hanging="318"/>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Adjusted Operating Income</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 $7.1 billion</w:t>
      </w:r>
    </w:p>
    <w:p>
      <w:pPr>
        <w:spacing w:after="0" w:line="27" w:lineRule="exact"/>
        <w:rPr>
          <w:rFonts w:ascii="Arial" w:cs="Arial" w:eastAsia="Arial" w:hAnsi="Arial"/>
          <w:sz w:val="17"/>
          <w:szCs w:val="17"/>
          <w:color w:val="auto"/>
        </w:rPr>
      </w:pPr>
    </w:p>
    <w:p>
      <w:pPr>
        <w:ind w:left="900" w:hanging="318"/>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Free Cash Flow</w:t>
      </w:r>
      <w:r>
        <w:rPr>
          <w:rFonts w:ascii="Arial" w:cs="Arial" w:eastAsia="Arial" w:hAnsi="Arial"/>
          <w:sz w:val="21"/>
          <w:szCs w:val="21"/>
          <w:color w:val="auto"/>
          <w:vertAlign w:val="superscript"/>
        </w:rPr>
        <w:t>(1)</w:t>
      </w:r>
      <w:r>
        <w:rPr>
          <w:rFonts w:ascii="Arial" w:cs="Arial" w:eastAsia="Arial" w:hAnsi="Arial"/>
          <w:sz w:val="17"/>
          <w:szCs w:val="17"/>
          <w:color w:val="auto"/>
        </w:rPr>
        <w:t xml:space="preserve"> – $2.7 billion</w:t>
      </w:r>
    </w:p>
    <w:p>
      <w:pPr>
        <w:spacing w:after="0" w:line="104" w:lineRule="exact"/>
        <w:rPr>
          <w:sz w:val="20"/>
          <w:szCs w:val="20"/>
          <w:color w:val="auto"/>
        </w:rPr>
      </w:pPr>
    </w:p>
    <w:p>
      <w:pPr>
        <w:ind w:left="240" w:right="440"/>
        <w:spacing w:after="0" w:line="238" w:lineRule="auto"/>
        <w:rPr>
          <w:sz w:val="20"/>
          <w:szCs w:val="20"/>
          <w:color w:val="auto"/>
        </w:rPr>
      </w:pPr>
      <w:r>
        <w:rPr>
          <w:rFonts w:ascii="Arial" w:cs="Arial" w:eastAsia="Arial" w:hAnsi="Arial"/>
          <w:sz w:val="17"/>
          <w:szCs w:val="17"/>
          <w:color w:val="auto"/>
        </w:rPr>
        <w:t>Based on these results, our overall Annual Cash Incentive Plan rating for 2011 was 130% of target. See “– Elements of Executive Compensation – Annual Cash Incentive Program – 2011 Business Unit Ratings” below for more information about our results relative to targets. See “- Additional Information on Compensation Principles – Providing Competitive Pay – Composition and Purpose of the Performance Peer Group” below for additional information regarding our Performance Peer Group.</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2009 – 2011 Performance and Impact to Long-Term Incentive Plan (“LTIP”) Payouts</w:t>
      </w:r>
    </w:p>
    <w:p>
      <w:pPr>
        <w:spacing w:after="0" w:line="168" w:lineRule="exact"/>
        <w:rPr>
          <w:sz w:val="20"/>
          <w:szCs w:val="20"/>
          <w:color w:val="auto"/>
        </w:rPr>
      </w:pPr>
    </w:p>
    <w:p>
      <w:pPr>
        <w:ind w:left="240" w:right="240"/>
        <w:spacing w:after="0" w:line="239" w:lineRule="auto"/>
        <w:rPr>
          <w:sz w:val="20"/>
          <w:szCs w:val="20"/>
          <w:color w:val="auto"/>
        </w:rPr>
      </w:pPr>
      <w:r>
        <w:rPr>
          <w:rFonts w:ascii="Arial" w:cs="Arial" w:eastAsia="Arial" w:hAnsi="Arial"/>
          <w:sz w:val="17"/>
          <w:szCs w:val="17"/>
          <w:color w:val="auto"/>
        </w:rPr>
        <w:t>Overall, we delivered above target results during the three-year performance cycle from 2009 to 2011. Strong Operating EPS Growth and Cumulative Adjusted Free Cash Flow generation, combined with slightly below target Organic Net Revenue Growth results, significantly impacted the final payout. During this period, our Relative Total Shareholder Return outperformed the median of our Performance Peer Group.</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Our 2009 – 2011 performance that drove LTIP payouts for our eligible Named Executive Officers was as follows:</w:t>
      </w:r>
    </w:p>
    <w:p>
      <w:pPr>
        <w:spacing w:after="0" w:line="73" w:lineRule="exact"/>
        <w:rPr>
          <w:sz w:val="20"/>
          <w:szCs w:val="20"/>
          <w:color w:val="auto"/>
        </w:rPr>
      </w:pPr>
    </w:p>
    <w:p>
      <w:pPr>
        <w:ind w:left="900" w:hanging="318"/>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Organic Net Revenue Growth – 3.9%</w:t>
      </w:r>
    </w:p>
    <w:p>
      <w:pPr>
        <w:spacing w:after="0" w:line="73" w:lineRule="exact"/>
        <w:rPr>
          <w:rFonts w:ascii="Arial" w:cs="Arial" w:eastAsia="Arial" w:hAnsi="Arial"/>
          <w:sz w:val="17"/>
          <w:szCs w:val="17"/>
          <w:color w:val="auto"/>
        </w:rPr>
      </w:pPr>
    </w:p>
    <w:p>
      <w:pPr>
        <w:ind w:left="900" w:hanging="318"/>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Operating EPS Growth – 10.7%</w:t>
      </w:r>
    </w:p>
    <w:p>
      <w:pPr>
        <w:spacing w:after="0" w:line="73" w:lineRule="exact"/>
        <w:rPr>
          <w:rFonts w:ascii="Arial" w:cs="Arial" w:eastAsia="Arial" w:hAnsi="Arial"/>
          <w:sz w:val="17"/>
          <w:szCs w:val="17"/>
          <w:color w:val="auto"/>
        </w:rPr>
      </w:pPr>
    </w:p>
    <w:p>
      <w:pPr>
        <w:ind w:left="900" w:hanging="318"/>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Cumulative Adjusted Free Cash Flow – $10.2 billion</w:t>
      </w:r>
    </w:p>
    <w:p>
      <w:pPr>
        <w:spacing w:after="0" w:line="73" w:lineRule="exact"/>
        <w:rPr>
          <w:rFonts w:ascii="Arial" w:cs="Arial" w:eastAsia="Arial" w:hAnsi="Arial"/>
          <w:sz w:val="17"/>
          <w:szCs w:val="17"/>
          <w:color w:val="auto"/>
        </w:rPr>
      </w:pPr>
    </w:p>
    <w:p>
      <w:pPr>
        <w:ind w:left="900" w:right="320" w:hanging="318"/>
        <w:spacing w:after="0" w:line="241"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Annualized Relative Total Shareholder Return – Above Performance Peer Group median (Kraft Foods annualized Total Shareholder Return of 16.1% compared to 15.3% median for the Performance Peer Group)</w:t>
      </w:r>
    </w:p>
    <w:p>
      <w:pPr>
        <w:spacing w:after="0" w:line="145" w:lineRule="exact"/>
        <w:rPr>
          <w:sz w:val="20"/>
          <w:szCs w:val="20"/>
          <w:color w:val="auto"/>
        </w:rPr>
      </w:pPr>
    </w:p>
    <w:p>
      <w:pPr>
        <w:ind w:left="240" w:right="280"/>
        <w:spacing w:after="0" w:line="239" w:lineRule="auto"/>
        <w:rPr>
          <w:sz w:val="20"/>
          <w:szCs w:val="20"/>
          <w:color w:val="auto"/>
        </w:rPr>
      </w:pPr>
      <w:r>
        <w:rPr>
          <w:rFonts w:ascii="Arial" w:cs="Arial" w:eastAsia="Arial" w:hAnsi="Arial"/>
          <w:sz w:val="17"/>
          <w:szCs w:val="17"/>
          <w:color w:val="auto"/>
        </w:rPr>
        <w:t>Based on these results relative to target, our overall LTIP rating for the 2009 – 2011 performance cycle was 141% of target. See “– Elements of Executive Compensation – Long-Term Incentives – LTIP – Performance Shares (2009 – 2011 Performance Cycle)” below for more information about our results relative to targets.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Compensation Governance Highlights</w:t>
      </w:r>
    </w:p>
    <w:p>
      <w:pPr>
        <w:spacing w:after="0" w:line="168" w:lineRule="exact"/>
        <w:rPr>
          <w:sz w:val="20"/>
          <w:szCs w:val="20"/>
          <w:color w:val="auto"/>
        </w:rPr>
      </w:pPr>
    </w:p>
    <w:p>
      <w:pPr>
        <w:ind w:left="240" w:right="280"/>
        <w:spacing w:after="0" w:line="241" w:lineRule="auto"/>
        <w:rPr>
          <w:sz w:val="20"/>
          <w:szCs w:val="20"/>
          <w:color w:val="auto"/>
        </w:rPr>
      </w:pPr>
      <w:r>
        <w:rPr>
          <w:rFonts w:ascii="Arial" w:cs="Arial" w:eastAsia="Arial" w:hAnsi="Arial"/>
          <w:sz w:val="17"/>
          <w:szCs w:val="17"/>
          <w:color w:val="auto"/>
        </w:rPr>
        <w:t>The Committee continues to ensure that we compensate our Named Executive Officers effectively and consistent with shareholder expectations. We have adopted the following compensation practices to promote strong governance and alignment with shareholder interests: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20" w:type="dxa"/>
            <w:vAlign w:val="bottom"/>
          </w:tcPr>
          <w:p>
            <w:pPr>
              <w:spacing w:after="0"/>
              <w:rPr>
                <w:sz w:val="12"/>
                <w:szCs w:val="12"/>
                <w:color w:val="auto"/>
              </w:rPr>
            </w:pPr>
          </w:p>
        </w:tc>
        <w:tc>
          <w:tcPr>
            <w:tcW w:w="3540" w:type="dxa"/>
            <w:vAlign w:val="bottom"/>
            <w:gridSpan w:val="2"/>
          </w:tcPr>
          <w:p>
            <w:pPr>
              <w:spacing w:after="0"/>
              <w:rPr>
                <w:sz w:val="20"/>
                <w:szCs w:val="20"/>
                <w:color w:val="auto"/>
              </w:rPr>
            </w:pPr>
            <w:r>
              <w:rPr>
                <w:rFonts w:ascii="Arial" w:cs="Arial" w:eastAsia="Arial" w:hAnsi="Arial"/>
                <w:sz w:val="13"/>
                <w:szCs w:val="13"/>
                <w:b w:val="1"/>
                <w:bCs w:val="1"/>
                <w:color w:val="auto"/>
              </w:rPr>
              <w:t>Compensation Governance</w:t>
            </w:r>
          </w:p>
        </w:tc>
        <w:tc>
          <w:tcPr>
            <w:tcW w:w="74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77"/>
        </w:trPr>
        <w:tc>
          <w:tcPr>
            <w:tcW w:w="220" w:type="dxa"/>
            <w:vAlign w:val="bottom"/>
          </w:tcPr>
          <w:p>
            <w:pPr>
              <w:spacing w:after="0"/>
              <w:rPr>
                <w:sz w:val="15"/>
                <w:szCs w:val="15"/>
                <w:color w:val="auto"/>
              </w:rPr>
            </w:pPr>
          </w:p>
        </w:tc>
        <w:tc>
          <w:tcPr>
            <w:tcW w:w="20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Highlight</w:t>
            </w:r>
          </w:p>
        </w:tc>
        <w:tc>
          <w:tcPr>
            <w:tcW w:w="1480" w:type="dxa"/>
            <w:vAlign w:val="bottom"/>
          </w:tcPr>
          <w:p>
            <w:pPr>
              <w:spacing w:after="0"/>
              <w:rPr>
                <w:sz w:val="15"/>
                <w:szCs w:val="15"/>
                <w:color w:val="auto"/>
              </w:rPr>
            </w:pPr>
          </w:p>
        </w:tc>
        <w:tc>
          <w:tcPr>
            <w:tcW w:w="7440" w:type="dxa"/>
            <w:vAlign w:val="bottom"/>
            <w:tcBorders>
              <w:bottom w:val="single" w:sz="8" w:color="auto"/>
            </w:tcBorders>
          </w:tcPr>
          <w:p>
            <w:pPr>
              <w:ind w:left="3080"/>
              <w:spacing w:after="0"/>
              <w:rPr>
                <w:sz w:val="20"/>
                <w:szCs w:val="20"/>
                <w:color w:val="auto"/>
              </w:rPr>
            </w:pPr>
            <w:r>
              <w:rPr>
                <w:rFonts w:ascii="Arial" w:cs="Arial" w:eastAsia="Arial" w:hAnsi="Arial"/>
                <w:sz w:val="13"/>
                <w:szCs w:val="13"/>
                <w:b w:val="1"/>
                <w:bCs w:val="1"/>
                <w:color w:val="auto"/>
              </w:rPr>
              <w:t>Kraft Foods Highlight</w:t>
            </w:r>
          </w:p>
        </w:tc>
        <w:tc>
          <w:tcPr>
            <w:tcW w:w="220" w:type="dxa"/>
            <w:vAlign w:val="bottom"/>
          </w:tcPr>
          <w:p>
            <w:pPr>
              <w:spacing w:after="0"/>
              <w:rPr>
                <w:sz w:val="15"/>
                <w:szCs w:val="15"/>
                <w:color w:val="auto"/>
              </w:rPr>
            </w:pPr>
          </w:p>
        </w:tc>
      </w:tr>
      <w:tr>
        <w:trPr>
          <w:trHeight w:val="180"/>
        </w:trPr>
        <w:tc>
          <w:tcPr>
            <w:tcW w:w="220" w:type="dxa"/>
            <w:vAlign w:val="bottom"/>
          </w:tcPr>
          <w:p>
            <w:pPr>
              <w:spacing w:after="0"/>
              <w:rPr>
                <w:sz w:val="15"/>
                <w:szCs w:val="15"/>
                <w:color w:val="auto"/>
              </w:rPr>
            </w:pPr>
          </w:p>
        </w:tc>
        <w:tc>
          <w:tcPr>
            <w:tcW w:w="3540" w:type="dxa"/>
            <w:vAlign w:val="bottom"/>
            <w:gridSpan w:val="2"/>
          </w:tcPr>
          <w:p>
            <w:pPr>
              <w:spacing w:after="0" w:line="180" w:lineRule="exact"/>
              <w:rPr>
                <w:sz w:val="20"/>
                <w:szCs w:val="20"/>
                <w:color w:val="auto"/>
              </w:rPr>
            </w:pPr>
            <w:r>
              <w:rPr>
                <w:rFonts w:ascii="Arial" w:cs="Arial" w:eastAsia="Arial" w:hAnsi="Arial"/>
                <w:sz w:val="17"/>
                <w:szCs w:val="17"/>
                <w:color w:val="auto"/>
              </w:rPr>
              <w:t>High Proportion of At-Risk Compensation</w:t>
            </w:r>
          </w:p>
        </w:tc>
        <w:tc>
          <w:tcPr>
            <w:tcW w:w="766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Approximately 85% of our CEO’s total compensation is at–risk, incentive-based compensation. This</w:t>
            </w:r>
          </w:p>
        </w:tc>
      </w:tr>
      <w:tr>
        <w:trPr>
          <w:trHeight w:val="192"/>
        </w:trPr>
        <w:tc>
          <w:tcPr>
            <w:tcW w:w="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660" w:type="dxa"/>
            <w:vAlign w:val="bottom"/>
            <w:gridSpan w:val="2"/>
          </w:tcPr>
          <w:p>
            <w:pPr>
              <w:ind w:left="20"/>
              <w:spacing w:after="0" w:line="192" w:lineRule="exact"/>
              <w:rPr>
                <w:sz w:val="20"/>
                <w:szCs w:val="20"/>
                <w:color w:val="auto"/>
              </w:rPr>
            </w:pPr>
            <w:r>
              <w:rPr>
                <w:rFonts w:ascii="Arial" w:cs="Arial" w:eastAsia="Arial" w:hAnsi="Arial"/>
                <w:sz w:val="17"/>
                <w:szCs w:val="17"/>
                <w:color w:val="auto"/>
              </w:rPr>
              <w:t>weighting is higher than the average of other CEOs in our Compensation Survey Group.</w:t>
            </w:r>
          </w:p>
        </w:tc>
      </w:tr>
      <w:tr>
        <w:trPr>
          <w:trHeight w:val="192"/>
        </w:trPr>
        <w:tc>
          <w:tcPr>
            <w:tcW w:w="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660" w:type="dxa"/>
            <w:vAlign w:val="bottom"/>
            <w:gridSpan w:val="2"/>
          </w:tcPr>
          <w:p>
            <w:pPr>
              <w:ind w:left="20"/>
              <w:spacing w:after="0" w:line="192" w:lineRule="exact"/>
              <w:rPr>
                <w:sz w:val="20"/>
                <w:szCs w:val="20"/>
                <w:color w:val="auto"/>
              </w:rPr>
            </w:pPr>
            <w:r>
              <w:rPr>
                <w:rFonts w:ascii="Arial" w:cs="Arial" w:eastAsia="Arial" w:hAnsi="Arial"/>
                <w:sz w:val="17"/>
                <w:szCs w:val="17"/>
                <w:color w:val="auto"/>
              </w:rPr>
              <w:t>See “—Additional Information on Compensation Principles – Providing Competitive Pay—</w:t>
            </w:r>
          </w:p>
        </w:tc>
      </w:tr>
      <w:tr>
        <w:trPr>
          <w:trHeight w:val="192"/>
        </w:trPr>
        <w:tc>
          <w:tcPr>
            <w:tcW w:w="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660" w:type="dxa"/>
            <w:vAlign w:val="bottom"/>
            <w:gridSpan w:val="2"/>
          </w:tcPr>
          <w:p>
            <w:pPr>
              <w:ind w:left="20"/>
              <w:spacing w:after="0" w:line="192" w:lineRule="exact"/>
              <w:rPr>
                <w:sz w:val="20"/>
                <w:szCs w:val="20"/>
                <w:color w:val="auto"/>
              </w:rPr>
            </w:pPr>
            <w:r>
              <w:rPr>
                <w:rFonts w:ascii="Arial" w:cs="Arial" w:eastAsia="Arial" w:hAnsi="Arial"/>
                <w:sz w:val="17"/>
                <w:szCs w:val="17"/>
                <w:color w:val="auto"/>
              </w:rPr>
              <w:t>Composition and Purpose of the Compensation Survey Group” for additional information regarding</w:t>
            </w:r>
          </w:p>
        </w:tc>
      </w:tr>
      <w:tr>
        <w:trPr>
          <w:trHeight w:val="200"/>
        </w:trPr>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660" w:type="dxa"/>
            <w:vAlign w:val="bottom"/>
            <w:gridSpan w:val="2"/>
          </w:tcPr>
          <w:p>
            <w:pPr>
              <w:ind w:left="20"/>
              <w:spacing w:after="0"/>
              <w:rPr>
                <w:sz w:val="20"/>
                <w:szCs w:val="20"/>
                <w:color w:val="auto"/>
              </w:rPr>
            </w:pPr>
            <w:r>
              <w:rPr>
                <w:rFonts w:ascii="Arial" w:cs="Arial" w:eastAsia="Arial" w:hAnsi="Arial"/>
                <w:sz w:val="17"/>
                <w:szCs w:val="17"/>
                <w:color w:val="auto"/>
              </w:rPr>
              <w:t>our Compensation Survey Group.</w:t>
            </w:r>
          </w:p>
        </w:tc>
      </w:tr>
      <w:tr>
        <w:trPr>
          <w:trHeight w:val="142"/>
        </w:trPr>
        <w:tc>
          <w:tcPr>
            <w:tcW w:w="220" w:type="dxa"/>
            <w:vAlign w:val="bottom"/>
          </w:tcPr>
          <w:p>
            <w:pPr>
              <w:spacing w:after="0"/>
              <w:rPr>
                <w:sz w:val="12"/>
                <w:szCs w:val="12"/>
                <w:color w:val="auto"/>
              </w:rPr>
            </w:pPr>
          </w:p>
        </w:tc>
        <w:tc>
          <w:tcPr>
            <w:tcW w:w="3540" w:type="dxa"/>
            <w:vAlign w:val="bottom"/>
            <w:gridSpan w:val="2"/>
          </w:tcPr>
          <w:p>
            <w:pPr>
              <w:spacing w:after="0"/>
              <w:rPr>
                <w:sz w:val="12"/>
                <w:szCs w:val="12"/>
                <w:color w:val="auto"/>
              </w:rPr>
            </w:pPr>
          </w:p>
        </w:tc>
        <w:tc>
          <w:tcPr>
            <w:tcW w:w="74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97"/>
        </w:trPr>
        <w:tc>
          <w:tcPr>
            <w:tcW w:w="220" w:type="dxa"/>
            <w:vAlign w:val="bottom"/>
            <w:shd w:val="clear" w:color="auto" w:fill="CCCCCC"/>
          </w:tcPr>
          <w:p>
            <w:pPr>
              <w:spacing w:after="0"/>
              <w:rPr>
                <w:sz w:val="24"/>
                <w:szCs w:val="24"/>
                <w:color w:val="auto"/>
              </w:rPr>
            </w:pPr>
          </w:p>
        </w:tc>
        <w:tc>
          <w:tcPr>
            <w:tcW w:w="3540" w:type="dxa"/>
            <w:vAlign w:val="bottom"/>
            <w:gridSpan w:val="2"/>
            <w:shd w:val="clear" w:color="auto" w:fill="CCCCCC"/>
          </w:tcPr>
          <w:p>
            <w:pPr>
              <w:spacing w:after="0"/>
              <w:rPr>
                <w:sz w:val="20"/>
                <w:szCs w:val="20"/>
                <w:color w:val="auto"/>
              </w:rPr>
            </w:pPr>
            <w:r>
              <w:rPr>
                <w:rFonts w:ascii="Arial" w:cs="Arial" w:eastAsia="Arial" w:hAnsi="Arial"/>
                <w:sz w:val="17"/>
                <w:szCs w:val="17"/>
                <w:color w:val="auto"/>
              </w:rPr>
              <w:t>Long-Term Incentives Are Entirely Stock-</w:t>
            </w:r>
          </w:p>
        </w:tc>
        <w:tc>
          <w:tcPr>
            <w:tcW w:w="7660" w:type="dxa"/>
            <w:vAlign w:val="bottom"/>
            <w:gridSpan w:val="2"/>
            <w:shd w:val="clear" w:color="auto" w:fill="CCCCCC"/>
          </w:tcPr>
          <w:p>
            <w:pPr>
              <w:ind w:left="20"/>
              <w:spacing w:after="0"/>
              <w:rPr>
                <w:sz w:val="20"/>
                <w:szCs w:val="20"/>
                <w:color w:val="auto"/>
              </w:rPr>
            </w:pPr>
            <w:r>
              <w:rPr>
                <w:rFonts w:ascii="Arial" w:cs="Arial" w:eastAsia="Arial" w:hAnsi="Arial"/>
                <w:sz w:val="17"/>
                <w:szCs w:val="17"/>
                <w:color w:val="auto"/>
              </w:rPr>
              <w:t>We deliver 50% of long-term incentives in performance shares, 25% in stock options and 25% in</w:t>
            </w:r>
          </w:p>
        </w:tc>
      </w:tr>
      <w:tr>
        <w:trPr>
          <w:trHeight w:val="200"/>
        </w:trPr>
        <w:tc>
          <w:tcPr>
            <w:tcW w:w="220" w:type="dxa"/>
            <w:vAlign w:val="bottom"/>
            <w:shd w:val="clear" w:color="auto" w:fill="CCCCCC"/>
          </w:tcPr>
          <w:p>
            <w:pPr>
              <w:spacing w:after="0"/>
              <w:rPr>
                <w:sz w:val="17"/>
                <w:szCs w:val="17"/>
                <w:color w:val="auto"/>
              </w:rPr>
            </w:pPr>
          </w:p>
        </w:tc>
        <w:tc>
          <w:tcPr>
            <w:tcW w:w="3540" w:type="dxa"/>
            <w:vAlign w:val="bottom"/>
            <w:gridSpan w:val="2"/>
            <w:shd w:val="clear" w:color="auto" w:fill="CCCCCC"/>
          </w:tcPr>
          <w:p>
            <w:pPr>
              <w:spacing w:after="0"/>
              <w:rPr>
                <w:sz w:val="20"/>
                <w:szCs w:val="20"/>
                <w:color w:val="auto"/>
              </w:rPr>
            </w:pPr>
            <w:r>
              <w:rPr>
                <w:rFonts w:ascii="Arial" w:cs="Arial" w:eastAsia="Arial" w:hAnsi="Arial"/>
                <w:sz w:val="17"/>
                <w:szCs w:val="17"/>
                <w:color w:val="auto"/>
              </w:rPr>
              <w:t>Based</w:t>
            </w:r>
          </w:p>
        </w:tc>
        <w:tc>
          <w:tcPr>
            <w:tcW w:w="7660" w:type="dxa"/>
            <w:vAlign w:val="bottom"/>
            <w:gridSpan w:val="2"/>
            <w:shd w:val="clear" w:color="auto" w:fill="CCCCCC"/>
          </w:tcPr>
          <w:p>
            <w:pPr>
              <w:ind w:left="20"/>
              <w:spacing w:after="0"/>
              <w:rPr>
                <w:sz w:val="20"/>
                <w:szCs w:val="20"/>
                <w:color w:val="auto"/>
              </w:rPr>
            </w:pPr>
            <w:r>
              <w:rPr>
                <w:rFonts w:ascii="Arial" w:cs="Arial" w:eastAsia="Arial" w:hAnsi="Arial"/>
                <w:sz w:val="17"/>
                <w:szCs w:val="17"/>
                <w:color w:val="auto"/>
              </w:rPr>
              <w:t>restricted stock. This mix promotes alignment of our executives’ interests with shareholder interests.</w:t>
            </w:r>
          </w:p>
        </w:tc>
      </w:tr>
      <w:tr>
        <w:trPr>
          <w:trHeight w:val="142"/>
        </w:trPr>
        <w:tc>
          <w:tcPr>
            <w:tcW w:w="220" w:type="dxa"/>
            <w:vAlign w:val="bottom"/>
            <w:shd w:val="clear" w:color="auto" w:fill="CCCCCC"/>
          </w:tcPr>
          <w:p>
            <w:pPr>
              <w:spacing w:after="0"/>
              <w:rPr>
                <w:sz w:val="12"/>
                <w:szCs w:val="12"/>
                <w:color w:val="auto"/>
              </w:rPr>
            </w:pPr>
          </w:p>
        </w:tc>
        <w:tc>
          <w:tcPr>
            <w:tcW w:w="2060" w:type="dxa"/>
            <w:vAlign w:val="bottom"/>
            <w:shd w:val="clear" w:color="auto" w:fill="CCCCCC"/>
          </w:tcPr>
          <w:p>
            <w:pPr>
              <w:spacing w:after="0"/>
              <w:rPr>
                <w:sz w:val="12"/>
                <w:szCs w:val="12"/>
                <w:color w:val="auto"/>
              </w:rPr>
            </w:pPr>
          </w:p>
        </w:tc>
        <w:tc>
          <w:tcPr>
            <w:tcW w:w="1480" w:type="dxa"/>
            <w:vAlign w:val="bottom"/>
            <w:shd w:val="clear" w:color="auto" w:fill="CCCCCC"/>
          </w:tcPr>
          <w:p>
            <w:pPr>
              <w:spacing w:after="0"/>
              <w:rPr>
                <w:sz w:val="12"/>
                <w:szCs w:val="12"/>
                <w:color w:val="auto"/>
              </w:rPr>
            </w:pPr>
          </w:p>
        </w:tc>
        <w:tc>
          <w:tcPr>
            <w:tcW w:w="7440" w:type="dxa"/>
            <w:vAlign w:val="bottom"/>
            <w:shd w:val="clear" w:color="auto" w:fill="CCCCCC"/>
          </w:tcPr>
          <w:p>
            <w:pPr>
              <w:spacing w:after="0"/>
              <w:rPr>
                <w:sz w:val="12"/>
                <w:szCs w:val="12"/>
                <w:color w:val="auto"/>
              </w:rPr>
            </w:pPr>
          </w:p>
        </w:tc>
        <w:tc>
          <w:tcPr>
            <w:tcW w:w="220" w:type="dxa"/>
            <w:vAlign w:val="bottom"/>
            <w:shd w:val="clear" w:color="auto" w:fill="CCCCCC"/>
          </w:tcPr>
          <w:p>
            <w:pPr>
              <w:spacing w:after="0"/>
              <w:rPr>
                <w:sz w:val="12"/>
                <w:szCs w:val="12"/>
                <w:color w:val="auto"/>
              </w:rPr>
            </w:pPr>
          </w:p>
        </w:tc>
      </w:tr>
    </w:tbl>
    <w:p>
      <w:pPr>
        <w:spacing w:after="0" w:line="54" w:lineRule="exact"/>
        <w:rPr>
          <w:sz w:val="20"/>
          <w:szCs w:val="20"/>
          <w:color w:val="auto"/>
        </w:rPr>
      </w:pPr>
    </w:p>
    <w:p>
      <w:pPr>
        <w:ind w:left="5620" w:right="3860" w:hanging="5618"/>
        <w:spacing w:after="0" w:line="414" w:lineRule="auto"/>
        <w:tabs>
          <w:tab w:leader="none" w:pos="218" w:val="left"/>
        </w:tabs>
        <w:numPr>
          <w:ilvl w:val="0"/>
          <w:numId w:val="51"/>
        </w:numPr>
        <w:rPr>
          <w:rFonts w:ascii="Arial" w:cs="Arial" w:eastAsia="Arial" w:hAnsi="Arial"/>
          <w:sz w:val="17"/>
          <w:szCs w:val="17"/>
          <w:color w:val="auto"/>
        </w:rPr>
      </w:pPr>
      <w:r>
        <w:rPr>
          <w:rFonts w:ascii="Arial" w:cs="Arial" w:eastAsia="Arial" w:hAnsi="Arial"/>
          <w:sz w:val="17"/>
          <w:szCs w:val="17"/>
          <w:color w:val="auto"/>
        </w:rPr>
        <w:t>See Exhibit A to this Proxy Statement for a reconciliation of GAAP to non-GAAP financial measures. 32</w:t>
      </w:r>
    </w:p>
    <w:p>
      <w:pPr>
        <w:sectPr>
          <w:pgSz w:w="11900" w:h="16838" w:orient="portrait"/>
          <w:cols w:equalWidth="0" w:num="1">
            <w:col w:w="11440"/>
          </w:cols>
          <w:pgMar w:left="240" w:top="443" w:right="21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Compensation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7261860" cy="3135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1860" cy="3135630"/>
                    </a:xfrm>
                    <a:prstGeom prst="rect">
                      <a:avLst/>
                    </a:prstGeom>
                    <a:noFill/>
                  </pic:spPr>
                </pic:pic>
              </a:graphicData>
            </a:graphic>
          </wp:anchor>
        </w:drawing>
      </w:r>
    </w:p>
    <w:p>
      <w:pPr>
        <w:ind w:left="120"/>
        <w:spacing w:after="0"/>
        <w:tabs>
          <w:tab w:leader="none" w:pos="6820" w:val="left"/>
        </w:tabs>
        <w:rPr>
          <w:sz w:val="20"/>
          <w:szCs w:val="20"/>
          <w:color w:val="auto"/>
        </w:rPr>
      </w:pPr>
      <w:r>
        <w:rPr>
          <w:rFonts w:ascii="Arial" w:cs="Arial" w:eastAsia="Arial" w:hAnsi="Arial"/>
          <w:sz w:val="12"/>
          <w:szCs w:val="12"/>
          <w:b w:val="1"/>
          <w:bCs w:val="1"/>
          <w:color w:val="auto"/>
        </w:rPr>
        <w:t>Highlight</w:t>
      </w:r>
      <w:r>
        <w:rPr>
          <w:sz w:val="20"/>
          <w:szCs w:val="20"/>
          <w:color w:val="auto"/>
        </w:rPr>
        <w:tab/>
      </w:r>
      <w:r>
        <w:rPr>
          <w:rFonts w:ascii="Arial" w:cs="Arial" w:eastAsia="Arial" w:hAnsi="Arial"/>
          <w:sz w:val="12"/>
          <w:szCs w:val="12"/>
          <w:b w:val="1"/>
          <w:bCs w:val="1"/>
          <w:color w:val="auto"/>
        </w:rPr>
        <w:t>Kraft Foods Highlight</w:t>
      </w:r>
    </w:p>
    <w:p>
      <w:pPr>
        <w:sectPr>
          <w:pgSz w:w="11900" w:h="16838" w:orient="portrait"/>
          <w:cols w:equalWidth="0" w:num="1">
            <w:col w:w="11420"/>
          </w:cols>
          <w:pgMar w:left="240" w:top="443" w:right="239" w:bottom="1440" w:gutter="0" w:footer="0" w:header="0"/>
        </w:sectPr>
      </w:pPr>
    </w:p>
    <w:p>
      <w:pPr>
        <w:spacing w:after="0" w:line="19"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Pay Targeted to Size-Adjusted Median of Peer Group</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color w:val="auto"/>
        </w:rPr>
        <w:t>Based on our principles, we generally target compensation levels at or near the size-adjusted median of our Compensation Survey Group. The median revenues of this peer group are well below Kraft Foods’ revenue. As stated below under “ – Compensation Paid to Named Executive Officers in 2011,” the actual target compensation for some of our Named Executive Officers is below the median.</w:t>
      </w:r>
    </w:p>
    <w:p>
      <w:pPr>
        <w:spacing w:after="0" w:line="130" w:lineRule="exact"/>
        <w:rPr>
          <w:sz w:val="20"/>
          <w:szCs w:val="20"/>
          <w:color w:val="auto"/>
        </w:rPr>
      </w:pPr>
    </w:p>
    <w:p>
      <w:pPr>
        <w:sectPr>
          <w:pgSz w:w="11900" w:h="16838" w:orient="portrait"/>
          <w:cols w:equalWidth="0" w:num="2">
            <w:col w:w="3140" w:space="520"/>
            <w:col w:w="7760"/>
          </w:cols>
          <w:pgMar w:left="240" w:top="443" w:right="239" w:bottom="1440" w:gutter="0" w:footer="0" w:header="0"/>
          <w:type w:val="continuous"/>
        </w:sectPr>
      </w:pPr>
    </w:p>
    <w:tbl>
      <w:tblPr>
        <w:tblLayout w:type="fixed"/>
        <w:tblInd w:w="0" w:type="dxa"/>
        <w:tblCellMar>
          <w:top w:w="0" w:type="dxa"/>
          <w:left w:w="0" w:type="dxa"/>
          <w:bottom w:w="0" w:type="dxa"/>
          <w:right w:w="0" w:type="dxa"/>
        </w:tblCellMar>
      </w:tblPr>
      <w:tr>
        <w:trPr>
          <w:trHeight w:val="425"/>
        </w:trPr>
        <w:tc>
          <w:tcPr>
            <w:tcW w:w="3440" w:type="dxa"/>
            <w:vAlign w:val="bottom"/>
            <w:shd w:val="clear" w:color="auto" w:fill="CCCCCC"/>
          </w:tcPr>
          <w:p>
            <w:pPr>
              <w:ind w:left="120"/>
              <w:spacing w:after="0"/>
              <w:rPr>
                <w:sz w:val="20"/>
                <w:szCs w:val="20"/>
                <w:color w:val="auto"/>
              </w:rPr>
            </w:pPr>
            <w:r>
              <w:rPr>
                <w:rFonts w:ascii="Arial" w:cs="Arial" w:eastAsia="Arial" w:hAnsi="Arial"/>
                <w:sz w:val="17"/>
                <w:szCs w:val="17"/>
                <w:color w:val="auto"/>
              </w:rPr>
              <w:t>Stock Ownership Guidelines and Holding</w:t>
            </w:r>
          </w:p>
        </w:tc>
        <w:tc>
          <w:tcPr>
            <w:tcW w:w="7980" w:type="dxa"/>
            <w:vAlign w:val="bottom"/>
            <w:shd w:val="clear" w:color="auto" w:fill="CCCCCC"/>
          </w:tcPr>
          <w:p>
            <w:pPr>
              <w:ind w:left="220"/>
              <w:spacing w:after="0"/>
              <w:rPr>
                <w:sz w:val="20"/>
                <w:szCs w:val="20"/>
                <w:color w:val="auto"/>
              </w:rPr>
            </w:pPr>
            <w:r>
              <w:rPr>
                <w:rFonts w:ascii="Arial" w:cs="Arial" w:eastAsia="Arial" w:hAnsi="Arial"/>
                <w:sz w:val="17"/>
                <w:szCs w:val="17"/>
                <w:color w:val="auto"/>
              </w:rPr>
              <w:t>Our CEO is expected to own eight times her salary in Kraft Foods common stock and our other Named</w:t>
            </w:r>
          </w:p>
        </w:tc>
      </w:tr>
      <w:tr>
        <w:trPr>
          <w:trHeight w:val="192"/>
        </w:trPr>
        <w:tc>
          <w:tcPr>
            <w:tcW w:w="3440" w:type="dxa"/>
            <w:vAlign w:val="bottom"/>
            <w:shd w:val="clear" w:color="auto" w:fill="CCCCCC"/>
          </w:tcPr>
          <w:p>
            <w:pPr>
              <w:ind w:left="120"/>
              <w:spacing w:after="0" w:line="192" w:lineRule="exact"/>
              <w:rPr>
                <w:sz w:val="20"/>
                <w:szCs w:val="20"/>
                <w:color w:val="auto"/>
              </w:rPr>
            </w:pPr>
            <w:r>
              <w:rPr>
                <w:rFonts w:ascii="Arial" w:cs="Arial" w:eastAsia="Arial" w:hAnsi="Arial"/>
                <w:sz w:val="17"/>
                <w:szCs w:val="17"/>
                <w:color w:val="auto"/>
              </w:rPr>
              <w:t>Requirements Exceed Market Levels</w:t>
            </w:r>
          </w:p>
        </w:tc>
        <w:tc>
          <w:tcPr>
            <w:tcW w:w="7980" w:type="dxa"/>
            <w:vAlign w:val="bottom"/>
            <w:shd w:val="clear" w:color="auto" w:fill="CCCCCC"/>
          </w:tcPr>
          <w:p>
            <w:pPr>
              <w:ind w:left="220"/>
              <w:spacing w:after="0" w:line="192" w:lineRule="exact"/>
              <w:rPr>
                <w:sz w:val="20"/>
                <w:szCs w:val="20"/>
                <w:color w:val="auto"/>
              </w:rPr>
            </w:pPr>
            <w:r>
              <w:rPr>
                <w:rFonts w:ascii="Arial" w:cs="Arial" w:eastAsia="Arial" w:hAnsi="Arial"/>
                <w:sz w:val="17"/>
                <w:szCs w:val="17"/>
                <w:color w:val="auto"/>
              </w:rPr>
              <w:t>Executive Officers are expected to own four times their salary in Kraft Foods common stock. These</w:t>
            </w:r>
          </w:p>
        </w:tc>
      </w:tr>
      <w:tr>
        <w:trPr>
          <w:trHeight w:val="192"/>
        </w:trPr>
        <w:tc>
          <w:tcPr>
            <w:tcW w:w="3440" w:type="dxa"/>
            <w:vAlign w:val="bottom"/>
            <w:shd w:val="clear" w:color="auto" w:fill="CCCCCC"/>
          </w:tcPr>
          <w:p>
            <w:pPr>
              <w:spacing w:after="0"/>
              <w:rPr>
                <w:sz w:val="16"/>
                <w:szCs w:val="16"/>
                <w:color w:val="auto"/>
              </w:rPr>
            </w:pPr>
          </w:p>
        </w:tc>
        <w:tc>
          <w:tcPr>
            <w:tcW w:w="7980" w:type="dxa"/>
            <w:vAlign w:val="bottom"/>
            <w:shd w:val="clear" w:color="auto" w:fill="CCCCCC"/>
          </w:tcPr>
          <w:p>
            <w:pPr>
              <w:ind w:left="220"/>
              <w:spacing w:after="0" w:line="192" w:lineRule="exact"/>
              <w:rPr>
                <w:sz w:val="20"/>
                <w:szCs w:val="20"/>
                <w:color w:val="auto"/>
              </w:rPr>
            </w:pPr>
            <w:r>
              <w:rPr>
                <w:rFonts w:ascii="Arial" w:cs="Arial" w:eastAsia="Arial" w:hAnsi="Arial"/>
                <w:sz w:val="17"/>
                <w:szCs w:val="17"/>
                <w:color w:val="auto"/>
              </w:rPr>
              <w:t>guidelines exceed the median levels of our peers. Our CEO and each of our Named Executive Officers</w:t>
            </w:r>
          </w:p>
        </w:tc>
      </w:tr>
      <w:tr>
        <w:trPr>
          <w:trHeight w:val="192"/>
        </w:trPr>
        <w:tc>
          <w:tcPr>
            <w:tcW w:w="3440" w:type="dxa"/>
            <w:vAlign w:val="bottom"/>
            <w:shd w:val="clear" w:color="auto" w:fill="CCCCCC"/>
          </w:tcPr>
          <w:p>
            <w:pPr>
              <w:spacing w:after="0"/>
              <w:rPr>
                <w:sz w:val="16"/>
                <w:szCs w:val="16"/>
                <w:color w:val="auto"/>
              </w:rPr>
            </w:pPr>
          </w:p>
        </w:tc>
        <w:tc>
          <w:tcPr>
            <w:tcW w:w="7980" w:type="dxa"/>
            <w:vAlign w:val="bottom"/>
            <w:shd w:val="clear" w:color="auto" w:fill="CCCCCC"/>
          </w:tcPr>
          <w:p>
            <w:pPr>
              <w:ind w:left="220"/>
              <w:spacing w:after="0" w:line="192" w:lineRule="exact"/>
              <w:rPr>
                <w:sz w:val="20"/>
                <w:szCs w:val="20"/>
                <w:color w:val="auto"/>
              </w:rPr>
            </w:pPr>
            <w:r>
              <w:rPr>
                <w:rFonts w:ascii="Arial" w:cs="Arial" w:eastAsia="Arial" w:hAnsi="Arial"/>
                <w:sz w:val="17"/>
                <w:szCs w:val="17"/>
                <w:color w:val="auto"/>
              </w:rPr>
              <w:t>have met or exceeded the required ownership levels. In addition, our holding requirements are more</w:t>
            </w:r>
          </w:p>
        </w:tc>
      </w:tr>
      <w:tr>
        <w:trPr>
          <w:trHeight w:val="192"/>
        </w:trPr>
        <w:tc>
          <w:tcPr>
            <w:tcW w:w="3440" w:type="dxa"/>
            <w:vAlign w:val="bottom"/>
            <w:shd w:val="clear" w:color="auto" w:fill="CCCCCC"/>
          </w:tcPr>
          <w:p>
            <w:pPr>
              <w:spacing w:after="0"/>
              <w:rPr>
                <w:sz w:val="16"/>
                <w:szCs w:val="16"/>
                <w:color w:val="auto"/>
              </w:rPr>
            </w:pPr>
          </w:p>
        </w:tc>
        <w:tc>
          <w:tcPr>
            <w:tcW w:w="7980" w:type="dxa"/>
            <w:vAlign w:val="bottom"/>
            <w:shd w:val="clear" w:color="auto" w:fill="CCCCCC"/>
          </w:tcPr>
          <w:p>
            <w:pPr>
              <w:ind w:left="220"/>
              <w:spacing w:after="0" w:line="192" w:lineRule="exact"/>
              <w:rPr>
                <w:sz w:val="20"/>
                <w:szCs w:val="20"/>
                <w:color w:val="auto"/>
              </w:rPr>
            </w:pPr>
            <w:r>
              <w:rPr>
                <w:rFonts w:ascii="Arial" w:cs="Arial" w:eastAsia="Arial" w:hAnsi="Arial"/>
                <w:sz w:val="17"/>
                <w:szCs w:val="17"/>
                <w:color w:val="auto"/>
              </w:rPr>
              <w:t>stringent than typical requirements. Starting in 2011, our executive officers, including our Named</w:t>
            </w:r>
          </w:p>
        </w:tc>
      </w:tr>
      <w:tr>
        <w:trPr>
          <w:trHeight w:val="192"/>
        </w:trPr>
        <w:tc>
          <w:tcPr>
            <w:tcW w:w="3440" w:type="dxa"/>
            <w:vAlign w:val="bottom"/>
            <w:shd w:val="clear" w:color="auto" w:fill="CCCCCC"/>
          </w:tcPr>
          <w:p>
            <w:pPr>
              <w:spacing w:after="0"/>
              <w:rPr>
                <w:sz w:val="16"/>
                <w:szCs w:val="16"/>
                <w:color w:val="auto"/>
              </w:rPr>
            </w:pPr>
          </w:p>
        </w:tc>
        <w:tc>
          <w:tcPr>
            <w:tcW w:w="7980" w:type="dxa"/>
            <w:vAlign w:val="bottom"/>
            <w:shd w:val="clear" w:color="auto" w:fill="CCCCCC"/>
          </w:tcPr>
          <w:p>
            <w:pPr>
              <w:ind w:left="220"/>
              <w:spacing w:after="0" w:line="192" w:lineRule="exact"/>
              <w:rPr>
                <w:sz w:val="20"/>
                <w:szCs w:val="20"/>
                <w:color w:val="auto"/>
              </w:rPr>
            </w:pPr>
            <w:r>
              <w:rPr>
                <w:rFonts w:ascii="Arial" w:cs="Arial" w:eastAsia="Arial" w:hAnsi="Arial"/>
                <w:sz w:val="17"/>
                <w:szCs w:val="17"/>
                <w:color w:val="auto"/>
              </w:rPr>
              <w:t>Executive Officers, are required to hold 100% of all shares acquired from stock option exercises and</w:t>
            </w:r>
          </w:p>
        </w:tc>
      </w:tr>
      <w:tr>
        <w:trPr>
          <w:trHeight w:val="192"/>
        </w:trPr>
        <w:tc>
          <w:tcPr>
            <w:tcW w:w="3440" w:type="dxa"/>
            <w:vAlign w:val="bottom"/>
            <w:shd w:val="clear" w:color="auto" w:fill="CCCCCC"/>
          </w:tcPr>
          <w:p>
            <w:pPr>
              <w:spacing w:after="0"/>
              <w:rPr>
                <w:sz w:val="16"/>
                <w:szCs w:val="16"/>
                <w:color w:val="auto"/>
              </w:rPr>
            </w:pPr>
          </w:p>
        </w:tc>
        <w:tc>
          <w:tcPr>
            <w:tcW w:w="7980" w:type="dxa"/>
            <w:vAlign w:val="bottom"/>
            <w:shd w:val="clear" w:color="auto" w:fill="CCCCCC"/>
          </w:tcPr>
          <w:p>
            <w:pPr>
              <w:ind w:left="220"/>
              <w:spacing w:after="0" w:line="192" w:lineRule="exact"/>
              <w:rPr>
                <w:sz w:val="20"/>
                <w:szCs w:val="20"/>
                <w:color w:val="auto"/>
              </w:rPr>
            </w:pPr>
            <w:r>
              <w:rPr>
                <w:rFonts w:ascii="Arial" w:cs="Arial" w:eastAsia="Arial" w:hAnsi="Arial"/>
                <w:sz w:val="17"/>
                <w:szCs w:val="17"/>
                <w:color w:val="auto"/>
                <w:w w:val="98"/>
              </w:rPr>
              <w:t>restricted stock and performance share vestings, net of shares withheld for taxes or payment of exercise</w:t>
            </w:r>
          </w:p>
        </w:tc>
      </w:tr>
      <w:tr>
        <w:trPr>
          <w:trHeight w:val="200"/>
        </w:trPr>
        <w:tc>
          <w:tcPr>
            <w:tcW w:w="3440" w:type="dxa"/>
            <w:vAlign w:val="bottom"/>
            <w:shd w:val="clear" w:color="auto" w:fill="CCCCCC"/>
          </w:tcPr>
          <w:p>
            <w:pPr>
              <w:spacing w:after="0"/>
              <w:rPr>
                <w:sz w:val="17"/>
                <w:szCs w:val="17"/>
                <w:color w:val="auto"/>
              </w:rPr>
            </w:pPr>
          </w:p>
        </w:tc>
        <w:tc>
          <w:tcPr>
            <w:tcW w:w="7980" w:type="dxa"/>
            <w:vAlign w:val="bottom"/>
            <w:shd w:val="clear" w:color="auto" w:fill="CCCCCC"/>
          </w:tcPr>
          <w:p>
            <w:pPr>
              <w:ind w:left="220"/>
              <w:spacing w:after="0"/>
              <w:rPr>
                <w:sz w:val="20"/>
                <w:szCs w:val="20"/>
                <w:color w:val="auto"/>
              </w:rPr>
            </w:pPr>
            <w:r>
              <w:rPr>
                <w:rFonts w:ascii="Arial" w:cs="Arial" w:eastAsia="Arial" w:hAnsi="Arial"/>
                <w:sz w:val="17"/>
                <w:szCs w:val="17"/>
                <w:color w:val="auto"/>
              </w:rPr>
              <w:t>price, for a period of one year.</w:t>
            </w:r>
          </w:p>
        </w:tc>
      </w:tr>
      <w:tr>
        <w:trPr>
          <w:trHeight w:val="142"/>
        </w:trPr>
        <w:tc>
          <w:tcPr>
            <w:tcW w:w="3440" w:type="dxa"/>
            <w:vAlign w:val="bottom"/>
            <w:shd w:val="clear" w:color="auto" w:fill="CCCCCC"/>
          </w:tcPr>
          <w:p>
            <w:pPr>
              <w:spacing w:after="0"/>
              <w:rPr>
                <w:sz w:val="12"/>
                <w:szCs w:val="12"/>
                <w:color w:val="auto"/>
              </w:rPr>
            </w:pPr>
          </w:p>
        </w:tc>
        <w:tc>
          <w:tcPr>
            <w:tcW w:w="7980" w:type="dxa"/>
            <w:vAlign w:val="bottom"/>
            <w:shd w:val="clear" w:color="auto" w:fill="CCCCCC"/>
          </w:tcPr>
          <w:p>
            <w:pPr>
              <w:spacing w:after="0"/>
              <w:rPr>
                <w:sz w:val="12"/>
                <w:szCs w:val="12"/>
                <w:color w:val="auto"/>
              </w:rPr>
            </w:pPr>
          </w:p>
        </w:tc>
      </w:tr>
      <w:tr>
        <w:trPr>
          <w:trHeight w:val="425"/>
        </w:trPr>
        <w:tc>
          <w:tcPr>
            <w:tcW w:w="3440" w:type="dxa"/>
            <w:vAlign w:val="bottom"/>
          </w:tcPr>
          <w:p>
            <w:pPr>
              <w:ind w:left="120"/>
              <w:spacing w:after="0"/>
              <w:rPr>
                <w:sz w:val="20"/>
                <w:szCs w:val="20"/>
                <w:color w:val="auto"/>
              </w:rPr>
            </w:pPr>
            <w:r>
              <w:rPr>
                <w:rFonts w:ascii="Arial" w:cs="Arial" w:eastAsia="Arial" w:hAnsi="Arial"/>
                <w:sz w:val="17"/>
                <w:szCs w:val="17"/>
                <w:color w:val="auto"/>
              </w:rPr>
              <w:t>Perquisites are Conservative</w:t>
            </w:r>
          </w:p>
        </w:tc>
        <w:tc>
          <w:tcPr>
            <w:tcW w:w="7980" w:type="dxa"/>
            <w:vAlign w:val="bottom"/>
          </w:tcPr>
          <w:p>
            <w:pPr>
              <w:ind w:left="220"/>
              <w:spacing w:after="0"/>
              <w:rPr>
                <w:sz w:val="20"/>
                <w:szCs w:val="20"/>
                <w:color w:val="auto"/>
              </w:rPr>
            </w:pPr>
            <w:r>
              <w:rPr>
                <w:rFonts w:ascii="Arial" w:cs="Arial" w:eastAsia="Arial" w:hAnsi="Arial"/>
                <w:sz w:val="17"/>
                <w:szCs w:val="17"/>
                <w:color w:val="auto"/>
              </w:rPr>
              <w:t>While we offer certain perquisites to our Named Executive Officers, the types and amounts are at or</w:t>
            </w:r>
          </w:p>
        </w:tc>
      </w:tr>
      <w:tr>
        <w:trPr>
          <w:trHeight w:val="200"/>
        </w:trPr>
        <w:tc>
          <w:tcPr>
            <w:tcW w:w="3440" w:type="dxa"/>
            <w:vAlign w:val="bottom"/>
          </w:tcPr>
          <w:p>
            <w:pPr>
              <w:spacing w:after="0"/>
              <w:rPr>
                <w:sz w:val="17"/>
                <w:szCs w:val="17"/>
                <w:color w:val="auto"/>
              </w:rPr>
            </w:pPr>
          </w:p>
        </w:tc>
        <w:tc>
          <w:tcPr>
            <w:tcW w:w="7980" w:type="dxa"/>
            <w:vAlign w:val="bottom"/>
          </w:tcPr>
          <w:p>
            <w:pPr>
              <w:ind w:left="220"/>
              <w:spacing w:after="0"/>
              <w:rPr>
                <w:sz w:val="20"/>
                <w:szCs w:val="20"/>
                <w:color w:val="auto"/>
              </w:rPr>
            </w:pPr>
            <w:r>
              <w:rPr>
                <w:rFonts w:ascii="Arial" w:cs="Arial" w:eastAsia="Arial" w:hAnsi="Arial"/>
                <w:sz w:val="17"/>
                <w:szCs w:val="17"/>
                <w:color w:val="auto"/>
              </w:rPr>
              <w:t>below the median levels of our peers. We do not pay tax gross ups for any perquisites.</w:t>
            </w:r>
          </w:p>
        </w:tc>
      </w:tr>
      <w:tr>
        <w:trPr>
          <w:trHeight w:val="142"/>
        </w:trPr>
        <w:tc>
          <w:tcPr>
            <w:tcW w:w="3440" w:type="dxa"/>
            <w:vAlign w:val="bottom"/>
          </w:tcPr>
          <w:p>
            <w:pPr>
              <w:spacing w:after="0"/>
              <w:rPr>
                <w:sz w:val="12"/>
                <w:szCs w:val="12"/>
                <w:color w:val="auto"/>
              </w:rPr>
            </w:pPr>
          </w:p>
        </w:tc>
        <w:tc>
          <w:tcPr>
            <w:tcW w:w="7980" w:type="dxa"/>
            <w:vAlign w:val="bottom"/>
          </w:tcPr>
          <w:p>
            <w:pPr>
              <w:spacing w:after="0"/>
              <w:rPr>
                <w:sz w:val="12"/>
                <w:szCs w:val="12"/>
                <w:color w:val="auto"/>
              </w:rPr>
            </w:pPr>
          </w:p>
        </w:tc>
      </w:tr>
      <w:tr>
        <w:trPr>
          <w:trHeight w:val="425"/>
        </w:trPr>
        <w:tc>
          <w:tcPr>
            <w:tcW w:w="3440" w:type="dxa"/>
            <w:vAlign w:val="bottom"/>
            <w:shd w:val="clear" w:color="auto" w:fill="CCCCCC"/>
          </w:tcPr>
          <w:p>
            <w:pPr>
              <w:ind w:left="120"/>
              <w:spacing w:after="0"/>
              <w:rPr>
                <w:sz w:val="20"/>
                <w:szCs w:val="20"/>
                <w:color w:val="auto"/>
              </w:rPr>
            </w:pPr>
            <w:r>
              <w:rPr>
                <w:rFonts w:ascii="Arial" w:cs="Arial" w:eastAsia="Arial" w:hAnsi="Arial"/>
                <w:sz w:val="17"/>
                <w:szCs w:val="17"/>
                <w:color w:val="auto"/>
              </w:rPr>
              <w:t>Compensation Risk is Assessed Frequently</w:t>
            </w:r>
          </w:p>
        </w:tc>
        <w:tc>
          <w:tcPr>
            <w:tcW w:w="7980" w:type="dxa"/>
            <w:vAlign w:val="bottom"/>
            <w:shd w:val="clear" w:color="auto" w:fill="CCCCCC"/>
          </w:tcPr>
          <w:p>
            <w:pPr>
              <w:ind w:left="220"/>
              <w:spacing w:after="0"/>
              <w:rPr>
                <w:sz w:val="20"/>
                <w:szCs w:val="20"/>
                <w:color w:val="auto"/>
              </w:rPr>
            </w:pPr>
            <w:r>
              <w:rPr>
                <w:rFonts w:ascii="Arial" w:cs="Arial" w:eastAsia="Arial" w:hAnsi="Arial"/>
                <w:sz w:val="17"/>
                <w:szCs w:val="17"/>
                <w:color w:val="auto"/>
              </w:rPr>
              <w:t>The Committee performs a comprehensive compensation risk assessment annually. We have also</w:t>
            </w:r>
          </w:p>
        </w:tc>
      </w:tr>
      <w:tr>
        <w:trPr>
          <w:trHeight w:val="192"/>
        </w:trPr>
        <w:tc>
          <w:tcPr>
            <w:tcW w:w="3440" w:type="dxa"/>
            <w:vAlign w:val="bottom"/>
            <w:shd w:val="clear" w:color="auto" w:fill="CCCCCC"/>
          </w:tcPr>
          <w:p>
            <w:pPr>
              <w:spacing w:after="0"/>
              <w:rPr>
                <w:sz w:val="16"/>
                <w:szCs w:val="16"/>
                <w:color w:val="auto"/>
              </w:rPr>
            </w:pPr>
          </w:p>
        </w:tc>
        <w:tc>
          <w:tcPr>
            <w:tcW w:w="7980" w:type="dxa"/>
            <w:vAlign w:val="bottom"/>
            <w:shd w:val="clear" w:color="auto" w:fill="CCCCCC"/>
          </w:tcPr>
          <w:p>
            <w:pPr>
              <w:ind w:left="220"/>
              <w:spacing w:after="0" w:line="192" w:lineRule="exact"/>
              <w:rPr>
                <w:sz w:val="20"/>
                <w:szCs w:val="20"/>
                <w:color w:val="auto"/>
              </w:rPr>
            </w:pPr>
            <w:r>
              <w:rPr>
                <w:rFonts w:ascii="Arial" w:cs="Arial" w:eastAsia="Arial" w:hAnsi="Arial"/>
                <w:sz w:val="17"/>
                <w:szCs w:val="17"/>
                <w:color w:val="auto"/>
              </w:rPr>
              <w:t>established significant and effective safeguards to protect against undue risk such as reasonable caps</w:t>
            </w:r>
          </w:p>
        </w:tc>
      </w:tr>
      <w:tr>
        <w:trPr>
          <w:trHeight w:val="192"/>
        </w:trPr>
        <w:tc>
          <w:tcPr>
            <w:tcW w:w="3440" w:type="dxa"/>
            <w:vAlign w:val="bottom"/>
            <w:shd w:val="clear" w:color="auto" w:fill="CCCCCC"/>
          </w:tcPr>
          <w:p>
            <w:pPr>
              <w:spacing w:after="0"/>
              <w:rPr>
                <w:sz w:val="16"/>
                <w:szCs w:val="16"/>
                <w:color w:val="auto"/>
              </w:rPr>
            </w:pPr>
          </w:p>
        </w:tc>
        <w:tc>
          <w:tcPr>
            <w:tcW w:w="7980" w:type="dxa"/>
            <w:vAlign w:val="bottom"/>
            <w:shd w:val="clear" w:color="auto" w:fill="CCCCCC"/>
          </w:tcPr>
          <w:p>
            <w:pPr>
              <w:ind w:left="220"/>
              <w:spacing w:after="0" w:line="192" w:lineRule="exact"/>
              <w:rPr>
                <w:sz w:val="20"/>
                <w:szCs w:val="20"/>
                <w:color w:val="auto"/>
              </w:rPr>
            </w:pPr>
            <w:r>
              <w:rPr>
                <w:rFonts w:ascii="Arial" w:cs="Arial" w:eastAsia="Arial" w:hAnsi="Arial"/>
                <w:sz w:val="17"/>
                <w:szCs w:val="17"/>
                <w:color w:val="auto"/>
              </w:rPr>
              <w:t>on incentive payouts, use of diverse mix of performance measures, incentive clawbacks and</w:t>
            </w:r>
          </w:p>
        </w:tc>
      </w:tr>
      <w:tr>
        <w:trPr>
          <w:trHeight w:val="189"/>
        </w:trPr>
        <w:tc>
          <w:tcPr>
            <w:tcW w:w="3440" w:type="dxa"/>
            <w:vAlign w:val="bottom"/>
            <w:shd w:val="clear" w:color="auto" w:fill="CCCCCC"/>
          </w:tcPr>
          <w:p>
            <w:pPr>
              <w:spacing w:after="0"/>
              <w:rPr>
                <w:sz w:val="16"/>
                <w:szCs w:val="16"/>
                <w:color w:val="auto"/>
              </w:rPr>
            </w:pPr>
          </w:p>
        </w:tc>
        <w:tc>
          <w:tcPr>
            <w:tcW w:w="7980" w:type="dxa"/>
            <w:vAlign w:val="bottom"/>
            <w:shd w:val="clear" w:color="auto" w:fill="CCCCCC"/>
          </w:tcPr>
          <w:p>
            <w:pPr>
              <w:ind w:left="220"/>
              <w:spacing w:after="0" w:line="189" w:lineRule="exact"/>
              <w:rPr>
                <w:sz w:val="20"/>
                <w:szCs w:val="20"/>
                <w:color w:val="auto"/>
              </w:rPr>
            </w:pPr>
            <w:r>
              <w:rPr>
                <w:rFonts w:ascii="Arial" w:cs="Arial" w:eastAsia="Arial" w:hAnsi="Arial"/>
                <w:sz w:val="17"/>
                <w:szCs w:val="17"/>
                <w:color w:val="auto"/>
              </w:rPr>
              <w:t>appropriate discretion by the Committee on award payouts.</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the Committee Considered the Shareholder Advisory Vote on our 2010 Executive Compensation Program</w:t>
      </w:r>
    </w:p>
    <w:p>
      <w:pPr>
        <w:spacing w:after="0" w:line="170" w:lineRule="exact"/>
        <w:rPr>
          <w:sz w:val="20"/>
          <w:szCs w:val="20"/>
          <w:color w:val="auto"/>
        </w:rPr>
      </w:pPr>
    </w:p>
    <w:p>
      <w:pPr>
        <w:ind w:right="100"/>
        <w:spacing w:after="0" w:line="236" w:lineRule="auto"/>
        <w:rPr>
          <w:sz w:val="20"/>
          <w:szCs w:val="20"/>
          <w:color w:val="auto"/>
        </w:rPr>
      </w:pPr>
      <w:r>
        <w:rPr>
          <w:rFonts w:ascii="Arial" w:cs="Arial" w:eastAsia="Arial" w:hAnsi="Arial"/>
          <w:sz w:val="17"/>
          <w:szCs w:val="17"/>
          <w:color w:val="auto"/>
        </w:rPr>
        <w:t>The Committee believes that our executive compensation program is strongly aligned with delivering sustainable top-tier performance and reflects competitive practices for executive compensation. At our 2011 Annual Meeting of Shareholders, we held our first shareholder advisory vote on the compensation of our Named Executive Officers and our shareholders approved our fiscal year 2010 executive compensation program with 83.8% of votes cast. The Committee has considered the results of the vote on our 2010 executive compensation program and concluded that the program continues to provide a competitive pay-for-performance package that effectively incents our Named Executive Officers and encourages long-term shareholder value. Kraft Foods’ strong financial performance in fiscal year 2011 reinforces the Committee’s view that our executive compensation program is achieving its objectives, and the Committee made no significant changes to the program during the year. The Committee will continue to consider the results of future shareholder advisory votes as well as shareholder views about our core compensation principles, objectives and program design when determining executive compensation.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443" w:right="239" w:bottom="1440" w:gutter="0" w:footer="0" w:header="0"/>
          <w:type w:val="continuous"/>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Compensation Program Design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Our executive compensation program’s four primary goals are:</w:t>
      </w:r>
    </w:p>
    <w:p>
      <w:pPr>
        <w:spacing w:after="0" w:line="188" w:lineRule="exact"/>
        <w:rPr>
          <w:sz w:val="20"/>
          <w:szCs w:val="20"/>
          <w:color w:val="auto"/>
        </w:rPr>
      </w:pPr>
    </w:p>
    <w:p>
      <w:pPr>
        <w:ind w:left="880" w:hanging="315"/>
        <w:spacing w:after="0"/>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attract, retain and motivate talented executive officers and develop world-class business leaders;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support business strategies that promote superior long-term shareholder returns;</w:t>
      </w:r>
    </w:p>
    <w:p>
      <w:pPr>
        <w:spacing w:after="0" w:line="73" w:lineRule="exact"/>
        <w:rPr>
          <w:rFonts w:ascii="Arial" w:cs="Arial" w:eastAsia="Arial" w:hAnsi="Arial"/>
          <w:sz w:val="17"/>
          <w:szCs w:val="17"/>
          <w:color w:val="auto"/>
        </w:rPr>
      </w:pPr>
    </w:p>
    <w:p>
      <w:pPr>
        <w:ind w:left="880" w:right="600" w:hanging="315"/>
        <w:spacing w:after="0" w:line="241" w:lineRule="auto"/>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align pay and performance by making a significant portion of our Named Executive Officers’ and other executive officers’ compensation dependent on achieving financial and other critical strategic and individual goals; and</w:t>
      </w:r>
    </w:p>
    <w:p>
      <w:pPr>
        <w:spacing w:after="0" w:line="67" w:lineRule="exact"/>
        <w:rPr>
          <w:rFonts w:ascii="Arial" w:cs="Arial" w:eastAsia="Arial" w:hAnsi="Arial"/>
          <w:sz w:val="17"/>
          <w:szCs w:val="17"/>
          <w:color w:val="auto"/>
        </w:rPr>
      </w:pPr>
    </w:p>
    <w:p>
      <w:pPr>
        <w:ind w:left="880" w:hanging="315"/>
        <w:spacing w:after="0" w:line="241" w:lineRule="auto"/>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align our executive officers’ and shareholders’ interests through stock ownership guidelines, equity-based incentive awards and other long-term incentive awards that link executive compensation to sustained and superior Total Shareholder Return.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Our executive compensation program is designed to achieve these goals by using the following principles:</w:t>
      </w:r>
    </w:p>
    <w:p>
      <w:pPr>
        <w:spacing w:after="0" w:line="170" w:lineRule="exact"/>
        <w:rPr>
          <w:sz w:val="20"/>
          <w:szCs w:val="20"/>
          <w:color w:val="auto"/>
        </w:rPr>
      </w:pPr>
    </w:p>
    <w:p>
      <w:pPr>
        <w:ind w:left="880" w:hanging="315"/>
        <w:spacing w:after="0" w:line="239" w:lineRule="auto"/>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Providing Competitive Pay. </w:t>
      </w:r>
      <w:r>
        <w:rPr>
          <w:rFonts w:ascii="Arial" w:cs="Arial" w:eastAsia="Arial" w:hAnsi="Arial"/>
          <w:sz w:val="17"/>
          <w:szCs w:val="17"/>
          <w:color w:val="auto"/>
        </w:rPr>
        <w:t>We annually benchmark our target and actual compensation levels and pay-mix with our Compensation Survey</w:t>
      </w:r>
      <w:r>
        <w:rPr>
          <w:rFonts w:ascii="Arial" w:cs="Arial" w:eastAsia="Arial" w:hAnsi="Arial"/>
          <w:sz w:val="17"/>
          <w:szCs w:val="17"/>
          <w:i w:val="1"/>
          <w:iCs w:val="1"/>
          <w:color w:val="auto"/>
        </w:rPr>
        <w:t xml:space="preserve"> </w:t>
      </w:r>
      <w:r>
        <w:rPr>
          <w:rFonts w:ascii="Arial" w:cs="Arial" w:eastAsia="Arial" w:hAnsi="Arial"/>
          <w:sz w:val="17"/>
          <w:szCs w:val="17"/>
          <w:color w:val="auto"/>
        </w:rPr>
        <w:t>Group. We use this comparison to ensure that our executive compensation and benefits package is competitive with the Compensation Survey Group. The Committee generally targets total executive compensation at or near the size-adjusted median total compensation of the group and allows business and individual performance to determine whether actual pay is above or below the median. The Committee uses a size-adjusted median because our revenues are significantly higher than the revenues of companies in our peer group. In addition, the Committee compares Kraft Foods’ financial and Total Shareholder Return performance against our Performance Peer Group. The Performance Peer Group comparison allows us to link long-term incentive compensation to the delivery of superior financial results relative to industry peers. More information about the Compensation Survey Group, the Performance Peer Group and the methodology for the size-adjusted median can be found below under “—Additional Information on Compensation Principles—Providing Competitive Pay”;</w:t>
      </w:r>
    </w:p>
    <w:p>
      <w:pPr>
        <w:spacing w:after="0" w:line="51" w:lineRule="exact"/>
        <w:rPr>
          <w:rFonts w:ascii="Arial" w:cs="Arial" w:eastAsia="Arial" w:hAnsi="Arial"/>
          <w:sz w:val="17"/>
          <w:szCs w:val="17"/>
          <w:color w:val="auto"/>
        </w:rPr>
      </w:pPr>
    </w:p>
    <w:p>
      <w:pPr>
        <w:ind w:left="880" w:right="60" w:hanging="315"/>
        <w:spacing w:after="0" w:line="249" w:lineRule="auto"/>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Providing Fixed and Variable Compensation. </w:t>
      </w:r>
      <w:r>
        <w:rPr>
          <w:rFonts w:ascii="Arial" w:cs="Arial" w:eastAsia="Arial" w:hAnsi="Arial"/>
          <w:sz w:val="17"/>
          <w:szCs w:val="17"/>
          <w:color w:val="auto"/>
        </w:rPr>
        <w:t>We provide a mix of fixed and variable compensation (heavily weighted to variable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Named Executive Officers) designed to attract, retain and motivate top-performing executives, as well as appropriately align compensation levels with achieving relevant financial and strategic goals;</w:t>
      </w:r>
    </w:p>
    <w:p>
      <w:pPr>
        <w:spacing w:after="0" w:line="43" w:lineRule="exact"/>
        <w:rPr>
          <w:rFonts w:ascii="Arial" w:cs="Arial" w:eastAsia="Arial" w:hAnsi="Arial"/>
          <w:sz w:val="17"/>
          <w:szCs w:val="17"/>
          <w:color w:val="auto"/>
        </w:rPr>
      </w:pPr>
    </w:p>
    <w:p>
      <w:pPr>
        <w:ind w:left="880" w:right="280" w:hanging="315"/>
        <w:spacing w:after="0" w:line="263" w:lineRule="auto"/>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Providing Equity and Cash Incentives. </w:t>
      </w:r>
      <w:r>
        <w:rPr>
          <w:rFonts w:ascii="Arial" w:cs="Arial" w:eastAsia="Arial" w:hAnsi="Arial"/>
          <w:sz w:val="17"/>
          <w:szCs w:val="17"/>
          <w:color w:val="auto"/>
        </w:rPr>
        <w:t>We provide a mix of equity and cash incentives to focus executive officers on achieving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that drive long-term sustainable superior Total Shareholder Returns;</w:t>
      </w:r>
    </w:p>
    <w:p>
      <w:pPr>
        <w:spacing w:after="0" w:line="32" w:lineRule="exact"/>
        <w:rPr>
          <w:rFonts w:ascii="Arial" w:cs="Arial" w:eastAsia="Arial" w:hAnsi="Arial"/>
          <w:sz w:val="17"/>
          <w:szCs w:val="17"/>
          <w:color w:val="auto"/>
        </w:rPr>
      </w:pPr>
    </w:p>
    <w:p>
      <w:pPr>
        <w:ind w:left="880" w:right="780" w:hanging="315"/>
        <w:spacing w:after="0" w:line="263" w:lineRule="auto"/>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Assessing Individual Performance and Potential. </w:t>
      </w:r>
      <w:r>
        <w:rPr>
          <w:rFonts w:ascii="Arial" w:cs="Arial" w:eastAsia="Arial" w:hAnsi="Arial"/>
          <w:sz w:val="17"/>
          <w:szCs w:val="17"/>
          <w:color w:val="auto"/>
        </w:rPr>
        <w:t>Incentive awards are based in part on the individual’s performance and potential for</w:t>
      </w:r>
      <w:r>
        <w:rPr>
          <w:rFonts w:ascii="Arial" w:cs="Arial" w:eastAsia="Arial" w:hAnsi="Arial"/>
          <w:sz w:val="17"/>
          <w:szCs w:val="17"/>
          <w:i w:val="1"/>
          <w:iCs w:val="1"/>
          <w:color w:val="auto"/>
        </w:rPr>
        <w:t xml:space="preserve"> </w:t>
      </w:r>
      <w:r>
        <w:rPr>
          <w:rFonts w:ascii="Arial" w:cs="Arial" w:eastAsia="Arial" w:hAnsi="Arial"/>
          <w:sz w:val="17"/>
          <w:szCs w:val="17"/>
          <w:color w:val="auto"/>
        </w:rPr>
        <w:t>advancement within the organization; and</w:t>
      </w:r>
    </w:p>
    <w:p>
      <w:pPr>
        <w:spacing w:after="0" w:line="32" w:lineRule="exact"/>
        <w:rPr>
          <w:rFonts w:ascii="Arial" w:cs="Arial" w:eastAsia="Arial" w:hAnsi="Arial"/>
          <w:sz w:val="17"/>
          <w:szCs w:val="17"/>
          <w:color w:val="auto"/>
        </w:rPr>
      </w:pPr>
    </w:p>
    <w:p>
      <w:pPr>
        <w:ind w:left="880" w:right="80" w:hanging="315"/>
        <w:spacing w:after="0" w:line="261" w:lineRule="auto"/>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Requiring Stock Ownership and Holding Periods. </w:t>
      </w:r>
      <w:r>
        <w:rPr>
          <w:rFonts w:ascii="Arial" w:cs="Arial" w:eastAsia="Arial" w:hAnsi="Arial"/>
          <w:sz w:val="16"/>
          <w:szCs w:val="16"/>
          <w:color w:val="auto"/>
        </w:rPr>
        <w:t>Our executive officers, including our Named Executive Officers, are required to maintain or</w:t>
      </w:r>
      <w:r>
        <w:rPr>
          <w:rFonts w:ascii="Arial" w:cs="Arial" w:eastAsia="Arial" w:hAnsi="Arial"/>
          <w:sz w:val="16"/>
          <w:szCs w:val="16"/>
          <w:i w:val="1"/>
          <w:iCs w:val="1"/>
          <w:color w:val="auto"/>
        </w:rPr>
        <w:t xml:space="preserve"> </w:t>
      </w:r>
      <w:r>
        <w:rPr>
          <w:rFonts w:ascii="Arial" w:cs="Arial" w:eastAsia="Arial" w:hAnsi="Arial"/>
          <w:sz w:val="16"/>
          <w:szCs w:val="16"/>
          <w:color w:val="auto"/>
        </w:rPr>
        <w:t>exceed specific levels of Kraft Foods stock ownership in order to further align their interests with those of our shareholders. Our compensation programs facilitate high levels of stock ownership. Our executive officers are also required to hold shares upon exercise of stock options and vesting of restricted stock and performance shares for at least one year. More information about stock ownership guidelines for executive officers can be found below under “—Additional Information on Compensation Principles—Requiring Stock Ownership.”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443" w:right="25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Overall Pay Mix</w:t>
      </w:r>
    </w:p>
    <w:p>
      <w:pPr>
        <w:spacing w:after="0" w:line="16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The chart below shows the total compensation mix, on average, for our CEO and other Named Executive Officers (NEOs), based on target awards in 2011, compared with the average of the Compensation Survey Group. Our mix is well–aligned to the mix paid by companies in the Compensation Survey Group. In the case of our CEO, the incentive mix is slightly more weighted towards long-term incentives and less weighted in annual incentives compared to the Compensation Survey Group, consistent with our focus on delivering top-tier sustainable performance over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212725</wp:posOffset>
            </wp:positionV>
            <wp:extent cx="6425565" cy="34931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25565" cy="349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60" w:right="100" w:hanging="458"/>
        <w:spacing w:after="0" w:line="241"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For Kraft Foods, long-term incentives include restricted stock, non-qualified stock options and performance shares; for Compensation Survey Group peers, long-term incentives include all types of long-term incentive awards.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44" w:right="2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Summary of 2011 Compensation Program</w:t>
      </w:r>
    </w:p>
    <w:p>
      <w:pPr>
        <w:spacing w:after="0" w:line="150"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following table summarizes the elements and program objectives of our 2011 compensation program for executive officers, including Named Executive Officers.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300" w:type="dxa"/>
            <w:vAlign w:val="bottom"/>
            <w:gridSpan w:val="2"/>
          </w:tcPr>
          <w:p>
            <w:pPr>
              <w:spacing w:after="0"/>
              <w:rPr>
                <w:sz w:val="20"/>
                <w:szCs w:val="20"/>
                <w:color w:val="auto"/>
              </w:rPr>
            </w:pPr>
            <w:r>
              <w:rPr>
                <w:rFonts w:ascii="Arial" w:cs="Arial" w:eastAsia="Arial" w:hAnsi="Arial"/>
                <w:sz w:val="13"/>
                <w:szCs w:val="13"/>
                <w:b w:val="1"/>
                <w:bCs w:val="1"/>
                <w:color w:val="auto"/>
              </w:rPr>
              <w:t>Program</w:t>
            </w:r>
          </w:p>
        </w:tc>
        <w:tc>
          <w:tcPr>
            <w:tcW w:w="4680" w:type="dxa"/>
            <w:vAlign w:val="bottom"/>
            <w:gridSpan w:val="2"/>
          </w:tcPr>
          <w:p>
            <w:pPr>
              <w:ind w:left="1880"/>
              <w:spacing w:after="0"/>
              <w:rPr>
                <w:sz w:val="20"/>
                <w:szCs w:val="20"/>
                <w:color w:val="auto"/>
              </w:rPr>
            </w:pPr>
            <w:r>
              <w:rPr>
                <w:rFonts w:ascii="Arial" w:cs="Arial" w:eastAsia="Arial" w:hAnsi="Arial"/>
                <w:sz w:val="13"/>
                <w:szCs w:val="13"/>
                <w:b w:val="1"/>
                <w:bCs w:val="1"/>
                <w:color w:val="auto"/>
              </w:rPr>
              <w:t>Description</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60" w:type="dxa"/>
            <w:vAlign w:val="bottom"/>
          </w:tcPr>
          <w:p>
            <w:pPr>
              <w:ind w:left="1080"/>
              <w:spacing w:after="0"/>
              <w:rPr>
                <w:sz w:val="20"/>
                <w:szCs w:val="20"/>
                <w:color w:val="auto"/>
              </w:rPr>
            </w:pPr>
            <w:r>
              <w:rPr>
                <w:rFonts w:ascii="Arial" w:cs="Arial" w:eastAsia="Arial" w:hAnsi="Arial"/>
                <w:sz w:val="13"/>
                <w:szCs w:val="13"/>
                <w:b w:val="1"/>
                <w:bCs w:val="1"/>
                <w:color w:val="auto"/>
              </w:rPr>
              <w:t>Program Objective</w:t>
            </w:r>
          </w:p>
        </w:tc>
      </w:tr>
      <w:tr>
        <w:trPr>
          <w:trHeight w:val="165"/>
        </w:trPr>
        <w:tc>
          <w:tcPr>
            <w:tcW w:w="660" w:type="dxa"/>
            <w:vAlign w:val="bottom"/>
            <w:tcBorders>
              <w:top w:val="single" w:sz="8" w:color="auto"/>
            </w:tcBorders>
          </w:tcPr>
          <w:p>
            <w:pPr>
              <w:spacing w:after="0" w:line="165" w:lineRule="exact"/>
              <w:rPr>
                <w:sz w:val="20"/>
                <w:szCs w:val="20"/>
                <w:color w:val="auto"/>
              </w:rPr>
            </w:pPr>
            <w:r>
              <w:rPr>
                <w:rFonts w:ascii="Arial" w:cs="Arial" w:eastAsia="Arial" w:hAnsi="Arial"/>
                <w:sz w:val="17"/>
                <w:szCs w:val="17"/>
                <w:b w:val="1"/>
                <w:bCs w:val="1"/>
                <w:color w:val="auto"/>
              </w:rPr>
              <w:t>Annual</w:t>
            </w:r>
          </w:p>
        </w:tc>
        <w:tc>
          <w:tcPr>
            <w:tcW w:w="1640" w:type="dxa"/>
            <w:vAlign w:val="bottom"/>
          </w:tcPr>
          <w:p>
            <w:pPr>
              <w:spacing w:after="0" w:line="165" w:lineRule="exact"/>
              <w:rPr>
                <w:sz w:val="20"/>
                <w:szCs w:val="20"/>
                <w:color w:val="auto"/>
              </w:rPr>
            </w:pPr>
            <w:r>
              <w:rPr>
                <w:rFonts w:ascii="Arial" w:cs="Arial" w:eastAsia="Arial" w:hAnsi="Arial"/>
                <w:sz w:val="17"/>
                <w:szCs w:val="17"/>
                <w:b w:val="1"/>
                <w:bCs w:val="1"/>
                <w:color w:val="auto"/>
                <w:w w:val="98"/>
              </w:rPr>
              <w:t>Cash Compensation</w:t>
            </w:r>
          </w:p>
        </w:tc>
        <w:tc>
          <w:tcPr>
            <w:tcW w:w="44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860" w:type="dxa"/>
            <w:vAlign w:val="bottom"/>
            <w:tcBorders>
              <w:top w:val="single" w:sz="8" w:color="auto"/>
            </w:tcBorders>
          </w:tcPr>
          <w:p>
            <w:pPr>
              <w:spacing w:after="0"/>
              <w:rPr>
                <w:sz w:val="14"/>
                <w:szCs w:val="14"/>
                <w:color w:val="auto"/>
              </w:rPr>
            </w:pPr>
          </w:p>
        </w:tc>
      </w:tr>
      <w:tr>
        <w:trPr>
          <w:trHeight w:val="297"/>
        </w:trPr>
        <w:tc>
          <w:tcPr>
            <w:tcW w:w="230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Base Salary</w:t>
            </w:r>
          </w:p>
        </w:tc>
        <w:tc>
          <w:tcPr>
            <w:tcW w:w="468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Ongoing cash compensation based on the executive</w:t>
            </w: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gridSpan w:val="2"/>
            <w:shd w:val="clear" w:color="auto" w:fill="D8D8D8"/>
          </w:tcPr>
          <w:p>
            <w:pPr>
              <w:ind w:left="100"/>
              <w:spacing w:after="0"/>
              <w:rPr>
                <w:sz w:val="20"/>
                <w:szCs w:val="20"/>
                <w:color w:val="auto"/>
              </w:rPr>
            </w:pPr>
            <w:r>
              <w:rPr>
                <w:rFonts w:ascii="Arial" w:cs="Arial" w:eastAsia="Arial" w:hAnsi="Arial"/>
                <w:sz w:val="17"/>
                <w:szCs w:val="17"/>
                <w:color w:val="auto"/>
              </w:rPr>
              <w:t>Retention and attraction</w:t>
            </w:r>
          </w:p>
        </w:tc>
      </w:tr>
      <w:tr>
        <w:trPr>
          <w:trHeight w:val="192"/>
        </w:trPr>
        <w:tc>
          <w:tcPr>
            <w:tcW w:w="660" w:type="dxa"/>
            <w:vAlign w:val="bottom"/>
            <w:shd w:val="clear" w:color="auto" w:fill="D8D8D8"/>
          </w:tcPr>
          <w:p>
            <w:pPr>
              <w:spacing w:after="0"/>
              <w:rPr>
                <w:sz w:val="16"/>
                <w:szCs w:val="16"/>
                <w:color w:val="auto"/>
              </w:rPr>
            </w:pPr>
          </w:p>
        </w:tc>
        <w:tc>
          <w:tcPr>
            <w:tcW w:w="16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officer’s role and responsibilities.</w:t>
            </w:r>
          </w:p>
        </w:tc>
        <w:tc>
          <w:tcPr>
            <w:tcW w:w="24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gridSpan w:val="2"/>
            <w:shd w:val="clear" w:color="auto" w:fill="D8D8D8"/>
          </w:tcPr>
          <w:p>
            <w:pPr>
              <w:ind w:left="100"/>
              <w:spacing w:after="0" w:line="192" w:lineRule="exact"/>
              <w:rPr>
                <w:sz w:val="20"/>
                <w:szCs w:val="20"/>
                <w:color w:val="auto"/>
              </w:rPr>
            </w:pPr>
            <w:r>
              <w:rPr>
                <w:rFonts w:ascii="Arial" w:cs="Arial" w:eastAsia="Arial" w:hAnsi="Arial"/>
                <w:sz w:val="17"/>
                <w:szCs w:val="17"/>
                <w:color w:val="auto"/>
              </w:rPr>
              <w:t>Drive top-tier performance</w:t>
            </w:r>
          </w:p>
        </w:tc>
      </w:tr>
      <w:tr>
        <w:trPr>
          <w:trHeight w:val="202"/>
        </w:trPr>
        <w:tc>
          <w:tcPr>
            <w:tcW w:w="660" w:type="dxa"/>
            <w:vAlign w:val="bottom"/>
            <w:shd w:val="clear" w:color="auto" w:fill="D8D8D8"/>
          </w:tcPr>
          <w:p>
            <w:pPr>
              <w:spacing w:after="0"/>
              <w:rPr>
                <w:sz w:val="17"/>
                <w:szCs w:val="17"/>
                <w:color w:val="auto"/>
              </w:rPr>
            </w:pPr>
          </w:p>
        </w:tc>
        <w:tc>
          <w:tcPr>
            <w:tcW w:w="1640" w:type="dxa"/>
            <w:vAlign w:val="bottom"/>
            <w:shd w:val="clear" w:color="auto" w:fill="D8D8D8"/>
          </w:tcPr>
          <w:p>
            <w:pPr>
              <w:spacing w:after="0"/>
              <w:rPr>
                <w:sz w:val="17"/>
                <w:szCs w:val="17"/>
                <w:color w:val="auto"/>
              </w:rPr>
            </w:pPr>
          </w:p>
        </w:tc>
        <w:tc>
          <w:tcPr>
            <w:tcW w:w="446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240" w:type="dxa"/>
            <w:vAlign w:val="bottom"/>
            <w:shd w:val="clear" w:color="auto" w:fill="D8D8D8"/>
          </w:tcPr>
          <w:p>
            <w:pPr>
              <w:spacing w:after="0"/>
              <w:rPr>
                <w:sz w:val="17"/>
                <w:szCs w:val="17"/>
                <w:color w:val="auto"/>
              </w:rPr>
            </w:pPr>
          </w:p>
        </w:tc>
        <w:tc>
          <w:tcPr>
            <w:tcW w:w="340" w:type="dxa"/>
            <w:vAlign w:val="bottom"/>
            <w:shd w:val="clear" w:color="auto" w:fill="D8D8D8"/>
          </w:tcPr>
          <w:p>
            <w:pPr>
              <w:ind w:left="160"/>
              <w:spacing w:after="0"/>
              <w:rPr>
                <w:sz w:val="20"/>
                <w:szCs w:val="20"/>
                <w:color w:val="auto"/>
              </w:rPr>
            </w:pPr>
            <w:r>
              <w:rPr>
                <w:rFonts w:ascii="Arial" w:cs="Arial" w:eastAsia="Arial" w:hAnsi="Arial"/>
                <w:sz w:val="17"/>
                <w:szCs w:val="17"/>
                <w:color w:val="auto"/>
              </w:rPr>
              <w:t>–</w:t>
            </w:r>
          </w:p>
        </w:tc>
        <w:tc>
          <w:tcPr>
            <w:tcW w:w="3860" w:type="dxa"/>
            <w:vAlign w:val="bottom"/>
            <w:shd w:val="clear" w:color="auto" w:fill="D8D8D8"/>
          </w:tcPr>
          <w:p>
            <w:pPr>
              <w:ind w:left="100"/>
              <w:spacing w:after="0"/>
              <w:rPr>
                <w:sz w:val="20"/>
                <w:szCs w:val="20"/>
                <w:color w:val="auto"/>
              </w:rPr>
            </w:pPr>
            <w:r>
              <w:rPr>
                <w:rFonts w:ascii="Arial" w:cs="Arial" w:eastAsia="Arial" w:hAnsi="Arial"/>
                <w:sz w:val="17"/>
                <w:szCs w:val="17"/>
                <w:color w:val="auto"/>
              </w:rPr>
              <w:t>Individual contribution</w:t>
            </w:r>
          </w:p>
        </w:tc>
      </w:tr>
      <w:tr>
        <w:trPr>
          <w:trHeight w:val="400"/>
        </w:trPr>
        <w:tc>
          <w:tcPr>
            <w:tcW w:w="2300" w:type="dxa"/>
            <w:vAlign w:val="bottom"/>
            <w:gridSpan w:val="2"/>
          </w:tcPr>
          <w:p>
            <w:pPr>
              <w:spacing w:after="0"/>
              <w:rPr>
                <w:sz w:val="20"/>
                <w:szCs w:val="20"/>
                <w:color w:val="auto"/>
              </w:rPr>
            </w:pPr>
            <w:r>
              <w:rPr>
                <w:rFonts w:ascii="Arial" w:cs="Arial" w:eastAsia="Arial" w:hAnsi="Arial"/>
                <w:sz w:val="17"/>
                <w:szCs w:val="17"/>
                <w:color w:val="auto"/>
              </w:rPr>
              <w:t>Annual Cash Incentive</w:t>
            </w:r>
          </w:p>
        </w:tc>
        <w:tc>
          <w:tcPr>
            <w:tcW w:w="4680" w:type="dxa"/>
            <w:vAlign w:val="bottom"/>
            <w:gridSpan w:val="2"/>
          </w:tcPr>
          <w:p>
            <w:pPr>
              <w:spacing w:after="0"/>
              <w:rPr>
                <w:sz w:val="20"/>
                <w:szCs w:val="20"/>
                <w:color w:val="auto"/>
              </w:rPr>
            </w:pPr>
            <w:r>
              <w:rPr>
                <w:rFonts w:ascii="Arial" w:cs="Arial" w:eastAsia="Arial" w:hAnsi="Arial"/>
                <w:sz w:val="17"/>
                <w:szCs w:val="17"/>
                <w:color w:val="auto"/>
              </w:rPr>
              <w:t>Annual incentive with target award amounts for each</w:t>
            </w:r>
          </w:p>
        </w:tc>
        <w:tc>
          <w:tcPr>
            <w:tcW w:w="240" w:type="dxa"/>
            <w:vAlign w:val="bottom"/>
          </w:tcPr>
          <w:p>
            <w:pPr>
              <w:ind w:left="100"/>
              <w:spacing w:after="0"/>
              <w:rPr>
                <w:sz w:val="20"/>
                <w:szCs w:val="20"/>
                <w:color w:val="auto"/>
              </w:rPr>
            </w:pPr>
            <w:r>
              <w:rPr>
                <w:rFonts w:ascii="Arial" w:cs="Arial" w:eastAsia="Arial" w:hAnsi="Arial"/>
                <w:sz w:val="17"/>
                <w:szCs w:val="17"/>
                <w:color w:val="auto"/>
              </w:rPr>
              <w:t>•</w:t>
            </w:r>
          </w:p>
        </w:tc>
        <w:tc>
          <w:tcPr>
            <w:tcW w:w="4200" w:type="dxa"/>
            <w:vAlign w:val="bottom"/>
            <w:gridSpan w:val="2"/>
          </w:tcPr>
          <w:p>
            <w:pPr>
              <w:ind w:left="100"/>
              <w:spacing w:after="0"/>
              <w:rPr>
                <w:sz w:val="20"/>
                <w:szCs w:val="20"/>
                <w:color w:val="auto"/>
              </w:rPr>
            </w:pPr>
            <w:r>
              <w:rPr>
                <w:rFonts w:ascii="Arial" w:cs="Arial" w:eastAsia="Arial" w:hAnsi="Arial"/>
                <w:sz w:val="17"/>
                <w:szCs w:val="17"/>
                <w:color w:val="auto"/>
              </w:rPr>
              <w:t>Drive top-tier performance</w:t>
            </w:r>
          </w:p>
        </w:tc>
      </w:tr>
      <w:tr>
        <w:trPr>
          <w:trHeight w:val="192"/>
        </w:trPr>
        <w:tc>
          <w:tcPr>
            <w:tcW w:w="2300" w:type="dxa"/>
            <w:vAlign w:val="bottom"/>
            <w:gridSpan w:val="2"/>
          </w:tcPr>
          <w:p>
            <w:pPr>
              <w:spacing w:after="0" w:line="192" w:lineRule="exact"/>
              <w:rPr>
                <w:sz w:val="20"/>
                <w:szCs w:val="20"/>
                <w:color w:val="auto"/>
              </w:rPr>
            </w:pPr>
            <w:r>
              <w:rPr>
                <w:rFonts w:ascii="Arial" w:cs="Arial" w:eastAsia="Arial" w:hAnsi="Arial"/>
                <w:sz w:val="17"/>
                <w:szCs w:val="17"/>
                <w:color w:val="auto"/>
              </w:rPr>
              <w:t>Program</w:t>
            </w:r>
          </w:p>
        </w:tc>
        <w:tc>
          <w:tcPr>
            <w:tcW w:w="4680" w:type="dxa"/>
            <w:vAlign w:val="bottom"/>
            <w:gridSpan w:val="2"/>
          </w:tcPr>
          <w:p>
            <w:pPr>
              <w:spacing w:after="0" w:line="192" w:lineRule="exact"/>
              <w:rPr>
                <w:sz w:val="20"/>
                <w:szCs w:val="20"/>
                <w:color w:val="auto"/>
              </w:rPr>
            </w:pPr>
            <w:r>
              <w:rPr>
                <w:rFonts w:ascii="Arial" w:cs="Arial" w:eastAsia="Arial" w:hAnsi="Arial"/>
                <w:sz w:val="17"/>
                <w:szCs w:val="17"/>
                <w:color w:val="auto"/>
              </w:rPr>
              <w:t>executive officer. Actual cash payouts may be higher or</w:t>
            </w:r>
          </w:p>
        </w:tc>
        <w:tc>
          <w:tcPr>
            <w:tcW w:w="240" w:type="dxa"/>
            <w:vAlign w:val="bottom"/>
          </w:tcPr>
          <w:p>
            <w:pPr>
              <w:spacing w:after="0"/>
              <w:rPr>
                <w:sz w:val="16"/>
                <w:szCs w:val="16"/>
                <w:color w:val="auto"/>
              </w:rPr>
            </w:pPr>
          </w:p>
        </w:tc>
        <w:tc>
          <w:tcPr>
            <w:tcW w:w="340" w:type="dxa"/>
            <w:vAlign w:val="bottom"/>
          </w:tcPr>
          <w:p>
            <w:pPr>
              <w:ind w:left="160"/>
              <w:spacing w:after="0" w:line="192" w:lineRule="exact"/>
              <w:rPr>
                <w:sz w:val="20"/>
                <w:szCs w:val="20"/>
                <w:color w:val="auto"/>
              </w:rPr>
            </w:pPr>
            <w:r>
              <w:rPr>
                <w:rFonts w:ascii="Arial" w:cs="Arial" w:eastAsia="Arial" w:hAnsi="Arial"/>
                <w:sz w:val="17"/>
                <w:szCs w:val="17"/>
                <w:color w:val="auto"/>
              </w:rPr>
              <w:t>–</w:t>
            </w:r>
          </w:p>
        </w:tc>
        <w:tc>
          <w:tcPr>
            <w:tcW w:w="3860" w:type="dxa"/>
            <w:vAlign w:val="bottom"/>
          </w:tcPr>
          <w:p>
            <w:pPr>
              <w:ind w:left="100"/>
              <w:spacing w:after="0" w:line="192" w:lineRule="exact"/>
              <w:rPr>
                <w:sz w:val="20"/>
                <w:szCs w:val="20"/>
                <w:color w:val="auto"/>
              </w:rPr>
            </w:pPr>
            <w:r>
              <w:rPr>
                <w:rFonts w:ascii="Arial" w:cs="Arial" w:eastAsia="Arial" w:hAnsi="Arial"/>
                <w:sz w:val="17"/>
                <w:szCs w:val="17"/>
                <w:color w:val="auto"/>
              </w:rPr>
              <w:t>Across entire organization</w:t>
            </w:r>
          </w:p>
        </w:tc>
      </w:tr>
      <w:tr>
        <w:trPr>
          <w:trHeight w:val="192"/>
        </w:trPr>
        <w:tc>
          <w:tcPr>
            <w:tcW w:w="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680" w:type="dxa"/>
            <w:vAlign w:val="bottom"/>
            <w:gridSpan w:val="2"/>
          </w:tcPr>
          <w:p>
            <w:pPr>
              <w:spacing w:after="0" w:line="192" w:lineRule="exact"/>
              <w:rPr>
                <w:sz w:val="20"/>
                <w:szCs w:val="20"/>
                <w:color w:val="auto"/>
              </w:rPr>
            </w:pPr>
            <w:r>
              <w:rPr>
                <w:rFonts w:ascii="Arial" w:cs="Arial" w:eastAsia="Arial" w:hAnsi="Arial"/>
                <w:sz w:val="17"/>
                <w:szCs w:val="17"/>
                <w:color w:val="auto"/>
              </w:rPr>
              <w:t>lower than target, based on business and individual</w:t>
            </w:r>
          </w:p>
        </w:tc>
        <w:tc>
          <w:tcPr>
            <w:tcW w:w="240" w:type="dxa"/>
            <w:vAlign w:val="bottom"/>
          </w:tcPr>
          <w:p>
            <w:pPr>
              <w:spacing w:after="0"/>
              <w:rPr>
                <w:sz w:val="16"/>
                <w:szCs w:val="16"/>
                <w:color w:val="auto"/>
              </w:rPr>
            </w:pPr>
          </w:p>
        </w:tc>
        <w:tc>
          <w:tcPr>
            <w:tcW w:w="340" w:type="dxa"/>
            <w:vAlign w:val="bottom"/>
          </w:tcPr>
          <w:p>
            <w:pPr>
              <w:ind w:left="160"/>
              <w:spacing w:after="0" w:line="192" w:lineRule="exact"/>
              <w:rPr>
                <w:sz w:val="20"/>
                <w:szCs w:val="20"/>
                <w:color w:val="auto"/>
              </w:rPr>
            </w:pPr>
            <w:r>
              <w:rPr>
                <w:rFonts w:ascii="Arial" w:cs="Arial" w:eastAsia="Arial" w:hAnsi="Arial"/>
                <w:sz w:val="17"/>
                <w:szCs w:val="17"/>
                <w:color w:val="auto"/>
              </w:rPr>
              <w:t>–</w:t>
            </w:r>
          </w:p>
        </w:tc>
        <w:tc>
          <w:tcPr>
            <w:tcW w:w="3860" w:type="dxa"/>
            <w:vAlign w:val="bottom"/>
          </w:tcPr>
          <w:p>
            <w:pPr>
              <w:ind w:left="100"/>
              <w:spacing w:after="0" w:line="192" w:lineRule="exact"/>
              <w:rPr>
                <w:sz w:val="20"/>
                <w:szCs w:val="20"/>
                <w:color w:val="auto"/>
              </w:rPr>
            </w:pPr>
            <w:r>
              <w:rPr>
                <w:rFonts w:ascii="Arial" w:cs="Arial" w:eastAsia="Arial" w:hAnsi="Arial"/>
                <w:sz w:val="17"/>
                <w:szCs w:val="17"/>
                <w:color w:val="auto"/>
              </w:rPr>
              <w:t>Within business units</w:t>
            </w:r>
          </w:p>
        </w:tc>
      </w:tr>
      <w:tr>
        <w:trPr>
          <w:trHeight w:val="200"/>
        </w:trPr>
        <w:tc>
          <w:tcPr>
            <w:tcW w:w="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7"/>
                <w:szCs w:val="17"/>
                <w:color w:val="auto"/>
              </w:rPr>
              <w:t>performance.</w:t>
            </w:r>
          </w:p>
        </w:tc>
        <w:tc>
          <w:tcPr>
            <w:tcW w:w="240" w:type="dxa"/>
            <w:vAlign w:val="bottom"/>
          </w:tcPr>
          <w:p>
            <w:pPr>
              <w:spacing w:after="0"/>
              <w:rPr>
                <w:sz w:val="17"/>
                <w:szCs w:val="17"/>
                <w:color w:val="auto"/>
              </w:rPr>
            </w:pPr>
          </w:p>
        </w:tc>
        <w:tc>
          <w:tcPr>
            <w:tcW w:w="340" w:type="dxa"/>
            <w:vAlign w:val="bottom"/>
          </w:tcPr>
          <w:p>
            <w:pPr>
              <w:ind w:left="160"/>
              <w:spacing w:after="0"/>
              <w:rPr>
                <w:sz w:val="20"/>
                <w:szCs w:val="20"/>
                <w:color w:val="auto"/>
              </w:rPr>
            </w:pPr>
            <w:r>
              <w:rPr>
                <w:rFonts w:ascii="Arial" w:cs="Arial" w:eastAsia="Arial" w:hAnsi="Arial"/>
                <w:sz w:val="17"/>
                <w:szCs w:val="17"/>
                <w:color w:val="auto"/>
              </w:rPr>
              <w:t>–</w:t>
            </w:r>
          </w:p>
        </w:tc>
        <w:tc>
          <w:tcPr>
            <w:tcW w:w="3860" w:type="dxa"/>
            <w:vAlign w:val="bottom"/>
          </w:tcPr>
          <w:p>
            <w:pPr>
              <w:ind w:left="100"/>
              <w:spacing w:after="0"/>
              <w:rPr>
                <w:sz w:val="20"/>
                <w:szCs w:val="20"/>
                <w:color w:val="auto"/>
              </w:rPr>
            </w:pPr>
            <w:r>
              <w:rPr>
                <w:rFonts w:ascii="Arial" w:cs="Arial" w:eastAsia="Arial" w:hAnsi="Arial"/>
                <w:sz w:val="17"/>
                <w:szCs w:val="17"/>
                <w:color w:val="auto"/>
              </w:rPr>
              <w:t>Individual contribution</w:t>
            </w:r>
          </w:p>
        </w:tc>
      </w:tr>
      <w:tr>
        <w:trPr>
          <w:trHeight w:val="398"/>
        </w:trPr>
        <w:tc>
          <w:tcPr>
            <w:tcW w:w="6980" w:type="dxa"/>
            <w:vAlign w:val="bottom"/>
            <w:gridSpan w:val="4"/>
          </w:tcPr>
          <w:p>
            <w:pPr>
              <w:spacing w:after="0"/>
              <w:rPr>
                <w:sz w:val="20"/>
                <w:szCs w:val="20"/>
                <w:color w:val="auto"/>
              </w:rPr>
            </w:pPr>
            <w:r>
              <w:rPr>
                <w:rFonts w:ascii="Arial" w:cs="Arial" w:eastAsia="Arial" w:hAnsi="Arial"/>
                <w:sz w:val="17"/>
                <w:szCs w:val="17"/>
                <w:b w:val="1"/>
                <w:bCs w:val="1"/>
                <w:color w:val="auto"/>
              </w:rPr>
              <w:t>Long-Term/Stock-Based Incentive Compensation</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400"/>
        </w:trPr>
        <w:tc>
          <w:tcPr>
            <w:tcW w:w="230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Performance Shares or</w:t>
            </w:r>
          </w:p>
        </w:tc>
        <w:tc>
          <w:tcPr>
            <w:tcW w:w="468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Long-term incentive with target award amounts established</w:t>
            </w: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gridSpan w:val="2"/>
            <w:shd w:val="clear" w:color="auto" w:fill="D8D8D8"/>
          </w:tcPr>
          <w:p>
            <w:pPr>
              <w:ind w:left="100"/>
              <w:spacing w:after="0"/>
              <w:rPr>
                <w:sz w:val="20"/>
                <w:szCs w:val="20"/>
                <w:color w:val="auto"/>
              </w:rPr>
            </w:pPr>
            <w:r>
              <w:rPr>
                <w:rFonts w:ascii="Arial" w:cs="Arial" w:eastAsia="Arial" w:hAnsi="Arial"/>
                <w:sz w:val="17"/>
                <w:szCs w:val="17"/>
                <w:color w:val="auto"/>
              </w:rPr>
              <w:t>Drive top-tier performance</w:t>
            </w:r>
          </w:p>
        </w:tc>
      </w:tr>
      <w:tr>
        <w:trPr>
          <w:trHeight w:val="192"/>
        </w:trPr>
        <w:tc>
          <w:tcPr>
            <w:tcW w:w="230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Long- Term Incentive</w:t>
            </w: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for each executive officer. Actual awards are linked to</w:t>
            </w:r>
          </w:p>
        </w:tc>
        <w:tc>
          <w:tcPr>
            <w:tcW w:w="240" w:type="dxa"/>
            <w:vAlign w:val="bottom"/>
            <w:shd w:val="clear" w:color="auto" w:fill="D8D8D8"/>
          </w:tcPr>
          <w:p>
            <w:pPr>
              <w:spacing w:after="0"/>
              <w:rPr>
                <w:sz w:val="16"/>
                <w:szCs w:val="16"/>
                <w:color w:val="auto"/>
              </w:rPr>
            </w:pPr>
          </w:p>
        </w:tc>
        <w:tc>
          <w:tcPr>
            <w:tcW w:w="340" w:type="dxa"/>
            <w:vAlign w:val="bottom"/>
            <w:shd w:val="clear" w:color="auto" w:fill="D8D8D8"/>
          </w:tcPr>
          <w:p>
            <w:pPr>
              <w:ind w:left="160"/>
              <w:spacing w:after="0" w:line="192" w:lineRule="exact"/>
              <w:rPr>
                <w:sz w:val="20"/>
                <w:szCs w:val="20"/>
                <w:color w:val="auto"/>
              </w:rPr>
            </w:pPr>
            <w:r>
              <w:rPr>
                <w:rFonts w:ascii="Arial" w:cs="Arial" w:eastAsia="Arial" w:hAnsi="Arial"/>
                <w:sz w:val="17"/>
                <w:szCs w:val="17"/>
                <w:color w:val="auto"/>
              </w:rPr>
              <w:t>–</w:t>
            </w:r>
          </w:p>
        </w:tc>
        <w:tc>
          <w:tcPr>
            <w:tcW w:w="386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Across entire organization</w:t>
            </w:r>
          </w:p>
        </w:tc>
      </w:tr>
      <w:tr>
        <w:trPr>
          <w:trHeight w:val="192"/>
        </w:trPr>
        <w:tc>
          <w:tcPr>
            <w:tcW w:w="230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Program</w:t>
            </w: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achievement of three-year Kraft Foods’ goals and can be</w:t>
            </w:r>
          </w:p>
        </w:tc>
        <w:tc>
          <w:tcPr>
            <w:tcW w:w="240" w:type="dxa"/>
            <w:vAlign w:val="bottom"/>
            <w:shd w:val="clear" w:color="auto" w:fill="D8D8D8"/>
          </w:tcPr>
          <w:p>
            <w:pPr>
              <w:spacing w:after="0"/>
              <w:rPr>
                <w:sz w:val="16"/>
                <w:szCs w:val="16"/>
                <w:color w:val="auto"/>
              </w:rPr>
            </w:pPr>
          </w:p>
        </w:tc>
        <w:tc>
          <w:tcPr>
            <w:tcW w:w="4200" w:type="dxa"/>
            <w:vAlign w:val="bottom"/>
            <w:gridSpan w:val="2"/>
            <w:shd w:val="clear" w:color="auto" w:fill="D8D8D8"/>
          </w:tcPr>
          <w:p>
            <w:pPr>
              <w:ind w:left="160"/>
              <w:spacing w:after="0" w:line="192" w:lineRule="exact"/>
              <w:rPr>
                <w:sz w:val="20"/>
                <w:szCs w:val="20"/>
                <w:color w:val="auto"/>
              </w:rPr>
            </w:pPr>
            <w:r>
              <w:rPr>
                <w:rFonts w:ascii="Arial" w:cs="Arial" w:eastAsia="Arial" w:hAnsi="Arial"/>
                <w:sz w:val="17"/>
                <w:szCs w:val="17"/>
                <w:color w:val="auto"/>
              </w:rPr>
              <w:t>–  Focus on long-term sustained success</w:t>
            </w:r>
          </w:p>
        </w:tc>
      </w:tr>
      <w:tr>
        <w:trPr>
          <w:trHeight w:val="192"/>
        </w:trPr>
        <w:tc>
          <w:tcPr>
            <w:tcW w:w="660" w:type="dxa"/>
            <w:vAlign w:val="bottom"/>
            <w:shd w:val="clear" w:color="auto" w:fill="D8D8D8"/>
          </w:tcPr>
          <w:p>
            <w:pPr>
              <w:spacing w:after="0"/>
              <w:rPr>
                <w:sz w:val="16"/>
                <w:szCs w:val="16"/>
                <w:color w:val="auto"/>
              </w:rPr>
            </w:pPr>
          </w:p>
        </w:tc>
        <w:tc>
          <w:tcPr>
            <w:tcW w:w="16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0% – 200% of target, based on Kraft Foods’ performance.</w:t>
            </w:r>
          </w:p>
        </w:tc>
        <w:tc>
          <w:tcPr>
            <w:tcW w:w="24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gridSpan w:val="2"/>
            <w:shd w:val="clear" w:color="auto" w:fill="D8D8D8"/>
          </w:tcPr>
          <w:p>
            <w:pPr>
              <w:ind w:left="100"/>
              <w:spacing w:after="0" w:line="192" w:lineRule="exact"/>
              <w:rPr>
                <w:sz w:val="20"/>
                <w:szCs w:val="20"/>
                <w:color w:val="auto"/>
              </w:rPr>
            </w:pPr>
            <w:r>
              <w:rPr>
                <w:rFonts w:ascii="Arial" w:cs="Arial" w:eastAsia="Arial" w:hAnsi="Arial"/>
                <w:sz w:val="17"/>
                <w:szCs w:val="17"/>
                <w:color w:val="auto"/>
              </w:rPr>
              <w:t>Stock ownership/alignment to shareholders</w:t>
            </w:r>
          </w:p>
        </w:tc>
      </w:tr>
      <w:tr>
        <w:trPr>
          <w:trHeight w:val="192"/>
        </w:trPr>
        <w:tc>
          <w:tcPr>
            <w:tcW w:w="660" w:type="dxa"/>
            <w:vAlign w:val="bottom"/>
            <w:shd w:val="clear" w:color="auto" w:fill="D8D8D8"/>
          </w:tcPr>
          <w:p>
            <w:pPr>
              <w:spacing w:after="0"/>
              <w:rPr>
                <w:sz w:val="16"/>
                <w:szCs w:val="16"/>
                <w:color w:val="auto"/>
              </w:rPr>
            </w:pPr>
          </w:p>
        </w:tc>
        <w:tc>
          <w:tcPr>
            <w:tcW w:w="16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Payout will be in Kraft Foods common stock at the end of</w:t>
            </w:r>
          </w:p>
        </w:tc>
        <w:tc>
          <w:tcPr>
            <w:tcW w:w="24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gridSpan w:val="2"/>
            <w:shd w:val="clear" w:color="auto" w:fill="D8D8D8"/>
          </w:tcPr>
          <w:p>
            <w:pPr>
              <w:ind w:left="100"/>
              <w:spacing w:after="0" w:line="192" w:lineRule="exact"/>
              <w:rPr>
                <w:sz w:val="20"/>
                <w:szCs w:val="20"/>
                <w:color w:val="auto"/>
              </w:rPr>
            </w:pPr>
            <w:r>
              <w:rPr>
                <w:rFonts w:ascii="Arial" w:cs="Arial" w:eastAsia="Arial" w:hAnsi="Arial"/>
                <w:sz w:val="17"/>
                <w:szCs w:val="17"/>
                <w:color w:val="auto"/>
              </w:rPr>
              <w:t>Retention</w:t>
            </w:r>
          </w:p>
        </w:tc>
      </w:tr>
      <w:tr>
        <w:trPr>
          <w:trHeight w:val="192"/>
        </w:trPr>
        <w:tc>
          <w:tcPr>
            <w:tcW w:w="660" w:type="dxa"/>
            <w:vAlign w:val="bottom"/>
            <w:shd w:val="clear" w:color="auto" w:fill="D8D8D8"/>
          </w:tcPr>
          <w:p>
            <w:pPr>
              <w:spacing w:after="0"/>
              <w:rPr>
                <w:sz w:val="16"/>
                <w:szCs w:val="16"/>
                <w:color w:val="auto"/>
              </w:rPr>
            </w:pPr>
          </w:p>
        </w:tc>
        <w:tc>
          <w:tcPr>
            <w:tcW w:w="16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the three-year program. No dividends or dividend</w:t>
            </w:r>
          </w:p>
        </w:tc>
        <w:tc>
          <w:tcPr>
            <w:tcW w:w="240" w:type="dxa"/>
            <w:vAlign w:val="bottom"/>
            <w:shd w:val="clear" w:color="auto" w:fill="D8D8D8"/>
          </w:tcPr>
          <w:p>
            <w:pPr>
              <w:spacing w:after="0"/>
              <w:rPr>
                <w:sz w:val="16"/>
                <w:szCs w:val="16"/>
                <w:color w:val="auto"/>
              </w:rPr>
            </w:pPr>
          </w:p>
        </w:tc>
        <w:tc>
          <w:tcPr>
            <w:tcW w:w="340" w:type="dxa"/>
            <w:vAlign w:val="bottom"/>
            <w:shd w:val="clear" w:color="auto" w:fill="D8D8D8"/>
          </w:tcPr>
          <w:p>
            <w:pPr>
              <w:spacing w:after="0"/>
              <w:rPr>
                <w:sz w:val="16"/>
                <w:szCs w:val="16"/>
                <w:color w:val="auto"/>
              </w:rPr>
            </w:pPr>
          </w:p>
        </w:tc>
        <w:tc>
          <w:tcPr>
            <w:tcW w:w="3860" w:type="dxa"/>
            <w:vAlign w:val="bottom"/>
            <w:shd w:val="clear" w:color="auto" w:fill="D8D8D8"/>
          </w:tcPr>
          <w:p>
            <w:pPr>
              <w:spacing w:after="0"/>
              <w:rPr>
                <w:sz w:val="16"/>
                <w:szCs w:val="16"/>
                <w:color w:val="auto"/>
              </w:rPr>
            </w:pPr>
          </w:p>
        </w:tc>
      </w:tr>
      <w:tr>
        <w:trPr>
          <w:trHeight w:val="192"/>
        </w:trPr>
        <w:tc>
          <w:tcPr>
            <w:tcW w:w="660" w:type="dxa"/>
            <w:vAlign w:val="bottom"/>
            <w:shd w:val="clear" w:color="auto" w:fill="D8D8D8"/>
          </w:tcPr>
          <w:p>
            <w:pPr>
              <w:spacing w:after="0"/>
              <w:rPr>
                <w:sz w:val="16"/>
                <w:szCs w:val="16"/>
                <w:color w:val="auto"/>
              </w:rPr>
            </w:pPr>
          </w:p>
        </w:tc>
        <w:tc>
          <w:tcPr>
            <w:tcW w:w="16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equivalents are paid or earned on unvested performance</w:t>
            </w:r>
          </w:p>
        </w:tc>
        <w:tc>
          <w:tcPr>
            <w:tcW w:w="240" w:type="dxa"/>
            <w:vAlign w:val="bottom"/>
            <w:shd w:val="clear" w:color="auto" w:fill="D8D8D8"/>
          </w:tcPr>
          <w:p>
            <w:pPr>
              <w:spacing w:after="0"/>
              <w:rPr>
                <w:sz w:val="16"/>
                <w:szCs w:val="16"/>
                <w:color w:val="auto"/>
              </w:rPr>
            </w:pPr>
          </w:p>
        </w:tc>
        <w:tc>
          <w:tcPr>
            <w:tcW w:w="340" w:type="dxa"/>
            <w:vAlign w:val="bottom"/>
            <w:shd w:val="clear" w:color="auto" w:fill="D8D8D8"/>
          </w:tcPr>
          <w:p>
            <w:pPr>
              <w:spacing w:after="0"/>
              <w:rPr>
                <w:sz w:val="16"/>
                <w:szCs w:val="16"/>
                <w:color w:val="auto"/>
              </w:rPr>
            </w:pPr>
          </w:p>
        </w:tc>
        <w:tc>
          <w:tcPr>
            <w:tcW w:w="3860" w:type="dxa"/>
            <w:vAlign w:val="bottom"/>
            <w:shd w:val="clear" w:color="auto" w:fill="D8D8D8"/>
          </w:tcPr>
          <w:p>
            <w:pPr>
              <w:spacing w:after="0"/>
              <w:rPr>
                <w:sz w:val="16"/>
                <w:szCs w:val="16"/>
                <w:color w:val="auto"/>
              </w:rPr>
            </w:pPr>
          </w:p>
        </w:tc>
      </w:tr>
      <w:tr>
        <w:trPr>
          <w:trHeight w:val="202"/>
        </w:trPr>
        <w:tc>
          <w:tcPr>
            <w:tcW w:w="660" w:type="dxa"/>
            <w:vAlign w:val="bottom"/>
            <w:shd w:val="clear" w:color="auto" w:fill="D8D8D8"/>
          </w:tcPr>
          <w:p>
            <w:pPr>
              <w:spacing w:after="0"/>
              <w:rPr>
                <w:sz w:val="17"/>
                <w:szCs w:val="17"/>
                <w:color w:val="auto"/>
              </w:rPr>
            </w:pPr>
          </w:p>
        </w:tc>
        <w:tc>
          <w:tcPr>
            <w:tcW w:w="1640" w:type="dxa"/>
            <w:vAlign w:val="bottom"/>
            <w:shd w:val="clear" w:color="auto" w:fill="D8D8D8"/>
          </w:tcPr>
          <w:p>
            <w:pPr>
              <w:spacing w:after="0"/>
              <w:rPr>
                <w:sz w:val="17"/>
                <w:szCs w:val="17"/>
                <w:color w:val="auto"/>
              </w:rPr>
            </w:pPr>
          </w:p>
        </w:tc>
        <w:tc>
          <w:tcPr>
            <w:tcW w:w="468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shares.</w:t>
            </w:r>
          </w:p>
        </w:tc>
        <w:tc>
          <w:tcPr>
            <w:tcW w:w="240" w:type="dxa"/>
            <w:vAlign w:val="bottom"/>
            <w:shd w:val="clear" w:color="auto" w:fill="D8D8D8"/>
          </w:tcPr>
          <w:p>
            <w:pPr>
              <w:spacing w:after="0"/>
              <w:rPr>
                <w:sz w:val="17"/>
                <w:szCs w:val="17"/>
                <w:color w:val="auto"/>
              </w:rPr>
            </w:pPr>
          </w:p>
        </w:tc>
        <w:tc>
          <w:tcPr>
            <w:tcW w:w="340" w:type="dxa"/>
            <w:vAlign w:val="bottom"/>
            <w:shd w:val="clear" w:color="auto" w:fill="D8D8D8"/>
          </w:tcPr>
          <w:p>
            <w:pPr>
              <w:spacing w:after="0"/>
              <w:rPr>
                <w:sz w:val="17"/>
                <w:szCs w:val="17"/>
                <w:color w:val="auto"/>
              </w:rPr>
            </w:pPr>
          </w:p>
        </w:tc>
        <w:tc>
          <w:tcPr>
            <w:tcW w:w="3860" w:type="dxa"/>
            <w:vAlign w:val="bottom"/>
            <w:shd w:val="clear" w:color="auto" w:fill="D8D8D8"/>
          </w:tcPr>
          <w:p>
            <w:pPr>
              <w:spacing w:after="0"/>
              <w:rPr>
                <w:sz w:val="17"/>
                <w:szCs w:val="17"/>
                <w:color w:val="auto"/>
              </w:rPr>
            </w:pPr>
          </w:p>
        </w:tc>
      </w:tr>
      <w:tr>
        <w:trPr>
          <w:trHeight w:val="297"/>
        </w:trPr>
        <w:tc>
          <w:tcPr>
            <w:tcW w:w="2300" w:type="dxa"/>
            <w:vAlign w:val="bottom"/>
            <w:gridSpan w:val="2"/>
          </w:tcPr>
          <w:p>
            <w:pPr>
              <w:spacing w:after="0"/>
              <w:rPr>
                <w:sz w:val="20"/>
                <w:szCs w:val="20"/>
                <w:color w:val="auto"/>
              </w:rPr>
            </w:pPr>
            <w:r>
              <w:rPr>
                <w:rFonts w:ascii="Arial" w:cs="Arial" w:eastAsia="Arial" w:hAnsi="Arial"/>
                <w:sz w:val="17"/>
                <w:szCs w:val="17"/>
                <w:color w:val="auto"/>
              </w:rPr>
              <w:t>Stock Options</w:t>
            </w:r>
          </w:p>
        </w:tc>
        <w:tc>
          <w:tcPr>
            <w:tcW w:w="4680" w:type="dxa"/>
            <w:vAlign w:val="bottom"/>
            <w:gridSpan w:val="2"/>
          </w:tcPr>
          <w:p>
            <w:pPr>
              <w:spacing w:after="0"/>
              <w:rPr>
                <w:sz w:val="20"/>
                <w:szCs w:val="20"/>
                <w:color w:val="auto"/>
              </w:rPr>
            </w:pPr>
            <w:r>
              <w:rPr>
                <w:rFonts w:ascii="Arial" w:cs="Arial" w:eastAsia="Arial" w:hAnsi="Arial"/>
                <w:sz w:val="17"/>
                <w:szCs w:val="17"/>
                <w:color w:val="auto"/>
              </w:rPr>
              <w:t>Each executive officer has an award opportunity based on</w:t>
            </w:r>
          </w:p>
        </w:tc>
        <w:tc>
          <w:tcPr>
            <w:tcW w:w="240" w:type="dxa"/>
            <w:vAlign w:val="bottom"/>
          </w:tcPr>
          <w:p>
            <w:pPr>
              <w:ind w:left="100"/>
              <w:spacing w:after="0"/>
              <w:rPr>
                <w:sz w:val="20"/>
                <w:szCs w:val="20"/>
                <w:color w:val="auto"/>
              </w:rPr>
            </w:pPr>
            <w:r>
              <w:rPr>
                <w:rFonts w:ascii="Arial" w:cs="Arial" w:eastAsia="Arial" w:hAnsi="Arial"/>
                <w:sz w:val="17"/>
                <w:szCs w:val="17"/>
                <w:color w:val="auto"/>
              </w:rPr>
              <w:t>•</w:t>
            </w:r>
          </w:p>
        </w:tc>
        <w:tc>
          <w:tcPr>
            <w:tcW w:w="4200" w:type="dxa"/>
            <w:vAlign w:val="bottom"/>
            <w:gridSpan w:val="2"/>
          </w:tcPr>
          <w:p>
            <w:pPr>
              <w:ind w:left="100"/>
              <w:spacing w:after="0"/>
              <w:rPr>
                <w:sz w:val="20"/>
                <w:szCs w:val="20"/>
                <w:color w:val="auto"/>
              </w:rPr>
            </w:pPr>
            <w:r>
              <w:rPr>
                <w:rFonts w:ascii="Arial" w:cs="Arial" w:eastAsia="Arial" w:hAnsi="Arial"/>
                <w:sz w:val="17"/>
                <w:szCs w:val="17"/>
                <w:color w:val="auto"/>
              </w:rPr>
              <w:t>Drive top-tier performance</w:t>
            </w:r>
          </w:p>
        </w:tc>
      </w:tr>
      <w:tr>
        <w:trPr>
          <w:trHeight w:val="192"/>
        </w:trPr>
        <w:tc>
          <w:tcPr>
            <w:tcW w:w="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680" w:type="dxa"/>
            <w:vAlign w:val="bottom"/>
            <w:gridSpan w:val="2"/>
          </w:tcPr>
          <w:p>
            <w:pPr>
              <w:spacing w:after="0" w:line="192" w:lineRule="exact"/>
              <w:rPr>
                <w:sz w:val="20"/>
                <w:szCs w:val="20"/>
                <w:color w:val="auto"/>
              </w:rPr>
            </w:pPr>
            <w:r>
              <w:rPr>
                <w:rFonts w:ascii="Arial" w:cs="Arial" w:eastAsia="Arial" w:hAnsi="Arial"/>
                <w:sz w:val="17"/>
                <w:szCs w:val="17"/>
                <w:color w:val="auto"/>
              </w:rPr>
              <w:t>his or her role, long-term performance and potential for</w:t>
            </w:r>
          </w:p>
        </w:tc>
        <w:tc>
          <w:tcPr>
            <w:tcW w:w="240" w:type="dxa"/>
            <w:vAlign w:val="bottom"/>
          </w:tcPr>
          <w:p>
            <w:pPr>
              <w:spacing w:after="0"/>
              <w:rPr>
                <w:sz w:val="16"/>
                <w:szCs w:val="16"/>
                <w:color w:val="auto"/>
              </w:rPr>
            </w:pPr>
          </w:p>
        </w:tc>
        <w:tc>
          <w:tcPr>
            <w:tcW w:w="340" w:type="dxa"/>
            <w:vAlign w:val="bottom"/>
          </w:tcPr>
          <w:p>
            <w:pPr>
              <w:ind w:left="160"/>
              <w:spacing w:after="0" w:line="192" w:lineRule="exact"/>
              <w:rPr>
                <w:sz w:val="20"/>
                <w:szCs w:val="20"/>
                <w:color w:val="auto"/>
              </w:rPr>
            </w:pPr>
            <w:r>
              <w:rPr>
                <w:rFonts w:ascii="Arial" w:cs="Arial" w:eastAsia="Arial" w:hAnsi="Arial"/>
                <w:sz w:val="17"/>
                <w:szCs w:val="17"/>
                <w:color w:val="auto"/>
              </w:rPr>
              <w:t>–</w:t>
            </w:r>
          </w:p>
        </w:tc>
        <w:tc>
          <w:tcPr>
            <w:tcW w:w="3860" w:type="dxa"/>
            <w:vAlign w:val="bottom"/>
          </w:tcPr>
          <w:p>
            <w:pPr>
              <w:ind w:left="100"/>
              <w:spacing w:after="0" w:line="192" w:lineRule="exact"/>
              <w:rPr>
                <w:sz w:val="20"/>
                <w:szCs w:val="20"/>
                <w:color w:val="auto"/>
              </w:rPr>
            </w:pPr>
            <w:r>
              <w:rPr>
                <w:rFonts w:ascii="Arial" w:cs="Arial" w:eastAsia="Arial" w:hAnsi="Arial"/>
                <w:sz w:val="17"/>
                <w:szCs w:val="17"/>
                <w:color w:val="auto"/>
              </w:rPr>
              <w:t>Long-term individual contribution</w:t>
            </w:r>
          </w:p>
        </w:tc>
      </w:tr>
      <w:tr>
        <w:trPr>
          <w:trHeight w:val="192"/>
        </w:trPr>
        <w:tc>
          <w:tcPr>
            <w:tcW w:w="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680" w:type="dxa"/>
            <w:vAlign w:val="bottom"/>
            <w:gridSpan w:val="2"/>
          </w:tcPr>
          <w:p>
            <w:pPr>
              <w:spacing w:after="0" w:line="192" w:lineRule="exact"/>
              <w:rPr>
                <w:sz w:val="20"/>
                <w:szCs w:val="20"/>
                <w:color w:val="auto"/>
              </w:rPr>
            </w:pPr>
            <w:r>
              <w:rPr>
                <w:rFonts w:ascii="Arial" w:cs="Arial" w:eastAsia="Arial" w:hAnsi="Arial"/>
                <w:sz w:val="17"/>
                <w:szCs w:val="17"/>
                <w:color w:val="auto"/>
              </w:rPr>
              <w:t>advancement.</w:t>
            </w:r>
          </w:p>
        </w:tc>
        <w:tc>
          <w:tcPr>
            <w:tcW w:w="240" w:type="dxa"/>
            <w:vAlign w:val="bottom"/>
          </w:tcPr>
          <w:p>
            <w:pPr>
              <w:spacing w:after="0"/>
              <w:rPr>
                <w:sz w:val="16"/>
                <w:szCs w:val="16"/>
                <w:color w:val="auto"/>
              </w:rPr>
            </w:pPr>
          </w:p>
        </w:tc>
        <w:tc>
          <w:tcPr>
            <w:tcW w:w="340" w:type="dxa"/>
            <w:vAlign w:val="bottom"/>
          </w:tcPr>
          <w:p>
            <w:pPr>
              <w:ind w:left="160"/>
              <w:spacing w:after="0" w:line="192" w:lineRule="exact"/>
              <w:rPr>
                <w:sz w:val="20"/>
                <w:szCs w:val="20"/>
                <w:color w:val="auto"/>
              </w:rPr>
            </w:pPr>
            <w:r>
              <w:rPr>
                <w:rFonts w:ascii="Arial" w:cs="Arial" w:eastAsia="Arial" w:hAnsi="Arial"/>
                <w:sz w:val="17"/>
                <w:szCs w:val="17"/>
                <w:color w:val="auto"/>
              </w:rPr>
              <w:t>–</w:t>
            </w:r>
          </w:p>
        </w:tc>
        <w:tc>
          <w:tcPr>
            <w:tcW w:w="3860" w:type="dxa"/>
            <w:vAlign w:val="bottom"/>
          </w:tcPr>
          <w:p>
            <w:pPr>
              <w:ind w:left="100"/>
              <w:spacing w:after="0" w:line="192" w:lineRule="exact"/>
              <w:rPr>
                <w:sz w:val="20"/>
                <w:szCs w:val="20"/>
                <w:color w:val="auto"/>
              </w:rPr>
            </w:pPr>
            <w:r>
              <w:rPr>
                <w:rFonts w:ascii="Arial" w:cs="Arial" w:eastAsia="Arial" w:hAnsi="Arial"/>
                <w:sz w:val="17"/>
                <w:szCs w:val="17"/>
                <w:color w:val="auto"/>
              </w:rPr>
              <w:t>Recognize advancement potential</w:t>
            </w:r>
          </w:p>
        </w:tc>
      </w:tr>
      <w:tr>
        <w:trPr>
          <w:trHeight w:val="192"/>
        </w:trPr>
        <w:tc>
          <w:tcPr>
            <w:tcW w:w="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40" w:type="dxa"/>
            <w:vAlign w:val="bottom"/>
            <w:gridSpan w:val="3"/>
          </w:tcPr>
          <w:p>
            <w:pPr>
              <w:ind w:left="100"/>
              <w:spacing w:after="0" w:line="192" w:lineRule="exact"/>
              <w:rPr>
                <w:sz w:val="20"/>
                <w:szCs w:val="20"/>
                <w:color w:val="auto"/>
              </w:rPr>
            </w:pPr>
            <w:r>
              <w:rPr>
                <w:rFonts w:ascii="Arial" w:cs="Arial" w:eastAsia="Arial" w:hAnsi="Arial"/>
                <w:sz w:val="17"/>
                <w:szCs w:val="17"/>
                <w:color w:val="auto"/>
              </w:rPr>
              <w:t>•  Stock ownership/alignment to shareholders</w:t>
            </w:r>
          </w:p>
        </w:tc>
      </w:tr>
      <w:tr>
        <w:trPr>
          <w:trHeight w:val="192"/>
        </w:trPr>
        <w:tc>
          <w:tcPr>
            <w:tcW w:w="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40" w:type="dxa"/>
            <w:vAlign w:val="bottom"/>
            <w:gridSpan w:val="3"/>
          </w:tcPr>
          <w:p>
            <w:pPr>
              <w:ind w:left="100"/>
              <w:spacing w:after="0" w:line="192" w:lineRule="exact"/>
              <w:rPr>
                <w:sz w:val="20"/>
                <w:szCs w:val="20"/>
                <w:color w:val="auto"/>
              </w:rPr>
            </w:pPr>
            <w:r>
              <w:rPr>
                <w:rFonts w:ascii="Arial" w:cs="Arial" w:eastAsia="Arial" w:hAnsi="Arial"/>
                <w:sz w:val="17"/>
                <w:szCs w:val="17"/>
                <w:color w:val="auto"/>
              </w:rPr>
              <w:t>•  Realized value linked entirely to stock appreciation</w:t>
            </w:r>
          </w:p>
        </w:tc>
      </w:tr>
      <w:tr>
        <w:trPr>
          <w:trHeight w:val="201"/>
        </w:trPr>
        <w:tc>
          <w:tcPr>
            <w:tcW w:w="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ind w:left="100"/>
              <w:spacing w:after="0"/>
              <w:rPr>
                <w:sz w:val="20"/>
                <w:szCs w:val="20"/>
                <w:color w:val="auto"/>
              </w:rPr>
            </w:pPr>
            <w:r>
              <w:rPr>
                <w:rFonts w:ascii="Arial" w:cs="Arial" w:eastAsia="Arial" w:hAnsi="Arial"/>
                <w:sz w:val="17"/>
                <w:szCs w:val="17"/>
                <w:color w:val="auto"/>
              </w:rPr>
              <w:t>•</w:t>
            </w:r>
          </w:p>
        </w:tc>
        <w:tc>
          <w:tcPr>
            <w:tcW w:w="4200" w:type="dxa"/>
            <w:vAlign w:val="bottom"/>
            <w:gridSpan w:val="2"/>
          </w:tcPr>
          <w:p>
            <w:pPr>
              <w:ind w:left="100"/>
              <w:spacing w:after="0"/>
              <w:rPr>
                <w:sz w:val="20"/>
                <w:szCs w:val="20"/>
                <w:color w:val="auto"/>
              </w:rPr>
            </w:pPr>
            <w:r>
              <w:rPr>
                <w:rFonts w:ascii="Arial" w:cs="Arial" w:eastAsia="Arial" w:hAnsi="Arial"/>
                <w:sz w:val="17"/>
                <w:szCs w:val="17"/>
                <w:color w:val="auto"/>
              </w:rPr>
              <w:t>Retention</w:t>
            </w:r>
          </w:p>
        </w:tc>
      </w:tr>
      <w:tr>
        <w:trPr>
          <w:trHeight w:val="400"/>
        </w:trPr>
        <w:tc>
          <w:tcPr>
            <w:tcW w:w="230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Restricted Stock</w:t>
            </w:r>
          </w:p>
        </w:tc>
        <w:tc>
          <w:tcPr>
            <w:tcW w:w="468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Each executive officer has an award opportunity based on</w:t>
            </w: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gridSpan w:val="2"/>
            <w:shd w:val="clear" w:color="auto" w:fill="D8D8D8"/>
          </w:tcPr>
          <w:p>
            <w:pPr>
              <w:ind w:left="100"/>
              <w:spacing w:after="0"/>
              <w:rPr>
                <w:sz w:val="20"/>
                <w:szCs w:val="20"/>
                <w:color w:val="auto"/>
              </w:rPr>
            </w:pPr>
            <w:r>
              <w:rPr>
                <w:rFonts w:ascii="Arial" w:cs="Arial" w:eastAsia="Arial" w:hAnsi="Arial"/>
                <w:sz w:val="17"/>
                <w:szCs w:val="17"/>
                <w:color w:val="auto"/>
              </w:rPr>
              <w:t>Drive top-tier performance</w:t>
            </w:r>
          </w:p>
        </w:tc>
      </w:tr>
      <w:tr>
        <w:trPr>
          <w:trHeight w:val="192"/>
        </w:trPr>
        <w:tc>
          <w:tcPr>
            <w:tcW w:w="660" w:type="dxa"/>
            <w:vAlign w:val="bottom"/>
            <w:shd w:val="clear" w:color="auto" w:fill="D8D8D8"/>
          </w:tcPr>
          <w:p>
            <w:pPr>
              <w:spacing w:after="0"/>
              <w:rPr>
                <w:sz w:val="16"/>
                <w:szCs w:val="16"/>
                <w:color w:val="auto"/>
              </w:rPr>
            </w:pPr>
          </w:p>
        </w:tc>
        <w:tc>
          <w:tcPr>
            <w:tcW w:w="16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his or her role, long-term performance and potential for</w:t>
            </w:r>
          </w:p>
        </w:tc>
        <w:tc>
          <w:tcPr>
            <w:tcW w:w="240" w:type="dxa"/>
            <w:vAlign w:val="bottom"/>
            <w:shd w:val="clear" w:color="auto" w:fill="D8D8D8"/>
          </w:tcPr>
          <w:p>
            <w:pPr>
              <w:spacing w:after="0"/>
              <w:rPr>
                <w:sz w:val="16"/>
                <w:szCs w:val="16"/>
                <w:color w:val="auto"/>
              </w:rPr>
            </w:pPr>
          </w:p>
        </w:tc>
        <w:tc>
          <w:tcPr>
            <w:tcW w:w="340" w:type="dxa"/>
            <w:vAlign w:val="bottom"/>
            <w:shd w:val="clear" w:color="auto" w:fill="D8D8D8"/>
          </w:tcPr>
          <w:p>
            <w:pPr>
              <w:ind w:left="160"/>
              <w:spacing w:after="0" w:line="192" w:lineRule="exact"/>
              <w:rPr>
                <w:sz w:val="20"/>
                <w:szCs w:val="20"/>
                <w:color w:val="auto"/>
              </w:rPr>
            </w:pPr>
            <w:r>
              <w:rPr>
                <w:rFonts w:ascii="Arial" w:cs="Arial" w:eastAsia="Arial" w:hAnsi="Arial"/>
                <w:sz w:val="17"/>
                <w:szCs w:val="17"/>
                <w:color w:val="auto"/>
              </w:rPr>
              <w:t>–</w:t>
            </w:r>
          </w:p>
        </w:tc>
        <w:tc>
          <w:tcPr>
            <w:tcW w:w="386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Long-term individual contribution</w:t>
            </w:r>
          </w:p>
        </w:tc>
      </w:tr>
      <w:tr>
        <w:trPr>
          <w:trHeight w:val="192"/>
        </w:trPr>
        <w:tc>
          <w:tcPr>
            <w:tcW w:w="660" w:type="dxa"/>
            <w:vAlign w:val="bottom"/>
            <w:shd w:val="clear" w:color="auto" w:fill="D8D8D8"/>
          </w:tcPr>
          <w:p>
            <w:pPr>
              <w:spacing w:after="0"/>
              <w:rPr>
                <w:sz w:val="16"/>
                <w:szCs w:val="16"/>
                <w:color w:val="auto"/>
              </w:rPr>
            </w:pPr>
          </w:p>
        </w:tc>
        <w:tc>
          <w:tcPr>
            <w:tcW w:w="16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advancement.</w:t>
            </w:r>
          </w:p>
        </w:tc>
        <w:tc>
          <w:tcPr>
            <w:tcW w:w="240" w:type="dxa"/>
            <w:vAlign w:val="bottom"/>
            <w:shd w:val="clear" w:color="auto" w:fill="D8D8D8"/>
          </w:tcPr>
          <w:p>
            <w:pPr>
              <w:spacing w:after="0"/>
              <w:rPr>
                <w:sz w:val="16"/>
                <w:szCs w:val="16"/>
                <w:color w:val="auto"/>
              </w:rPr>
            </w:pPr>
          </w:p>
        </w:tc>
        <w:tc>
          <w:tcPr>
            <w:tcW w:w="340" w:type="dxa"/>
            <w:vAlign w:val="bottom"/>
            <w:shd w:val="clear" w:color="auto" w:fill="D8D8D8"/>
          </w:tcPr>
          <w:p>
            <w:pPr>
              <w:ind w:left="160"/>
              <w:spacing w:after="0" w:line="192" w:lineRule="exact"/>
              <w:rPr>
                <w:sz w:val="20"/>
                <w:szCs w:val="20"/>
                <w:color w:val="auto"/>
              </w:rPr>
            </w:pPr>
            <w:r>
              <w:rPr>
                <w:rFonts w:ascii="Arial" w:cs="Arial" w:eastAsia="Arial" w:hAnsi="Arial"/>
                <w:sz w:val="17"/>
                <w:szCs w:val="17"/>
                <w:color w:val="auto"/>
              </w:rPr>
              <w:t>–</w:t>
            </w:r>
          </w:p>
        </w:tc>
        <w:tc>
          <w:tcPr>
            <w:tcW w:w="386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Recognize advancement potential</w:t>
            </w:r>
          </w:p>
        </w:tc>
      </w:tr>
      <w:tr>
        <w:trPr>
          <w:trHeight w:val="192"/>
        </w:trPr>
        <w:tc>
          <w:tcPr>
            <w:tcW w:w="660" w:type="dxa"/>
            <w:vAlign w:val="bottom"/>
            <w:shd w:val="clear" w:color="auto" w:fill="D8D8D8"/>
          </w:tcPr>
          <w:p>
            <w:pPr>
              <w:spacing w:after="0"/>
              <w:rPr>
                <w:sz w:val="16"/>
                <w:szCs w:val="16"/>
                <w:color w:val="auto"/>
              </w:rPr>
            </w:pPr>
          </w:p>
        </w:tc>
        <w:tc>
          <w:tcPr>
            <w:tcW w:w="1640" w:type="dxa"/>
            <w:vAlign w:val="bottom"/>
            <w:shd w:val="clear" w:color="auto" w:fill="D8D8D8"/>
          </w:tcPr>
          <w:p>
            <w:pPr>
              <w:spacing w:after="0"/>
              <w:rPr>
                <w:sz w:val="16"/>
                <w:szCs w:val="16"/>
                <w:color w:val="auto"/>
              </w:rPr>
            </w:pPr>
          </w:p>
        </w:tc>
        <w:tc>
          <w:tcPr>
            <w:tcW w:w="446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4440" w:type="dxa"/>
            <w:vAlign w:val="bottom"/>
            <w:gridSpan w:val="3"/>
            <w:shd w:val="clear" w:color="auto" w:fill="D8D8D8"/>
          </w:tcPr>
          <w:p>
            <w:pPr>
              <w:ind w:left="100"/>
              <w:spacing w:after="0" w:line="192" w:lineRule="exact"/>
              <w:rPr>
                <w:sz w:val="20"/>
                <w:szCs w:val="20"/>
                <w:color w:val="auto"/>
              </w:rPr>
            </w:pPr>
            <w:r>
              <w:rPr>
                <w:rFonts w:ascii="Arial" w:cs="Arial" w:eastAsia="Arial" w:hAnsi="Arial"/>
                <w:sz w:val="17"/>
                <w:szCs w:val="17"/>
                <w:color w:val="auto"/>
              </w:rPr>
              <w:t>•  Stock ownership/alignment to shareholders</w:t>
            </w:r>
          </w:p>
        </w:tc>
      </w:tr>
      <w:tr>
        <w:trPr>
          <w:trHeight w:val="202"/>
        </w:trPr>
        <w:tc>
          <w:tcPr>
            <w:tcW w:w="660" w:type="dxa"/>
            <w:vAlign w:val="bottom"/>
            <w:shd w:val="clear" w:color="auto" w:fill="D8D8D8"/>
          </w:tcPr>
          <w:p>
            <w:pPr>
              <w:spacing w:after="0"/>
              <w:rPr>
                <w:sz w:val="17"/>
                <w:szCs w:val="17"/>
                <w:color w:val="auto"/>
              </w:rPr>
            </w:pPr>
          </w:p>
        </w:tc>
        <w:tc>
          <w:tcPr>
            <w:tcW w:w="1640" w:type="dxa"/>
            <w:vAlign w:val="bottom"/>
            <w:shd w:val="clear" w:color="auto" w:fill="D8D8D8"/>
          </w:tcPr>
          <w:p>
            <w:pPr>
              <w:spacing w:after="0"/>
              <w:rPr>
                <w:sz w:val="17"/>
                <w:szCs w:val="17"/>
                <w:color w:val="auto"/>
              </w:rPr>
            </w:pPr>
          </w:p>
        </w:tc>
        <w:tc>
          <w:tcPr>
            <w:tcW w:w="446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gridSpan w:val="2"/>
            <w:shd w:val="clear" w:color="auto" w:fill="D8D8D8"/>
          </w:tcPr>
          <w:p>
            <w:pPr>
              <w:ind w:left="100"/>
              <w:spacing w:after="0"/>
              <w:rPr>
                <w:sz w:val="20"/>
                <w:szCs w:val="20"/>
                <w:color w:val="auto"/>
              </w:rPr>
            </w:pPr>
            <w:r>
              <w:rPr>
                <w:rFonts w:ascii="Arial" w:cs="Arial" w:eastAsia="Arial" w:hAnsi="Arial"/>
                <w:sz w:val="17"/>
                <w:szCs w:val="17"/>
                <w:color w:val="auto"/>
              </w:rPr>
              <w:t>Retention</w:t>
            </w:r>
          </w:p>
        </w:tc>
      </w:tr>
      <w:tr>
        <w:trPr>
          <w:trHeight w:val="344"/>
        </w:trPr>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60" w:type="dxa"/>
            <w:vAlign w:val="bottom"/>
          </w:tcPr>
          <w:p>
            <w:pPr>
              <w:ind w:left="3320"/>
              <w:spacing w:after="0"/>
              <w:rPr>
                <w:sz w:val="20"/>
                <w:szCs w:val="20"/>
                <w:color w:val="auto"/>
              </w:rPr>
            </w:pPr>
            <w:r>
              <w:rPr>
                <w:rFonts w:ascii="Arial" w:cs="Arial" w:eastAsia="Arial" w:hAnsi="Arial"/>
                <w:sz w:val="17"/>
                <w:szCs w:val="17"/>
                <w:color w:val="auto"/>
              </w:rPr>
              <w:t>36</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60" w:type="dxa"/>
            <w:vAlign w:val="bottom"/>
          </w:tcPr>
          <w:p>
            <w:pPr>
              <w:spacing w:after="0"/>
              <w:rPr>
                <w:sz w:val="24"/>
                <w:szCs w:val="24"/>
                <w:color w:val="auto"/>
              </w:rPr>
            </w:pPr>
          </w:p>
        </w:tc>
      </w:tr>
    </w:tbl>
    <w:p>
      <w:pPr>
        <w:sectPr>
          <w:pgSz w:w="11900" w:h="16838" w:orient="portrait"/>
          <w:cols w:equalWidth="0" w:num="1">
            <w:col w:w="11420"/>
          </w:cols>
          <w:pgMar w:left="240" w:top="443" w:right="2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60" w:type="dxa"/>
            <w:vAlign w:val="bottom"/>
            <w:gridSpan w:val="2"/>
          </w:tcPr>
          <w:p>
            <w:pPr>
              <w:spacing w:after="0"/>
              <w:rPr>
                <w:sz w:val="20"/>
                <w:szCs w:val="20"/>
                <w:color w:val="auto"/>
              </w:rPr>
            </w:pPr>
            <w:r>
              <w:rPr>
                <w:rFonts w:ascii="Arial" w:cs="Arial" w:eastAsia="Arial" w:hAnsi="Arial"/>
                <w:sz w:val="13"/>
                <w:szCs w:val="13"/>
                <w:b w:val="1"/>
                <w:bCs w:val="1"/>
                <w:color w:val="auto"/>
              </w:rPr>
              <w:t>Program</w:t>
            </w:r>
          </w:p>
        </w:tc>
        <w:tc>
          <w:tcPr>
            <w:tcW w:w="240" w:type="dxa"/>
            <w:vAlign w:val="bottom"/>
          </w:tcPr>
          <w:p>
            <w:pPr>
              <w:spacing w:after="0"/>
              <w:rPr>
                <w:sz w:val="15"/>
                <w:szCs w:val="15"/>
                <w:color w:val="auto"/>
              </w:rPr>
            </w:pPr>
          </w:p>
        </w:tc>
        <w:tc>
          <w:tcPr>
            <w:tcW w:w="4680" w:type="dxa"/>
            <w:vAlign w:val="bottom"/>
            <w:gridSpan w:val="2"/>
          </w:tcPr>
          <w:p>
            <w:pPr>
              <w:ind w:left="1880"/>
              <w:spacing w:after="0"/>
              <w:rPr>
                <w:sz w:val="20"/>
                <w:szCs w:val="20"/>
                <w:color w:val="auto"/>
              </w:rPr>
            </w:pPr>
            <w:r>
              <w:rPr>
                <w:rFonts w:ascii="Arial" w:cs="Arial" w:eastAsia="Arial" w:hAnsi="Arial"/>
                <w:sz w:val="13"/>
                <w:szCs w:val="13"/>
                <w:b w:val="1"/>
                <w:bCs w:val="1"/>
                <w:color w:val="auto"/>
              </w:rPr>
              <w:t>Description</w:t>
            </w:r>
          </w:p>
        </w:tc>
        <w:tc>
          <w:tcPr>
            <w:tcW w:w="240" w:type="dxa"/>
            <w:vAlign w:val="bottom"/>
          </w:tcPr>
          <w:p>
            <w:pPr>
              <w:spacing w:after="0"/>
              <w:rPr>
                <w:sz w:val="15"/>
                <w:szCs w:val="15"/>
                <w:color w:val="auto"/>
              </w:rPr>
            </w:pPr>
          </w:p>
        </w:tc>
        <w:tc>
          <w:tcPr>
            <w:tcW w:w="4200" w:type="dxa"/>
            <w:vAlign w:val="bottom"/>
          </w:tcPr>
          <w:p>
            <w:pPr>
              <w:ind w:left="1420"/>
              <w:spacing w:after="0"/>
              <w:rPr>
                <w:sz w:val="20"/>
                <w:szCs w:val="20"/>
                <w:color w:val="auto"/>
              </w:rPr>
            </w:pPr>
            <w:r>
              <w:rPr>
                <w:rFonts w:ascii="Arial" w:cs="Arial" w:eastAsia="Arial" w:hAnsi="Arial"/>
                <w:sz w:val="13"/>
                <w:szCs w:val="13"/>
                <w:b w:val="1"/>
                <w:bCs w:val="1"/>
                <w:color w:val="auto"/>
              </w:rPr>
              <w:t>Program Objective</w:t>
            </w:r>
          </w:p>
        </w:tc>
      </w:tr>
      <w:tr>
        <w:trPr>
          <w:trHeight w:val="165"/>
        </w:trPr>
        <w:tc>
          <w:tcPr>
            <w:tcW w:w="660" w:type="dxa"/>
            <w:vAlign w:val="bottom"/>
            <w:tcBorders>
              <w:top w:val="single" w:sz="8" w:color="auto"/>
            </w:tcBorders>
          </w:tcPr>
          <w:p>
            <w:pPr>
              <w:spacing w:after="0" w:line="165" w:lineRule="exact"/>
              <w:rPr>
                <w:sz w:val="20"/>
                <w:szCs w:val="20"/>
                <w:color w:val="auto"/>
              </w:rPr>
            </w:pPr>
            <w:r>
              <w:rPr>
                <w:rFonts w:ascii="Arial" w:cs="Arial" w:eastAsia="Arial" w:hAnsi="Arial"/>
                <w:sz w:val="17"/>
                <w:szCs w:val="17"/>
                <w:b w:val="1"/>
                <w:bCs w:val="1"/>
                <w:color w:val="auto"/>
                <w:w w:val="80"/>
              </w:rPr>
              <w:t>Executive</w:t>
            </w:r>
          </w:p>
        </w:tc>
        <w:tc>
          <w:tcPr>
            <w:tcW w:w="1400" w:type="dxa"/>
            <w:vAlign w:val="bottom"/>
          </w:tcPr>
          <w:p>
            <w:pPr>
              <w:ind w:left="160"/>
              <w:spacing w:after="0" w:line="165" w:lineRule="exact"/>
              <w:rPr>
                <w:sz w:val="20"/>
                <w:szCs w:val="20"/>
                <w:color w:val="auto"/>
              </w:rPr>
            </w:pPr>
            <w:r>
              <w:rPr>
                <w:rFonts w:ascii="Arial" w:cs="Arial" w:eastAsia="Arial" w:hAnsi="Arial"/>
                <w:sz w:val="17"/>
                <w:szCs w:val="17"/>
                <w:b w:val="1"/>
                <w:bCs w:val="1"/>
                <w:color w:val="auto"/>
              </w:rPr>
              <w:t>Benefits</w:t>
            </w:r>
          </w:p>
        </w:tc>
        <w:tc>
          <w:tcPr>
            <w:tcW w:w="240" w:type="dxa"/>
            <w:vAlign w:val="bottom"/>
          </w:tcPr>
          <w:p>
            <w:pPr>
              <w:spacing w:after="0"/>
              <w:rPr>
                <w:sz w:val="14"/>
                <w:szCs w:val="14"/>
                <w:color w:val="auto"/>
              </w:rPr>
            </w:pPr>
          </w:p>
        </w:tc>
        <w:tc>
          <w:tcPr>
            <w:tcW w:w="44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0" w:type="dxa"/>
            <w:vAlign w:val="bottom"/>
            <w:tcBorders>
              <w:top w:val="single" w:sz="8" w:color="auto"/>
            </w:tcBorders>
          </w:tcPr>
          <w:p>
            <w:pPr>
              <w:spacing w:after="0"/>
              <w:rPr>
                <w:sz w:val="14"/>
                <w:szCs w:val="14"/>
                <w:color w:val="auto"/>
              </w:rPr>
            </w:pPr>
          </w:p>
        </w:tc>
      </w:tr>
      <w:tr>
        <w:trPr>
          <w:trHeight w:val="297"/>
        </w:trPr>
        <w:tc>
          <w:tcPr>
            <w:tcW w:w="206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Voluntary Non-Qualified</w:t>
            </w:r>
          </w:p>
        </w:tc>
        <w:tc>
          <w:tcPr>
            <w:tcW w:w="240" w:type="dxa"/>
            <w:vAlign w:val="bottom"/>
            <w:shd w:val="clear" w:color="auto" w:fill="D8D8D8"/>
          </w:tcPr>
          <w:p>
            <w:pPr>
              <w:spacing w:after="0"/>
              <w:rPr>
                <w:sz w:val="24"/>
                <w:szCs w:val="24"/>
                <w:color w:val="auto"/>
              </w:rPr>
            </w:pPr>
          </w:p>
        </w:tc>
        <w:tc>
          <w:tcPr>
            <w:tcW w:w="468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Program that allows U.S. executive officers to defer, on a</w:t>
            </w: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rPr>
                <w:sz w:val="20"/>
                <w:szCs w:val="20"/>
                <w:color w:val="auto"/>
              </w:rPr>
            </w:pPr>
            <w:r>
              <w:rPr>
                <w:rFonts w:ascii="Arial" w:cs="Arial" w:eastAsia="Arial" w:hAnsi="Arial"/>
                <w:sz w:val="17"/>
                <w:szCs w:val="17"/>
                <w:color w:val="auto"/>
              </w:rPr>
              <w:t>Retention and attraction</w:t>
            </w:r>
          </w:p>
        </w:tc>
      </w:tr>
      <w:tr>
        <w:trPr>
          <w:trHeight w:val="192"/>
        </w:trPr>
        <w:tc>
          <w:tcPr>
            <w:tcW w:w="20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Deferred Compensation</w:t>
            </w:r>
          </w:p>
        </w:tc>
        <w:tc>
          <w:tcPr>
            <w:tcW w:w="2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pre-tax basis, certain defined compensation elements with</w:t>
            </w:r>
          </w:p>
        </w:tc>
        <w:tc>
          <w:tcPr>
            <w:tcW w:w="24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Provide opportunity for future financial security</w:t>
            </w:r>
          </w:p>
        </w:tc>
      </w:tr>
      <w:tr>
        <w:trPr>
          <w:trHeight w:val="192"/>
        </w:trPr>
        <w:tc>
          <w:tcPr>
            <w:tcW w:w="20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Plan</w:t>
            </w:r>
          </w:p>
        </w:tc>
        <w:tc>
          <w:tcPr>
            <w:tcW w:w="2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flexible distribution options to meet future financial goals.</w:t>
            </w:r>
          </w:p>
        </w:tc>
        <w:tc>
          <w:tcPr>
            <w:tcW w:w="24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Provide U.S. executive officers an additional</w:t>
            </w:r>
          </w:p>
        </w:tc>
      </w:tr>
      <w:tr>
        <w:trPr>
          <w:trHeight w:val="202"/>
        </w:trPr>
        <w:tc>
          <w:tcPr>
            <w:tcW w:w="660" w:type="dxa"/>
            <w:vAlign w:val="bottom"/>
            <w:shd w:val="clear" w:color="auto" w:fill="D8D8D8"/>
          </w:tcPr>
          <w:p>
            <w:pPr>
              <w:spacing w:after="0"/>
              <w:rPr>
                <w:sz w:val="17"/>
                <w:szCs w:val="17"/>
                <w:color w:val="auto"/>
              </w:rPr>
            </w:pPr>
          </w:p>
        </w:tc>
        <w:tc>
          <w:tcPr>
            <w:tcW w:w="1400" w:type="dxa"/>
            <w:vAlign w:val="bottom"/>
            <w:shd w:val="clear" w:color="auto" w:fill="D8D8D8"/>
          </w:tcPr>
          <w:p>
            <w:pPr>
              <w:spacing w:after="0"/>
              <w:rPr>
                <w:sz w:val="17"/>
                <w:szCs w:val="17"/>
                <w:color w:val="auto"/>
              </w:rPr>
            </w:pPr>
          </w:p>
        </w:tc>
        <w:tc>
          <w:tcPr>
            <w:tcW w:w="240" w:type="dxa"/>
            <w:vAlign w:val="bottom"/>
            <w:shd w:val="clear" w:color="auto" w:fill="D8D8D8"/>
          </w:tcPr>
          <w:p>
            <w:pPr>
              <w:spacing w:after="0"/>
              <w:rPr>
                <w:sz w:val="17"/>
                <w:szCs w:val="17"/>
                <w:color w:val="auto"/>
              </w:rPr>
            </w:pPr>
          </w:p>
        </w:tc>
        <w:tc>
          <w:tcPr>
            <w:tcW w:w="446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240" w:type="dxa"/>
            <w:vAlign w:val="bottom"/>
            <w:shd w:val="clear" w:color="auto" w:fill="D8D8D8"/>
          </w:tcPr>
          <w:p>
            <w:pPr>
              <w:spacing w:after="0"/>
              <w:rPr>
                <w:sz w:val="17"/>
                <w:szCs w:val="17"/>
                <w:color w:val="auto"/>
              </w:rPr>
            </w:pPr>
          </w:p>
        </w:tc>
        <w:tc>
          <w:tcPr>
            <w:tcW w:w="4200" w:type="dxa"/>
            <w:vAlign w:val="bottom"/>
            <w:shd w:val="clear" w:color="auto" w:fill="D8D8D8"/>
          </w:tcPr>
          <w:p>
            <w:pPr>
              <w:ind w:left="160"/>
              <w:spacing w:after="0"/>
              <w:rPr>
                <w:sz w:val="20"/>
                <w:szCs w:val="20"/>
                <w:color w:val="auto"/>
              </w:rPr>
            </w:pPr>
            <w:r>
              <w:rPr>
                <w:rFonts w:ascii="Arial" w:cs="Arial" w:eastAsia="Arial" w:hAnsi="Arial"/>
                <w:sz w:val="17"/>
                <w:szCs w:val="17"/>
                <w:color w:val="auto"/>
              </w:rPr>
              <w:t>opportunity to meet stock ownership requirements</w:t>
            </w:r>
          </w:p>
        </w:tc>
      </w:tr>
      <w:tr>
        <w:trPr>
          <w:trHeight w:val="297"/>
        </w:trPr>
        <w:tc>
          <w:tcPr>
            <w:tcW w:w="2060" w:type="dxa"/>
            <w:vAlign w:val="bottom"/>
            <w:gridSpan w:val="2"/>
          </w:tcPr>
          <w:p>
            <w:pPr>
              <w:spacing w:after="0"/>
              <w:rPr>
                <w:sz w:val="20"/>
                <w:szCs w:val="20"/>
                <w:color w:val="auto"/>
              </w:rPr>
            </w:pPr>
            <w:r>
              <w:rPr>
                <w:rFonts w:ascii="Arial" w:cs="Arial" w:eastAsia="Arial" w:hAnsi="Arial"/>
                <w:sz w:val="17"/>
                <w:szCs w:val="17"/>
                <w:color w:val="auto"/>
              </w:rPr>
              <w:t>Executive Perquisites</w:t>
            </w:r>
          </w:p>
        </w:tc>
        <w:tc>
          <w:tcPr>
            <w:tcW w:w="2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7"/>
                <w:szCs w:val="17"/>
                <w:color w:val="auto"/>
              </w:rPr>
              <w:t>Market-consistent program that is generally limited to a car</w:t>
            </w:r>
          </w:p>
        </w:tc>
        <w:tc>
          <w:tcPr>
            <w:tcW w:w="240" w:type="dxa"/>
            <w:vAlign w:val="bottom"/>
          </w:tcPr>
          <w:p>
            <w:pPr>
              <w:ind w:left="100"/>
              <w:spacing w:after="0"/>
              <w:rPr>
                <w:sz w:val="20"/>
                <w:szCs w:val="20"/>
                <w:color w:val="auto"/>
              </w:rPr>
            </w:pPr>
            <w:r>
              <w:rPr>
                <w:rFonts w:ascii="Arial" w:cs="Arial" w:eastAsia="Arial" w:hAnsi="Arial"/>
                <w:sz w:val="17"/>
                <w:szCs w:val="17"/>
                <w:color w:val="auto"/>
              </w:rPr>
              <w:t>•</w:t>
            </w:r>
          </w:p>
        </w:tc>
        <w:tc>
          <w:tcPr>
            <w:tcW w:w="4200" w:type="dxa"/>
            <w:vAlign w:val="bottom"/>
          </w:tcPr>
          <w:p>
            <w:pPr>
              <w:ind w:left="100"/>
              <w:spacing w:after="0"/>
              <w:rPr>
                <w:sz w:val="20"/>
                <w:szCs w:val="20"/>
                <w:color w:val="auto"/>
              </w:rPr>
            </w:pPr>
            <w:r>
              <w:rPr>
                <w:rFonts w:ascii="Arial" w:cs="Arial" w:eastAsia="Arial" w:hAnsi="Arial"/>
                <w:sz w:val="17"/>
                <w:szCs w:val="17"/>
                <w:color w:val="auto"/>
              </w:rPr>
              <w:t>Retention and attraction</w:t>
            </w:r>
          </w:p>
        </w:tc>
      </w:tr>
      <w:tr>
        <w:trPr>
          <w:trHeight w:val="192"/>
        </w:trPr>
        <w:tc>
          <w:tcPr>
            <w:tcW w:w="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80" w:type="dxa"/>
            <w:vAlign w:val="bottom"/>
            <w:gridSpan w:val="2"/>
          </w:tcPr>
          <w:p>
            <w:pPr>
              <w:spacing w:after="0" w:line="192" w:lineRule="exact"/>
              <w:rPr>
                <w:sz w:val="20"/>
                <w:szCs w:val="20"/>
                <w:color w:val="auto"/>
              </w:rPr>
            </w:pPr>
            <w:r>
              <w:rPr>
                <w:rFonts w:ascii="Arial" w:cs="Arial" w:eastAsia="Arial" w:hAnsi="Arial"/>
                <w:sz w:val="17"/>
                <w:szCs w:val="17"/>
                <w:color w:val="auto"/>
              </w:rPr>
              <w:t>allowance, financial counseling, and, for the CEO only,</w:t>
            </w:r>
          </w:p>
        </w:tc>
        <w:tc>
          <w:tcPr>
            <w:tcW w:w="240" w:type="dxa"/>
            <w:vAlign w:val="bottom"/>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tcPr>
          <w:p>
            <w:pPr>
              <w:ind w:left="100"/>
              <w:spacing w:after="0" w:line="192" w:lineRule="exact"/>
              <w:rPr>
                <w:sz w:val="20"/>
                <w:szCs w:val="20"/>
                <w:color w:val="auto"/>
              </w:rPr>
            </w:pPr>
            <w:r>
              <w:rPr>
                <w:rFonts w:ascii="Arial" w:cs="Arial" w:eastAsia="Arial" w:hAnsi="Arial"/>
                <w:sz w:val="17"/>
                <w:szCs w:val="17"/>
                <w:color w:val="auto"/>
              </w:rPr>
              <w:t>Supports personal financial planning needs</w:t>
            </w:r>
          </w:p>
        </w:tc>
      </w:tr>
      <w:tr>
        <w:trPr>
          <w:trHeight w:val="200"/>
        </w:trPr>
        <w:tc>
          <w:tcPr>
            <w:tcW w:w="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80" w:type="dxa"/>
            <w:vAlign w:val="bottom"/>
            <w:gridSpan w:val="2"/>
          </w:tcPr>
          <w:p>
            <w:pPr>
              <w:spacing w:after="0"/>
              <w:rPr>
                <w:sz w:val="20"/>
                <w:szCs w:val="20"/>
                <w:color w:val="auto"/>
              </w:rPr>
            </w:pPr>
            <w:r>
              <w:rPr>
                <w:rFonts w:ascii="Arial" w:cs="Arial" w:eastAsia="Arial" w:hAnsi="Arial"/>
                <w:sz w:val="17"/>
                <w:szCs w:val="17"/>
                <w:color w:val="auto"/>
              </w:rPr>
              <w:t>personal use of Kraft Foods’ aircraft.</w:t>
            </w:r>
          </w:p>
        </w:tc>
        <w:tc>
          <w:tcPr>
            <w:tcW w:w="240" w:type="dxa"/>
            <w:vAlign w:val="bottom"/>
          </w:tcPr>
          <w:p>
            <w:pPr>
              <w:ind w:left="100"/>
              <w:spacing w:after="0"/>
              <w:rPr>
                <w:sz w:val="20"/>
                <w:szCs w:val="20"/>
                <w:color w:val="auto"/>
              </w:rPr>
            </w:pPr>
            <w:r>
              <w:rPr>
                <w:rFonts w:ascii="Arial" w:cs="Arial" w:eastAsia="Arial" w:hAnsi="Arial"/>
                <w:sz w:val="17"/>
                <w:szCs w:val="17"/>
                <w:color w:val="auto"/>
              </w:rPr>
              <w:t>•</w:t>
            </w:r>
          </w:p>
        </w:tc>
        <w:tc>
          <w:tcPr>
            <w:tcW w:w="4200" w:type="dxa"/>
            <w:vAlign w:val="bottom"/>
          </w:tcPr>
          <w:p>
            <w:pPr>
              <w:ind w:left="100"/>
              <w:spacing w:after="0"/>
              <w:rPr>
                <w:sz w:val="20"/>
                <w:szCs w:val="20"/>
                <w:color w:val="auto"/>
              </w:rPr>
            </w:pPr>
            <w:r>
              <w:rPr>
                <w:rFonts w:ascii="Arial" w:cs="Arial" w:eastAsia="Arial" w:hAnsi="Arial"/>
                <w:sz w:val="17"/>
                <w:szCs w:val="17"/>
                <w:color w:val="auto"/>
              </w:rPr>
              <w:t>Security of CEO</w:t>
            </w:r>
          </w:p>
        </w:tc>
      </w:tr>
      <w:tr>
        <w:trPr>
          <w:trHeight w:val="409"/>
        </w:trPr>
        <w:tc>
          <w:tcPr>
            <w:tcW w:w="2060" w:type="dxa"/>
            <w:vAlign w:val="bottom"/>
            <w:gridSpan w:val="2"/>
          </w:tcPr>
          <w:p>
            <w:pPr>
              <w:spacing w:after="0"/>
              <w:rPr>
                <w:sz w:val="20"/>
                <w:szCs w:val="20"/>
                <w:color w:val="auto"/>
              </w:rPr>
            </w:pPr>
            <w:r>
              <w:rPr>
                <w:rFonts w:ascii="Arial" w:cs="Arial" w:eastAsia="Arial" w:hAnsi="Arial"/>
                <w:sz w:val="17"/>
                <w:szCs w:val="17"/>
                <w:b w:val="1"/>
                <w:bCs w:val="1"/>
                <w:color w:val="auto"/>
                <w:w w:val="96"/>
              </w:rPr>
              <w:t>Post-Termination Benefits</w:t>
            </w:r>
          </w:p>
        </w:tc>
        <w:tc>
          <w:tcPr>
            <w:tcW w:w="2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142"/>
        </w:trPr>
        <w:tc>
          <w:tcPr>
            <w:tcW w:w="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0" w:type="dxa"/>
            <w:vAlign w:val="bottom"/>
          </w:tcPr>
          <w:p>
            <w:pPr>
              <w:spacing w:after="0"/>
              <w:rPr>
                <w:sz w:val="12"/>
                <w:szCs w:val="12"/>
                <w:color w:val="auto"/>
              </w:rPr>
            </w:pPr>
          </w:p>
        </w:tc>
      </w:tr>
      <w:tr>
        <w:trPr>
          <w:trHeight w:val="400"/>
        </w:trPr>
        <w:tc>
          <w:tcPr>
            <w:tcW w:w="206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Defined Benefit Program</w:t>
            </w:r>
          </w:p>
        </w:tc>
        <w:tc>
          <w:tcPr>
            <w:tcW w:w="240" w:type="dxa"/>
            <w:vAlign w:val="bottom"/>
            <w:shd w:val="clear" w:color="auto" w:fill="D8D8D8"/>
          </w:tcPr>
          <w:p>
            <w:pPr>
              <w:spacing w:after="0"/>
              <w:rPr>
                <w:sz w:val="24"/>
                <w:szCs w:val="24"/>
                <w:color w:val="auto"/>
              </w:rPr>
            </w:pPr>
          </w:p>
        </w:tc>
        <w:tc>
          <w:tcPr>
            <w:tcW w:w="468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Generally provides for the continuation of a portion of total</w:t>
            </w: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rPr>
                <w:sz w:val="20"/>
                <w:szCs w:val="20"/>
                <w:color w:val="auto"/>
              </w:rPr>
            </w:pPr>
            <w:r>
              <w:rPr>
                <w:rFonts w:ascii="Arial" w:cs="Arial" w:eastAsia="Arial" w:hAnsi="Arial"/>
                <w:sz w:val="17"/>
                <w:szCs w:val="17"/>
                <w:color w:val="auto"/>
              </w:rPr>
              <w:t>Retention</w:t>
            </w:r>
          </w:p>
        </w:tc>
      </w:tr>
      <w:tr>
        <w:trPr>
          <w:trHeight w:val="192"/>
        </w:trPr>
        <w:tc>
          <w:tcPr>
            <w:tcW w:w="660" w:type="dxa"/>
            <w:vAlign w:val="bottom"/>
            <w:shd w:val="clear" w:color="auto" w:fill="D8D8D8"/>
          </w:tcPr>
          <w:p>
            <w:pPr>
              <w:spacing w:after="0"/>
              <w:rPr>
                <w:sz w:val="16"/>
                <w:szCs w:val="16"/>
                <w:color w:val="auto"/>
              </w:rPr>
            </w:pPr>
          </w:p>
        </w:tc>
        <w:tc>
          <w:tcPr>
            <w:tcW w:w="140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annual cash compensation (defined as base salary plus</w:t>
            </w:r>
          </w:p>
        </w:tc>
        <w:tc>
          <w:tcPr>
            <w:tcW w:w="24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Attraction</w:t>
            </w:r>
          </w:p>
        </w:tc>
      </w:tr>
      <w:tr>
        <w:trPr>
          <w:trHeight w:val="192"/>
        </w:trPr>
        <w:tc>
          <w:tcPr>
            <w:tcW w:w="660" w:type="dxa"/>
            <w:vAlign w:val="bottom"/>
            <w:shd w:val="clear" w:color="auto" w:fill="D8D8D8"/>
          </w:tcPr>
          <w:p>
            <w:pPr>
              <w:spacing w:after="0"/>
              <w:rPr>
                <w:sz w:val="16"/>
                <w:szCs w:val="16"/>
                <w:color w:val="auto"/>
              </w:rPr>
            </w:pPr>
          </w:p>
        </w:tc>
        <w:tc>
          <w:tcPr>
            <w:tcW w:w="140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annual cash incentive award) at the conclusion of an</w:t>
            </w:r>
          </w:p>
        </w:tc>
        <w:tc>
          <w:tcPr>
            <w:tcW w:w="24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w w:val="97"/>
              </w:rPr>
              <w:t>Provide financial security to long-term service executive</w:t>
            </w:r>
          </w:p>
        </w:tc>
      </w:tr>
      <w:tr>
        <w:trPr>
          <w:trHeight w:val="192"/>
        </w:trPr>
        <w:tc>
          <w:tcPr>
            <w:tcW w:w="660" w:type="dxa"/>
            <w:vAlign w:val="bottom"/>
            <w:shd w:val="clear" w:color="auto" w:fill="D8D8D8"/>
          </w:tcPr>
          <w:p>
            <w:pPr>
              <w:spacing w:after="0"/>
              <w:rPr>
                <w:sz w:val="16"/>
                <w:szCs w:val="16"/>
                <w:color w:val="auto"/>
              </w:rPr>
            </w:pPr>
          </w:p>
        </w:tc>
        <w:tc>
          <w:tcPr>
            <w:tcW w:w="140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executive officer’s career. This program is not offered to any</w:t>
            </w:r>
          </w:p>
        </w:tc>
        <w:tc>
          <w:tcPr>
            <w:tcW w:w="240" w:type="dxa"/>
            <w:vAlign w:val="bottom"/>
            <w:shd w:val="clear" w:color="auto" w:fill="D8D8D8"/>
          </w:tcPr>
          <w:p>
            <w:pPr>
              <w:spacing w:after="0"/>
              <w:rPr>
                <w:sz w:val="16"/>
                <w:szCs w:val="16"/>
                <w:color w:val="auto"/>
              </w:rPr>
            </w:pPr>
          </w:p>
        </w:tc>
        <w:tc>
          <w:tcPr>
            <w:tcW w:w="4200" w:type="dxa"/>
            <w:vAlign w:val="bottom"/>
            <w:shd w:val="clear" w:color="auto" w:fill="D8D8D8"/>
          </w:tcPr>
          <w:p>
            <w:pPr>
              <w:ind w:left="160"/>
              <w:spacing w:after="0" w:line="192" w:lineRule="exact"/>
              <w:rPr>
                <w:sz w:val="20"/>
                <w:szCs w:val="20"/>
                <w:color w:val="auto"/>
              </w:rPr>
            </w:pPr>
            <w:r>
              <w:rPr>
                <w:rFonts w:ascii="Arial" w:cs="Arial" w:eastAsia="Arial" w:hAnsi="Arial"/>
                <w:sz w:val="17"/>
                <w:szCs w:val="17"/>
                <w:color w:val="auto"/>
              </w:rPr>
              <w:t>officers in retirement</w:t>
            </w:r>
          </w:p>
        </w:tc>
      </w:tr>
      <w:tr>
        <w:trPr>
          <w:trHeight w:val="189"/>
        </w:trPr>
        <w:tc>
          <w:tcPr>
            <w:tcW w:w="660" w:type="dxa"/>
            <w:vAlign w:val="bottom"/>
            <w:shd w:val="clear" w:color="auto" w:fill="D8D8D8"/>
          </w:tcPr>
          <w:p>
            <w:pPr>
              <w:spacing w:after="0"/>
              <w:rPr>
                <w:sz w:val="16"/>
                <w:szCs w:val="16"/>
                <w:color w:val="auto"/>
              </w:rPr>
            </w:pPr>
          </w:p>
        </w:tc>
        <w:tc>
          <w:tcPr>
            <w:tcW w:w="140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89" w:lineRule="exact"/>
              <w:rPr>
                <w:sz w:val="20"/>
                <w:szCs w:val="20"/>
                <w:color w:val="auto"/>
              </w:rPr>
            </w:pPr>
            <w:r>
              <w:rPr>
                <w:rFonts w:ascii="Arial" w:cs="Arial" w:eastAsia="Arial" w:hAnsi="Arial"/>
                <w:sz w:val="17"/>
                <w:szCs w:val="17"/>
                <w:color w:val="auto"/>
              </w:rPr>
              <w:t>U.S. employees hired on or after January 1, 2009.</w:t>
            </w:r>
          </w:p>
        </w:tc>
        <w:tc>
          <w:tcPr>
            <w:tcW w:w="240" w:type="dxa"/>
            <w:vAlign w:val="bottom"/>
            <w:shd w:val="clear" w:color="auto" w:fill="D8D8D8"/>
          </w:tcPr>
          <w:p>
            <w:pPr>
              <w:spacing w:after="0"/>
              <w:rPr>
                <w:sz w:val="16"/>
                <w:szCs w:val="16"/>
                <w:color w:val="auto"/>
              </w:rPr>
            </w:pPr>
          </w:p>
        </w:tc>
        <w:tc>
          <w:tcPr>
            <w:tcW w:w="4200" w:type="dxa"/>
            <w:vAlign w:val="bottom"/>
            <w:shd w:val="clear" w:color="auto" w:fill="D8D8D8"/>
          </w:tcPr>
          <w:p>
            <w:pPr>
              <w:spacing w:after="0"/>
              <w:rPr>
                <w:sz w:val="16"/>
                <w:szCs w:val="16"/>
                <w:color w:val="auto"/>
              </w:rPr>
            </w:pPr>
          </w:p>
        </w:tc>
      </w:tr>
      <w:tr>
        <w:trPr>
          <w:trHeight w:val="400"/>
        </w:trPr>
        <w:tc>
          <w:tcPr>
            <w:tcW w:w="2060" w:type="dxa"/>
            <w:vAlign w:val="bottom"/>
            <w:gridSpan w:val="2"/>
          </w:tcPr>
          <w:p>
            <w:pPr>
              <w:spacing w:after="0"/>
              <w:rPr>
                <w:sz w:val="20"/>
                <w:szCs w:val="20"/>
                <w:color w:val="auto"/>
              </w:rPr>
            </w:pPr>
            <w:r>
              <w:rPr>
                <w:rFonts w:ascii="Arial" w:cs="Arial" w:eastAsia="Arial" w:hAnsi="Arial"/>
                <w:sz w:val="17"/>
                <w:szCs w:val="17"/>
                <w:color w:val="auto"/>
              </w:rPr>
              <w:t>Defined Contribution</w:t>
            </w:r>
          </w:p>
        </w:tc>
        <w:tc>
          <w:tcPr>
            <w:tcW w:w="2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7"/>
                <w:szCs w:val="17"/>
                <w:color w:val="auto"/>
              </w:rPr>
              <w:t>Program under which Kraft Foods matches U.S. executive</w:t>
            </w:r>
          </w:p>
        </w:tc>
        <w:tc>
          <w:tcPr>
            <w:tcW w:w="240" w:type="dxa"/>
            <w:vAlign w:val="bottom"/>
          </w:tcPr>
          <w:p>
            <w:pPr>
              <w:ind w:left="100"/>
              <w:spacing w:after="0"/>
              <w:rPr>
                <w:sz w:val="20"/>
                <w:szCs w:val="20"/>
                <w:color w:val="auto"/>
              </w:rPr>
            </w:pPr>
            <w:r>
              <w:rPr>
                <w:rFonts w:ascii="Arial" w:cs="Arial" w:eastAsia="Arial" w:hAnsi="Arial"/>
                <w:sz w:val="17"/>
                <w:szCs w:val="17"/>
                <w:color w:val="auto"/>
              </w:rPr>
              <w:t>•</w:t>
            </w:r>
          </w:p>
        </w:tc>
        <w:tc>
          <w:tcPr>
            <w:tcW w:w="4200" w:type="dxa"/>
            <w:vAlign w:val="bottom"/>
          </w:tcPr>
          <w:p>
            <w:pPr>
              <w:ind w:left="100"/>
              <w:spacing w:after="0"/>
              <w:rPr>
                <w:sz w:val="20"/>
                <w:szCs w:val="20"/>
                <w:color w:val="auto"/>
              </w:rPr>
            </w:pPr>
            <w:r>
              <w:rPr>
                <w:rFonts w:ascii="Arial" w:cs="Arial" w:eastAsia="Arial" w:hAnsi="Arial"/>
                <w:sz w:val="17"/>
                <w:szCs w:val="17"/>
                <w:color w:val="auto"/>
              </w:rPr>
              <w:t>Retention</w:t>
            </w:r>
          </w:p>
        </w:tc>
      </w:tr>
      <w:tr>
        <w:trPr>
          <w:trHeight w:val="192"/>
        </w:trPr>
        <w:tc>
          <w:tcPr>
            <w:tcW w:w="2060" w:type="dxa"/>
            <w:vAlign w:val="bottom"/>
            <w:gridSpan w:val="2"/>
          </w:tcPr>
          <w:p>
            <w:pPr>
              <w:spacing w:after="0" w:line="192" w:lineRule="exact"/>
              <w:rPr>
                <w:sz w:val="20"/>
                <w:szCs w:val="20"/>
                <w:color w:val="auto"/>
              </w:rPr>
            </w:pPr>
            <w:r>
              <w:rPr>
                <w:rFonts w:ascii="Arial" w:cs="Arial" w:eastAsia="Arial" w:hAnsi="Arial"/>
                <w:sz w:val="17"/>
                <w:szCs w:val="17"/>
                <w:color w:val="auto"/>
              </w:rPr>
              <w:t>Program</w:t>
            </w:r>
          </w:p>
        </w:tc>
        <w:tc>
          <w:tcPr>
            <w:tcW w:w="240" w:type="dxa"/>
            <w:vAlign w:val="bottom"/>
          </w:tcPr>
          <w:p>
            <w:pPr>
              <w:spacing w:after="0"/>
              <w:rPr>
                <w:sz w:val="16"/>
                <w:szCs w:val="16"/>
                <w:color w:val="auto"/>
              </w:rPr>
            </w:pPr>
          </w:p>
        </w:tc>
        <w:tc>
          <w:tcPr>
            <w:tcW w:w="4680" w:type="dxa"/>
            <w:vAlign w:val="bottom"/>
            <w:gridSpan w:val="2"/>
          </w:tcPr>
          <w:p>
            <w:pPr>
              <w:spacing w:after="0" w:line="192" w:lineRule="exact"/>
              <w:rPr>
                <w:sz w:val="20"/>
                <w:szCs w:val="20"/>
                <w:color w:val="auto"/>
              </w:rPr>
            </w:pPr>
            <w:r>
              <w:rPr>
                <w:rFonts w:ascii="Arial" w:cs="Arial" w:eastAsia="Arial" w:hAnsi="Arial"/>
                <w:sz w:val="17"/>
                <w:szCs w:val="17"/>
                <w:color w:val="auto"/>
              </w:rPr>
              <w:t>officers’ contributions. Account balances are typically</w:t>
            </w:r>
          </w:p>
        </w:tc>
        <w:tc>
          <w:tcPr>
            <w:tcW w:w="240" w:type="dxa"/>
            <w:vAlign w:val="bottom"/>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tcPr>
          <w:p>
            <w:pPr>
              <w:ind w:left="100"/>
              <w:spacing w:after="0" w:line="192" w:lineRule="exact"/>
              <w:rPr>
                <w:sz w:val="20"/>
                <w:szCs w:val="20"/>
                <w:color w:val="auto"/>
              </w:rPr>
            </w:pPr>
            <w:r>
              <w:rPr>
                <w:rFonts w:ascii="Arial" w:cs="Arial" w:eastAsia="Arial" w:hAnsi="Arial"/>
                <w:sz w:val="17"/>
                <w:szCs w:val="17"/>
                <w:color w:val="auto"/>
              </w:rPr>
              <w:t>Attraction</w:t>
            </w:r>
          </w:p>
        </w:tc>
      </w:tr>
      <w:tr>
        <w:trPr>
          <w:trHeight w:val="192"/>
        </w:trPr>
        <w:tc>
          <w:tcPr>
            <w:tcW w:w="2060" w:type="dxa"/>
            <w:vAlign w:val="bottom"/>
            <w:gridSpan w:val="2"/>
          </w:tcPr>
          <w:p>
            <w:pPr>
              <w:spacing w:after="0" w:line="192" w:lineRule="exact"/>
              <w:rPr>
                <w:sz w:val="20"/>
                <w:szCs w:val="20"/>
                <w:color w:val="auto"/>
              </w:rPr>
            </w:pPr>
            <w:r>
              <w:rPr>
                <w:rFonts w:ascii="Arial" w:cs="Arial" w:eastAsia="Arial" w:hAnsi="Arial"/>
                <w:sz w:val="17"/>
                <w:szCs w:val="17"/>
                <w:color w:val="auto"/>
              </w:rPr>
              <w:t>(401(k))</w:t>
            </w:r>
          </w:p>
        </w:tc>
        <w:tc>
          <w:tcPr>
            <w:tcW w:w="240" w:type="dxa"/>
            <w:vAlign w:val="bottom"/>
          </w:tcPr>
          <w:p>
            <w:pPr>
              <w:spacing w:after="0"/>
              <w:rPr>
                <w:sz w:val="16"/>
                <w:szCs w:val="16"/>
                <w:color w:val="auto"/>
              </w:rPr>
            </w:pPr>
          </w:p>
        </w:tc>
        <w:tc>
          <w:tcPr>
            <w:tcW w:w="4680" w:type="dxa"/>
            <w:vAlign w:val="bottom"/>
            <w:gridSpan w:val="2"/>
          </w:tcPr>
          <w:p>
            <w:pPr>
              <w:spacing w:after="0" w:line="192" w:lineRule="exact"/>
              <w:rPr>
                <w:sz w:val="20"/>
                <w:szCs w:val="20"/>
                <w:color w:val="auto"/>
              </w:rPr>
            </w:pPr>
            <w:r>
              <w:rPr>
                <w:rFonts w:ascii="Arial" w:cs="Arial" w:eastAsia="Arial" w:hAnsi="Arial"/>
                <w:sz w:val="17"/>
                <w:szCs w:val="17"/>
                <w:color w:val="auto"/>
              </w:rPr>
              <w:t>payable at the conclusion of an executive officer’s career.</w:t>
            </w:r>
          </w:p>
        </w:tc>
        <w:tc>
          <w:tcPr>
            <w:tcW w:w="240" w:type="dxa"/>
            <w:vAlign w:val="bottom"/>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tcPr>
          <w:p>
            <w:pPr>
              <w:ind w:left="100"/>
              <w:spacing w:after="0" w:line="192" w:lineRule="exact"/>
              <w:rPr>
                <w:sz w:val="20"/>
                <w:szCs w:val="20"/>
                <w:color w:val="auto"/>
              </w:rPr>
            </w:pPr>
            <w:r>
              <w:rPr>
                <w:rFonts w:ascii="Arial" w:cs="Arial" w:eastAsia="Arial" w:hAnsi="Arial"/>
                <w:sz w:val="17"/>
                <w:szCs w:val="17"/>
                <w:color w:val="auto"/>
              </w:rPr>
              <w:t>Provide opportunity for financial security in retirement</w:t>
            </w:r>
          </w:p>
        </w:tc>
      </w:tr>
      <w:tr>
        <w:trPr>
          <w:trHeight w:val="192"/>
        </w:trPr>
        <w:tc>
          <w:tcPr>
            <w:tcW w:w="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80" w:type="dxa"/>
            <w:vAlign w:val="bottom"/>
            <w:gridSpan w:val="2"/>
          </w:tcPr>
          <w:p>
            <w:pPr>
              <w:spacing w:after="0" w:line="192" w:lineRule="exact"/>
              <w:rPr>
                <w:sz w:val="20"/>
                <w:szCs w:val="20"/>
                <w:color w:val="auto"/>
              </w:rPr>
            </w:pPr>
            <w:r>
              <w:rPr>
                <w:rFonts w:ascii="Arial" w:cs="Arial" w:eastAsia="Arial" w:hAnsi="Arial"/>
                <w:sz w:val="17"/>
                <w:szCs w:val="17"/>
                <w:color w:val="auto"/>
              </w:rPr>
              <w:t>This program was enhanced for U.S. employees hired on or</w:t>
            </w:r>
          </w:p>
        </w:tc>
        <w:tc>
          <w:tcPr>
            <w:tcW w:w="240" w:type="dxa"/>
            <w:vAlign w:val="bottom"/>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tcPr>
          <w:p>
            <w:pPr>
              <w:ind w:left="100"/>
              <w:spacing w:after="0" w:line="192" w:lineRule="exact"/>
              <w:rPr>
                <w:sz w:val="20"/>
                <w:szCs w:val="20"/>
                <w:color w:val="auto"/>
              </w:rPr>
            </w:pPr>
            <w:r>
              <w:rPr>
                <w:rFonts w:ascii="Arial" w:cs="Arial" w:eastAsia="Arial" w:hAnsi="Arial"/>
                <w:sz w:val="17"/>
                <w:szCs w:val="17"/>
                <w:color w:val="auto"/>
              </w:rPr>
              <w:t>Provide U.S. executive officers an additional</w:t>
            </w:r>
          </w:p>
        </w:tc>
      </w:tr>
      <w:tr>
        <w:trPr>
          <w:trHeight w:val="192"/>
        </w:trPr>
        <w:tc>
          <w:tcPr>
            <w:tcW w:w="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80" w:type="dxa"/>
            <w:vAlign w:val="bottom"/>
            <w:gridSpan w:val="2"/>
          </w:tcPr>
          <w:p>
            <w:pPr>
              <w:spacing w:after="0" w:line="192" w:lineRule="exact"/>
              <w:rPr>
                <w:sz w:val="20"/>
                <w:szCs w:val="20"/>
                <w:color w:val="auto"/>
              </w:rPr>
            </w:pPr>
            <w:r>
              <w:rPr>
                <w:rFonts w:ascii="Arial" w:cs="Arial" w:eastAsia="Arial" w:hAnsi="Arial"/>
                <w:sz w:val="17"/>
                <w:szCs w:val="17"/>
                <w:color w:val="auto"/>
              </w:rPr>
              <w:t>after January 1, 2009 who are not eligible for the defined</w:t>
            </w:r>
          </w:p>
        </w:tc>
        <w:tc>
          <w:tcPr>
            <w:tcW w:w="240" w:type="dxa"/>
            <w:vAlign w:val="bottom"/>
          </w:tcPr>
          <w:p>
            <w:pPr>
              <w:spacing w:after="0"/>
              <w:rPr>
                <w:sz w:val="16"/>
                <w:szCs w:val="16"/>
                <w:color w:val="auto"/>
              </w:rPr>
            </w:pPr>
          </w:p>
        </w:tc>
        <w:tc>
          <w:tcPr>
            <w:tcW w:w="4200" w:type="dxa"/>
            <w:vAlign w:val="bottom"/>
          </w:tcPr>
          <w:p>
            <w:pPr>
              <w:ind w:left="160"/>
              <w:spacing w:after="0" w:line="192" w:lineRule="exact"/>
              <w:rPr>
                <w:sz w:val="20"/>
                <w:szCs w:val="20"/>
                <w:color w:val="auto"/>
              </w:rPr>
            </w:pPr>
            <w:r>
              <w:rPr>
                <w:rFonts w:ascii="Arial" w:cs="Arial" w:eastAsia="Arial" w:hAnsi="Arial"/>
                <w:sz w:val="17"/>
                <w:szCs w:val="17"/>
                <w:color w:val="auto"/>
              </w:rPr>
              <w:t>opportunity to meet stock ownership requirements</w:t>
            </w:r>
          </w:p>
        </w:tc>
      </w:tr>
      <w:tr>
        <w:trPr>
          <w:trHeight w:val="189"/>
        </w:trPr>
        <w:tc>
          <w:tcPr>
            <w:tcW w:w="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80" w:type="dxa"/>
            <w:vAlign w:val="bottom"/>
            <w:gridSpan w:val="2"/>
          </w:tcPr>
          <w:p>
            <w:pPr>
              <w:spacing w:after="0" w:line="189" w:lineRule="exact"/>
              <w:rPr>
                <w:sz w:val="20"/>
                <w:szCs w:val="20"/>
                <w:color w:val="auto"/>
              </w:rPr>
            </w:pPr>
            <w:r>
              <w:rPr>
                <w:rFonts w:ascii="Arial" w:cs="Arial" w:eastAsia="Arial" w:hAnsi="Arial"/>
                <w:sz w:val="17"/>
                <w:szCs w:val="17"/>
                <w:color w:val="auto"/>
              </w:rPr>
              <w:t>benefit program.</w:t>
            </w:r>
          </w:p>
        </w:tc>
        <w:tc>
          <w:tcPr>
            <w:tcW w:w="240" w:type="dxa"/>
            <w:vAlign w:val="bottom"/>
          </w:tcPr>
          <w:p>
            <w:pPr>
              <w:spacing w:after="0"/>
              <w:rPr>
                <w:sz w:val="16"/>
                <w:szCs w:val="16"/>
                <w:color w:val="auto"/>
              </w:rPr>
            </w:pPr>
          </w:p>
        </w:tc>
        <w:tc>
          <w:tcPr>
            <w:tcW w:w="4200" w:type="dxa"/>
            <w:vAlign w:val="bottom"/>
          </w:tcPr>
          <w:p>
            <w:pPr>
              <w:spacing w:after="0"/>
              <w:rPr>
                <w:sz w:val="16"/>
                <w:szCs w:val="16"/>
                <w:color w:val="auto"/>
              </w:rPr>
            </w:pPr>
          </w:p>
        </w:tc>
      </w:tr>
      <w:tr>
        <w:trPr>
          <w:trHeight w:val="400"/>
        </w:trPr>
        <w:tc>
          <w:tcPr>
            <w:tcW w:w="206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Change in</w:t>
            </w:r>
          </w:p>
        </w:tc>
        <w:tc>
          <w:tcPr>
            <w:tcW w:w="240" w:type="dxa"/>
            <w:vAlign w:val="bottom"/>
            <w:shd w:val="clear" w:color="auto" w:fill="D8D8D8"/>
          </w:tcPr>
          <w:p>
            <w:pPr>
              <w:spacing w:after="0"/>
              <w:rPr>
                <w:sz w:val="24"/>
                <w:szCs w:val="24"/>
                <w:color w:val="auto"/>
              </w:rPr>
            </w:pPr>
          </w:p>
        </w:tc>
        <w:tc>
          <w:tcPr>
            <w:tcW w:w="468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Executive separation program that provides for enhanced</w:t>
            </w: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rPr>
                <w:sz w:val="20"/>
                <w:szCs w:val="20"/>
                <w:color w:val="auto"/>
              </w:rPr>
            </w:pPr>
            <w:r>
              <w:rPr>
                <w:rFonts w:ascii="Arial" w:cs="Arial" w:eastAsia="Arial" w:hAnsi="Arial"/>
                <w:sz w:val="17"/>
                <w:szCs w:val="17"/>
                <w:color w:val="auto"/>
              </w:rPr>
              <w:t>Retention</w:t>
            </w:r>
          </w:p>
        </w:tc>
      </w:tr>
      <w:tr>
        <w:trPr>
          <w:trHeight w:val="192"/>
        </w:trPr>
        <w:tc>
          <w:tcPr>
            <w:tcW w:w="20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Control Plan</w:t>
            </w:r>
          </w:p>
        </w:tc>
        <w:tc>
          <w:tcPr>
            <w:tcW w:w="2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benefits in the event of an executive officer’s termination</w:t>
            </w:r>
          </w:p>
        </w:tc>
        <w:tc>
          <w:tcPr>
            <w:tcW w:w="24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Focus on delivering top-tier shareholder value in</w:t>
            </w:r>
          </w:p>
        </w:tc>
      </w:tr>
      <w:tr>
        <w:trPr>
          <w:trHeight w:val="192"/>
        </w:trPr>
        <w:tc>
          <w:tcPr>
            <w:tcW w:w="660" w:type="dxa"/>
            <w:vAlign w:val="bottom"/>
            <w:shd w:val="clear" w:color="auto" w:fill="D8D8D8"/>
          </w:tcPr>
          <w:p>
            <w:pPr>
              <w:spacing w:after="0"/>
              <w:rPr>
                <w:sz w:val="16"/>
                <w:szCs w:val="16"/>
                <w:color w:val="auto"/>
              </w:rPr>
            </w:pPr>
          </w:p>
        </w:tc>
        <w:tc>
          <w:tcPr>
            <w:tcW w:w="1400" w:type="dxa"/>
            <w:vAlign w:val="bottom"/>
            <w:shd w:val="clear" w:color="auto" w:fill="D8D8D8"/>
          </w:tcPr>
          <w:p>
            <w:pPr>
              <w:spacing w:after="0"/>
              <w:rPr>
                <w:sz w:val="16"/>
                <w:szCs w:val="16"/>
                <w:color w:val="auto"/>
              </w:rPr>
            </w:pPr>
          </w:p>
        </w:tc>
        <w:tc>
          <w:tcPr>
            <w:tcW w:w="2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following a defined Kraft Foods change in control.</w:t>
            </w:r>
          </w:p>
        </w:tc>
        <w:tc>
          <w:tcPr>
            <w:tcW w:w="240" w:type="dxa"/>
            <w:vAlign w:val="bottom"/>
            <w:shd w:val="clear" w:color="auto" w:fill="D8D8D8"/>
          </w:tcPr>
          <w:p>
            <w:pPr>
              <w:spacing w:after="0"/>
              <w:rPr>
                <w:sz w:val="16"/>
                <w:szCs w:val="16"/>
                <w:color w:val="auto"/>
              </w:rPr>
            </w:pPr>
          </w:p>
        </w:tc>
        <w:tc>
          <w:tcPr>
            <w:tcW w:w="4200" w:type="dxa"/>
            <w:vAlign w:val="bottom"/>
            <w:shd w:val="clear" w:color="auto" w:fill="D8D8D8"/>
          </w:tcPr>
          <w:p>
            <w:pPr>
              <w:ind w:left="160"/>
              <w:spacing w:after="0" w:line="192" w:lineRule="exact"/>
              <w:rPr>
                <w:sz w:val="20"/>
                <w:szCs w:val="20"/>
                <w:color w:val="auto"/>
              </w:rPr>
            </w:pPr>
            <w:r>
              <w:rPr>
                <w:rFonts w:ascii="Arial" w:cs="Arial" w:eastAsia="Arial" w:hAnsi="Arial"/>
                <w:sz w:val="17"/>
                <w:szCs w:val="17"/>
                <w:color w:val="auto"/>
              </w:rPr>
              <w:t>periods of uncertainty</w:t>
            </w:r>
          </w:p>
        </w:tc>
      </w:tr>
      <w:tr>
        <w:trPr>
          <w:trHeight w:val="202"/>
        </w:trPr>
        <w:tc>
          <w:tcPr>
            <w:tcW w:w="660" w:type="dxa"/>
            <w:vAlign w:val="bottom"/>
            <w:shd w:val="clear" w:color="auto" w:fill="D8D8D8"/>
          </w:tcPr>
          <w:p>
            <w:pPr>
              <w:spacing w:after="0"/>
              <w:rPr>
                <w:sz w:val="17"/>
                <w:szCs w:val="17"/>
                <w:color w:val="auto"/>
              </w:rPr>
            </w:pPr>
          </w:p>
        </w:tc>
        <w:tc>
          <w:tcPr>
            <w:tcW w:w="1400" w:type="dxa"/>
            <w:vAlign w:val="bottom"/>
            <w:shd w:val="clear" w:color="auto" w:fill="D8D8D8"/>
          </w:tcPr>
          <w:p>
            <w:pPr>
              <w:spacing w:after="0"/>
              <w:rPr>
                <w:sz w:val="17"/>
                <w:szCs w:val="17"/>
                <w:color w:val="auto"/>
              </w:rPr>
            </w:pPr>
          </w:p>
        </w:tc>
        <w:tc>
          <w:tcPr>
            <w:tcW w:w="240" w:type="dxa"/>
            <w:vAlign w:val="bottom"/>
            <w:shd w:val="clear" w:color="auto" w:fill="D8D8D8"/>
          </w:tcPr>
          <w:p>
            <w:pPr>
              <w:spacing w:after="0"/>
              <w:rPr>
                <w:sz w:val="17"/>
                <w:szCs w:val="17"/>
                <w:color w:val="auto"/>
              </w:rPr>
            </w:pPr>
          </w:p>
        </w:tc>
        <w:tc>
          <w:tcPr>
            <w:tcW w:w="446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rPr>
                <w:sz w:val="20"/>
                <w:szCs w:val="20"/>
                <w:color w:val="auto"/>
              </w:rPr>
            </w:pPr>
            <w:r>
              <w:rPr>
                <w:rFonts w:ascii="Arial" w:cs="Arial" w:eastAsia="Arial" w:hAnsi="Arial"/>
                <w:sz w:val="17"/>
                <w:szCs w:val="17"/>
                <w:color w:val="auto"/>
              </w:rPr>
              <w:t>Supports effective transition</w:t>
            </w:r>
          </w:p>
        </w:tc>
      </w:tr>
      <w:tr>
        <w:trPr>
          <w:trHeight w:val="408"/>
        </w:trPr>
        <w:tc>
          <w:tcPr>
            <w:tcW w:w="2060" w:type="dxa"/>
            <w:vAlign w:val="bottom"/>
            <w:gridSpan w:val="2"/>
          </w:tcPr>
          <w:p>
            <w:pPr>
              <w:spacing w:after="0"/>
              <w:rPr>
                <w:sz w:val="20"/>
                <w:szCs w:val="20"/>
                <w:color w:val="auto"/>
              </w:rPr>
            </w:pPr>
            <w:r>
              <w:rPr>
                <w:rFonts w:ascii="Arial" w:cs="Arial" w:eastAsia="Arial" w:hAnsi="Arial"/>
                <w:sz w:val="17"/>
                <w:szCs w:val="17"/>
                <w:b w:val="1"/>
                <w:bCs w:val="1"/>
                <w:color w:val="auto"/>
              </w:rPr>
              <w:t>Other Benefits</w:t>
            </w:r>
          </w:p>
        </w:tc>
        <w:tc>
          <w:tcPr>
            <w:tcW w:w="2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142"/>
        </w:trPr>
        <w:tc>
          <w:tcPr>
            <w:tcW w:w="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0" w:type="dxa"/>
            <w:vAlign w:val="bottom"/>
          </w:tcPr>
          <w:p>
            <w:pPr>
              <w:spacing w:after="0"/>
              <w:rPr>
                <w:sz w:val="12"/>
                <w:szCs w:val="12"/>
                <w:color w:val="auto"/>
              </w:rPr>
            </w:pPr>
          </w:p>
        </w:tc>
      </w:tr>
      <w:tr>
        <w:trPr>
          <w:trHeight w:val="195"/>
        </w:trPr>
        <w:tc>
          <w:tcPr>
            <w:tcW w:w="206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Other Benefits</w:t>
            </w:r>
          </w:p>
        </w:tc>
        <w:tc>
          <w:tcPr>
            <w:tcW w:w="240" w:type="dxa"/>
            <w:vAlign w:val="bottom"/>
            <w:shd w:val="clear" w:color="auto" w:fill="D8D8D8"/>
          </w:tcPr>
          <w:p>
            <w:pPr>
              <w:spacing w:after="0"/>
              <w:rPr>
                <w:sz w:val="16"/>
                <w:szCs w:val="16"/>
                <w:color w:val="auto"/>
              </w:rPr>
            </w:pPr>
          </w:p>
        </w:tc>
        <w:tc>
          <w:tcPr>
            <w:tcW w:w="468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Health, welfare and other benefits.</w:t>
            </w: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rPr>
                <w:sz w:val="20"/>
                <w:szCs w:val="20"/>
                <w:color w:val="auto"/>
              </w:rPr>
            </w:pPr>
            <w:r>
              <w:rPr>
                <w:rFonts w:ascii="Arial" w:cs="Arial" w:eastAsia="Arial" w:hAnsi="Arial"/>
                <w:sz w:val="17"/>
                <w:szCs w:val="17"/>
                <w:color w:val="auto"/>
              </w:rPr>
              <w:t>Retention</w:t>
            </w:r>
          </w:p>
        </w:tc>
      </w:tr>
      <w:tr>
        <w:trPr>
          <w:trHeight w:val="202"/>
        </w:trPr>
        <w:tc>
          <w:tcPr>
            <w:tcW w:w="660" w:type="dxa"/>
            <w:vAlign w:val="bottom"/>
            <w:shd w:val="clear" w:color="auto" w:fill="D8D8D8"/>
          </w:tcPr>
          <w:p>
            <w:pPr>
              <w:spacing w:after="0"/>
              <w:rPr>
                <w:sz w:val="17"/>
                <w:szCs w:val="17"/>
                <w:color w:val="auto"/>
              </w:rPr>
            </w:pPr>
          </w:p>
        </w:tc>
        <w:tc>
          <w:tcPr>
            <w:tcW w:w="1400" w:type="dxa"/>
            <w:vAlign w:val="bottom"/>
            <w:shd w:val="clear" w:color="auto" w:fill="D8D8D8"/>
          </w:tcPr>
          <w:p>
            <w:pPr>
              <w:spacing w:after="0"/>
              <w:rPr>
                <w:sz w:val="17"/>
                <w:szCs w:val="17"/>
                <w:color w:val="auto"/>
              </w:rPr>
            </w:pPr>
          </w:p>
        </w:tc>
        <w:tc>
          <w:tcPr>
            <w:tcW w:w="240" w:type="dxa"/>
            <w:vAlign w:val="bottom"/>
            <w:shd w:val="clear" w:color="auto" w:fill="D8D8D8"/>
          </w:tcPr>
          <w:p>
            <w:pPr>
              <w:spacing w:after="0"/>
              <w:rPr>
                <w:sz w:val="17"/>
                <w:szCs w:val="17"/>
                <w:color w:val="auto"/>
              </w:rPr>
            </w:pPr>
          </w:p>
        </w:tc>
        <w:tc>
          <w:tcPr>
            <w:tcW w:w="446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240" w:type="dxa"/>
            <w:vAlign w:val="bottom"/>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4200" w:type="dxa"/>
            <w:vAlign w:val="bottom"/>
            <w:shd w:val="clear" w:color="auto" w:fill="D8D8D8"/>
          </w:tcPr>
          <w:p>
            <w:pPr>
              <w:ind w:left="100"/>
              <w:spacing w:after="0"/>
              <w:rPr>
                <w:sz w:val="20"/>
                <w:szCs w:val="20"/>
                <w:color w:val="auto"/>
              </w:rPr>
            </w:pPr>
            <w:r>
              <w:rPr>
                <w:rFonts w:ascii="Arial" w:cs="Arial" w:eastAsia="Arial" w:hAnsi="Arial"/>
                <w:sz w:val="17"/>
                <w:szCs w:val="17"/>
                <w:color w:val="auto"/>
              </w:rPr>
              <w:t>Attraction</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Elements of Executive Compensation</w:t>
      </w:r>
    </w:p>
    <w:p>
      <w:pPr>
        <w:spacing w:after="0" w:line="170"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A description of each of the compensation program elements follows, and individual compensation decisions are discussed under “ — Compensation Paid to Named Executive Officers in 2011.”</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Base Salary</w:t>
      </w:r>
    </w:p>
    <w:p>
      <w:pPr>
        <w:spacing w:after="0" w:line="150"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Base salary is the principal “fixed” element of executive compensation. Base salary levels for Named Executive Officers are targeted to be at or near the size-adjusted median of the Compensation Survey Group. However, the Committee also considers a number of other factors when reviewing and setting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43"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jc w:val="both"/>
        <w:ind w:right="580"/>
        <w:spacing w:after="0" w:line="239" w:lineRule="auto"/>
        <w:rPr>
          <w:sz w:val="20"/>
          <w:szCs w:val="20"/>
          <w:color w:val="auto"/>
        </w:rPr>
      </w:pPr>
      <w:r>
        <w:rPr>
          <w:rFonts w:ascii="Arial" w:cs="Arial" w:eastAsia="Arial" w:hAnsi="Arial"/>
          <w:sz w:val="17"/>
          <w:szCs w:val="17"/>
          <w:color w:val="auto"/>
        </w:rPr>
        <w:t>base salaries for Named Executive Officers, including: Kraft Foods’ performance and the Named Executive Officer’s individual performance, level of responsibility, potential to assume roles with greater responsibility, tenure and experience. The Committee reviews salaries on an annual basis and considers merit increases, which are generally effective April 1, for all executive officers.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Annual Cash Incentive Program</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168"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Annual Cash Incentive Program is a cash bonus plan designed to motivate and reward participants, including our Named Executive Officers, for their contribution to Kraft Foods, or a business unit of Kraft Foods, for achieving our annual financial and strategic goals. The range of amounts that an executive officer may earn is determined at the beginning of the year, and the amount actually paid is based on the financial results achieved during the year and the individual’s contribution towards achieving those results.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Award Formula</w:t>
      </w:r>
    </w:p>
    <w:p>
      <w:pPr>
        <w:spacing w:after="0" w:line="168" w:lineRule="exact"/>
        <w:rPr>
          <w:sz w:val="20"/>
          <w:szCs w:val="20"/>
          <w:color w:val="auto"/>
        </w:rPr>
      </w:pPr>
    </w:p>
    <w:p>
      <w:pPr>
        <w:ind w:right="340"/>
        <w:spacing w:after="0" w:line="241" w:lineRule="auto"/>
        <w:rPr>
          <w:sz w:val="20"/>
          <w:szCs w:val="20"/>
          <w:color w:val="auto"/>
        </w:rPr>
      </w:pPr>
      <w:r>
        <w:rPr>
          <w:rFonts w:ascii="Arial" w:cs="Arial" w:eastAsia="Arial" w:hAnsi="Arial"/>
          <w:sz w:val="17"/>
          <w:szCs w:val="17"/>
          <w:color w:val="auto"/>
        </w:rPr>
        <w:t>The formula shown below is used to determine actual awards for participants, including our Named Executive Officers. Other than base salary, which is discussed above, each element of this formula is discussed below.</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2640" w:type="dxa"/>
            <w:vAlign w:val="bottom"/>
            <w:tcBorders>
              <w:top w:val="single" w:sz="8" w:color="auto"/>
              <w:left w:val="single" w:sz="8" w:color="auto"/>
              <w:right w:val="single" w:sz="8" w:color="auto"/>
            </w:tcBorders>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6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Target Annual</w:t>
            </w:r>
          </w:p>
        </w:tc>
        <w:tc>
          <w:tcPr>
            <w:tcW w:w="200" w:type="dxa"/>
            <w:vAlign w:val="bottom"/>
            <w:tcBorders>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80" w:type="dxa"/>
            <w:vAlign w:val="bottom"/>
            <w:tcBorders>
              <w:top w:val="single" w:sz="8" w:color="auto"/>
              <w:right w:val="single" w:sz="8" w:color="auto"/>
            </w:tcBorders>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1240" w:type="dxa"/>
            <w:vAlign w:val="bottom"/>
            <w:tcBorders>
              <w:top w:val="single" w:sz="8" w:color="auto"/>
              <w:right w:val="single" w:sz="8" w:color="auto"/>
            </w:tcBorders>
          </w:tcPr>
          <w:p>
            <w:pPr>
              <w:jc w:val="center"/>
              <w:spacing w:after="0" w:line="137" w:lineRule="exact"/>
              <w:rPr>
                <w:sz w:val="20"/>
                <w:szCs w:val="20"/>
                <w:color w:val="auto"/>
              </w:rPr>
            </w:pPr>
            <w:r>
              <w:rPr>
                <w:rFonts w:ascii="Arial" w:cs="Arial" w:eastAsia="Arial" w:hAnsi="Arial"/>
                <w:sz w:val="13"/>
                <w:szCs w:val="13"/>
                <w:b w:val="1"/>
                <w:bCs w:val="1"/>
                <w:color w:val="auto"/>
                <w:w w:val="98"/>
              </w:rPr>
              <w:t>Actual Cash</w:t>
            </w:r>
          </w:p>
        </w:tc>
        <w:tc>
          <w:tcPr>
            <w:tcW w:w="0" w:type="dxa"/>
            <w:vAlign w:val="bottom"/>
          </w:tcPr>
          <w:p>
            <w:pPr>
              <w:spacing w:after="0"/>
              <w:rPr>
                <w:sz w:val="1"/>
                <w:szCs w:val="1"/>
                <w:color w:val="auto"/>
              </w:rPr>
            </w:pPr>
          </w:p>
        </w:tc>
      </w:tr>
      <w:tr>
        <w:trPr>
          <w:trHeight w:val="64"/>
        </w:trPr>
        <w:tc>
          <w:tcPr>
            <w:tcW w:w="2640" w:type="dxa"/>
            <w:vAlign w:val="bottom"/>
            <w:tcBorders>
              <w:left w:val="single" w:sz="8" w:color="auto"/>
              <w:right w:val="single" w:sz="8" w:color="auto"/>
            </w:tcBorders>
            <w:vMerge w:val="restart"/>
          </w:tcPr>
          <w:p>
            <w:pPr>
              <w:jc w:val="center"/>
              <w:ind w:left="40"/>
              <w:spacing w:after="0" w:line="141" w:lineRule="exact"/>
              <w:rPr>
                <w:sz w:val="20"/>
                <w:szCs w:val="20"/>
                <w:color w:val="auto"/>
              </w:rPr>
            </w:pPr>
            <w:r>
              <w:rPr>
                <w:rFonts w:ascii="Arial" w:cs="Arial" w:eastAsia="Arial" w:hAnsi="Arial"/>
                <w:sz w:val="13"/>
                <w:szCs w:val="13"/>
                <w:b w:val="1"/>
                <w:bCs w:val="1"/>
                <w:color w:val="auto"/>
              </w:rPr>
              <w:t>Base Salary</w:t>
            </w:r>
          </w:p>
        </w:tc>
        <w:tc>
          <w:tcPr>
            <w:tcW w:w="360" w:type="dxa"/>
            <w:vAlign w:val="bottom"/>
            <w:tcBorders>
              <w:right w:val="single" w:sz="8" w:color="auto"/>
            </w:tcBorders>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880" w:type="dxa"/>
            <w:vAlign w:val="bottom"/>
            <w:tcBorders>
              <w:right w:val="single" w:sz="8" w:color="auto"/>
            </w:tcBorders>
            <w:vMerge w:val="restart"/>
          </w:tcPr>
          <w:p>
            <w:pPr>
              <w:jc w:val="center"/>
              <w:ind w:right="163"/>
              <w:spacing w:after="0" w:line="141" w:lineRule="exact"/>
              <w:rPr>
                <w:sz w:val="20"/>
                <w:szCs w:val="20"/>
                <w:color w:val="auto"/>
              </w:rPr>
            </w:pPr>
            <w:r>
              <w:rPr>
                <w:rFonts w:ascii="Arial" w:cs="Arial" w:eastAsia="Arial" w:hAnsi="Arial"/>
                <w:sz w:val="13"/>
                <w:szCs w:val="13"/>
                <w:b w:val="1"/>
                <w:bCs w:val="1"/>
                <w:color w:val="auto"/>
                <w:w w:val="98"/>
              </w:rPr>
              <w:t>Individual Performance</w:t>
            </w:r>
          </w:p>
        </w:tc>
        <w:tc>
          <w:tcPr>
            <w:tcW w:w="340" w:type="dxa"/>
            <w:vAlign w:val="bottom"/>
            <w:tcBorders>
              <w:right w:val="single" w:sz="8" w:color="auto"/>
            </w:tcBorders>
          </w:tcPr>
          <w:p>
            <w:pPr>
              <w:spacing w:after="0"/>
              <w:rPr>
                <w:sz w:val="5"/>
                <w:szCs w:val="5"/>
                <w:color w:val="auto"/>
              </w:rPr>
            </w:pPr>
          </w:p>
        </w:tc>
        <w:tc>
          <w:tcPr>
            <w:tcW w:w="124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3"/>
                <w:szCs w:val="13"/>
                <w:b w:val="1"/>
                <w:bCs w:val="1"/>
                <w:color w:val="auto"/>
                <w:w w:val="95"/>
              </w:rPr>
              <w:t>Award</w:t>
            </w:r>
          </w:p>
        </w:tc>
        <w:tc>
          <w:tcPr>
            <w:tcW w:w="0" w:type="dxa"/>
            <w:vAlign w:val="bottom"/>
          </w:tcPr>
          <w:p>
            <w:pPr>
              <w:spacing w:after="0"/>
              <w:rPr>
                <w:sz w:val="1"/>
                <w:szCs w:val="1"/>
                <w:color w:val="auto"/>
              </w:rPr>
            </w:pPr>
          </w:p>
        </w:tc>
      </w:tr>
      <w:tr>
        <w:trPr>
          <w:trHeight w:val="77"/>
        </w:trPr>
        <w:tc>
          <w:tcPr>
            <w:tcW w:w="2640" w:type="dxa"/>
            <w:vAlign w:val="bottom"/>
            <w:tcBorders>
              <w:left w:val="single" w:sz="8" w:color="auto"/>
              <w:right w:val="single" w:sz="8" w:color="auto"/>
            </w:tcBorders>
            <w:vMerge w:val="continue"/>
          </w:tcPr>
          <w:p>
            <w:pPr>
              <w:spacing w:after="0"/>
              <w:rPr>
                <w:sz w:val="6"/>
                <w:szCs w:val="6"/>
                <w:color w:val="auto"/>
              </w:rPr>
            </w:pPr>
          </w:p>
        </w:tc>
        <w:tc>
          <w:tcPr>
            <w:tcW w:w="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7"/>
                <w:szCs w:val="17"/>
                <w:b w:val="1"/>
                <w:bCs w:val="1"/>
                <w:color w:val="auto"/>
              </w:rPr>
              <w:t>x</w:t>
            </w:r>
          </w:p>
        </w:tc>
        <w:tc>
          <w:tcPr>
            <w:tcW w:w="26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3"/>
                <w:szCs w:val="13"/>
                <w:b w:val="1"/>
                <w:bCs w:val="1"/>
                <w:color w:val="auto"/>
                <w:w w:val="99"/>
              </w:rPr>
              <w:t>Incentive</w:t>
            </w:r>
          </w:p>
        </w:tc>
        <w:tc>
          <w:tcPr>
            <w:tcW w:w="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b w:val="1"/>
                <w:bCs w:val="1"/>
                <w:color w:val="auto"/>
                <w:w w:val="84"/>
              </w:rPr>
              <w:t>x</w:t>
            </w:r>
          </w:p>
        </w:tc>
        <w:tc>
          <w:tcPr>
            <w:tcW w:w="170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3"/>
                <w:szCs w:val="13"/>
                <w:b w:val="1"/>
                <w:bCs w:val="1"/>
                <w:color w:val="auto"/>
                <w:w w:val="97"/>
              </w:rPr>
              <w:t>Business Unit Rating</w:t>
            </w:r>
          </w:p>
        </w:tc>
        <w:tc>
          <w:tcPr>
            <w:tcW w:w="2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b w:val="1"/>
                <w:bCs w:val="1"/>
                <w:color w:val="auto"/>
                <w:w w:val="84"/>
              </w:rPr>
              <w:t>x</w:t>
            </w:r>
          </w:p>
        </w:tc>
        <w:tc>
          <w:tcPr>
            <w:tcW w:w="260" w:type="dxa"/>
            <w:vAlign w:val="bottom"/>
          </w:tcPr>
          <w:p>
            <w:pPr>
              <w:spacing w:after="0"/>
              <w:rPr>
                <w:sz w:val="6"/>
                <w:szCs w:val="6"/>
                <w:color w:val="auto"/>
              </w:rPr>
            </w:pPr>
          </w:p>
        </w:tc>
        <w:tc>
          <w:tcPr>
            <w:tcW w:w="1880" w:type="dxa"/>
            <w:vAlign w:val="bottom"/>
            <w:tcBorders>
              <w:right w:val="single" w:sz="8" w:color="auto"/>
            </w:tcBorders>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640" w:type="dxa"/>
            <w:vAlign w:val="bottom"/>
            <w:tcBorders>
              <w:left w:val="single" w:sz="8" w:color="auto"/>
              <w:right w:val="single" w:sz="8" w:color="auto"/>
            </w:tcBorders>
            <w:vMerge w:val="restart"/>
          </w:tcPr>
          <w:p>
            <w:pPr>
              <w:ind w:left="1320"/>
              <w:spacing w:after="0"/>
              <w:rPr>
                <w:sz w:val="20"/>
                <w:szCs w:val="20"/>
                <w:color w:val="auto"/>
              </w:rPr>
            </w:pPr>
            <w:r>
              <w:rPr>
                <w:rFonts w:ascii="Arial" w:cs="Arial" w:eastAsia="Arial" w:hAnsi="Arial"/>
                <w:sz w:val="13"/>
                <w:szCs w:val="13"/>
                <w:b w:val="1"/>
                <w:bCs w:val="1"/>
                <w:color w:val="auto"/>
              </w:rPr>
              <w:t>as of</w:t>
            </w:r>
          </w:p>
        </w:tc>
        <w:tc>
          <w:tcPr>
            <w:tcW w:w="360" w:type="dxa"/>
            <w:vAlign w:val="bottom"/>
            <w:tcBorders>
              <w:right w:val="single" w:sz="8" w:color="auto"/>
            </w:tcBorders>
            <w:vMerge w:val="continue"/>
          </w:tcPr>
          <w:p>
            <w:pPr>
              <w:spacing w:after="0"/>
              <w:rPr>
                <w:sz w:val="5"/>
                <w:szCs w:val="5"/>
                <w:color w:val="auto"/>
              </w:rPr>
            </w:pPr>
          </w:p>
        </w:tc>
        <w:tc>
          <w:tcPr>
            <w:tcW w:w="2600" w:type="dxa"/>
            <w:vAlign w:val="bottom"/>
            <w:tcBorders>
              <w:right w:val="single" w:sz="8" w:color="auto"/>
            </w:tcBorders>
            <w:vMerge w:val="continue"/>
          </w:tcPr>
          <w:p>
            <w:pPr>
              <w:spacing w:after="0"/>
              <w:rPr>
                <w:sz w:val="5"/>
                <w:szCs w:val="5"/>
                <w:color w:val="auto"/>
              </w:rPr>
            </w:pPr>
          </w:p>
        </w:tc>
        <w:tc>
          <w:tcPr>
            <w:tcW w:w="200" w:type="dxa"/>
            <w:vAlign w:val="bottom"/>
            <w:tcBorders>
              <w:right w:val="single" w:sz="8" w:color="auto"/>
            </w:tcBorders>
            <w:vMerge w:val="continue"/>
          </w:tcPr>
          <w:p>
            <w:pPr>
              <w:spacing w:after="0"/>
              <w:rPr>
                <w:sz w:val="5"/>
                <w:szCs w:val="5"/>
                <w:color w:val="auto"/>
              </w:rPr>
            </w:pPr>
          </w:p>
        </w:tc>
        <w:tc>
          <w:tcPr>
            <w:tcW w:w="1700" w:type="dxa"/>
            <w:vAlign w:val="bottom"/>
            <w:tcBorders>
              <w:right w:val="single" w:sz="8" w:color="auto"/>
            </w:tcBorders>
            <w:vMerge w:val="continue"/>
          </w:tcPr>
          <w:p>
            <w:pPr>
              <w:spacing w:after="0"/>
              <w:rPr>
                <w:sz w:val="5"/>
                <w:szCs w:val="5"/>
                <w:color w:val="auto"/>
              </w:rPr>
            </w:pPr>
          </w:p>
        </w:tc>
        <w:tc>
          <w:tcPr>
            <w:tcW w:w="220" w:type="dxa"/>
            <w:vAlign w:val="bottom"/>
            <w:tcBorders>
              <w:right w:val="single" w:sz="8" w:color="auto"/>
            </w:tcBorders>
            <w:vMerge w:val="continue"/>
          </w:tcPr>
          <w:p>
            <w:pPr>
              <w:spacing w:after="0"/>
              <w:rPr>
                <w:sz w:val="5"/>
                <w:szCs w:val="5"/>
                <w:color w:val="auto"/>
              </w:rPr>
            </w:pPr>
          </w:p>
        </w:tc>
        <w:tc>
          <w:tcPr>
            <w:tcW w:w="260" w:type="dxa"/>
            <w:vAlign w:val="bottom"/>
          </w:tcPr>
          <w:p>
            <w:pPr>
              <w:spacing w:after="0"/>
              <w:rPr>
                <w:sz w:val="5"/>
                <w:szCs w:val="5"/>
                <w:color w:val="auto"/>
              </w:rPr>
            </w:pPr>
          </w:p>
        </w:tc>
        <w:tc>
          <w:tcPr>
            <w:tcW w:w="1880" w:type="dxa"/>
            <w:vAlign w:val="bottom"/>
            <w:tcBorders>
              <w:right w:val="single" w:sz="8" w:color="auto"/>
            </w:tcBorders>
            <w:vMerge w:val="restart"/>
          </w:tcPr>
          <w:p>
            <w:pPr>
              <w:jc w:val="center"/>
              <w:ind w:right="183"/>
              <w:spacing w:after="0"/>
              <w:rPr>
                <w:sz w:val="20"/>
                <w:szCs w:val="20"/>
                <w:color w:val="auto"/>
              </w:rPr>
            </w:pPr>
            <w:r>
              <w:rPr>
                <w:rFonts w:ascii="Arial" w:cs="Arial" w:eastAsia="Arial" w:hAnsi="Arial"/>
                <w:sz w:val="13"/>
                <w:szCs w:val="13"/>
                <w:b w:val="1"/>
                <w:bCs w:val="1"/>
                <w:color w:val="auto"/>
                <w:w w:val="99"/>
              </w:rPr>
              <w:t>Assessment</w:t>
            </w:r>
          </w:p>
        </w:tc>
        <w:tc>
          <w:tcPr>
            <w:tcW w:w="340" w:type="dxa"/>
            <w:vAlign w:val="bottom"/>
            <w:tcBorders>
              <w:right w:val="single" w:sz="8" w:color="auto"/>
            </w:tcBorders>
            <w:vMerge w:val="continue"/>
          </w:tcPr>
          <w:p>
            <w:pPr>
              <w:spacing w:after="0"/>
              <w:rPr>
                <w:sz w:val="5"/>
                <w:szCs w:val="5"/>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9"/>
              </w:rPr>
              <w:t>(Maximum</w:t>
            </w:r>
          </w:p>
        </w:tc>
        <w:tc>
          <w:tcPr>
            <w:tcW w:w="0" w:type="dxa"/>
            <w:vAlign w:val="bottom"/>
          </w:tcPr>
          <w:p>
            <w:pPr>
              <w:spacing w:after="0"/>
              <w:rPr>
                <w:sz w:val="1"/>
                <w:szCs w:val="1"/>
                <w:color w:val="auto"/>
              </w:rPr>
            </w:pPr>
          </w:p>
        </w:tc>
      </w:tr>
      <w:tr>
        <w:trPr>
          <w:trHeight w:val="132"/>
        </w:trPr>
        <w:tc>
          <w:tcPr>
            <w:tcW w:w="2640" w:type="dxa"/>
            <w:vAlign w:val="bottom"/>
            <w:tcBorders>
              <w:left w:val="single" w:sz="8" w:color="auto"/>
              <w:right w:val="single" w:sz="8" w:color="auto"/>
            </w:tcBorders>
            <w:vMerge w:val="continue"/>
          </w:tcPr>
          <w:p>
            <w:pPr>
              <w:spacing w:after="0"/>
              <w:rPr>
                <w:sz w:val="11"/>
                <w:szCs w:val="11"/>
                <w:color w:val="auto"/>
              </w:rPr>
            </w:pPr>
          </w:p>
        </w:tc>
        <w:tc>
          <w:tcPr>
            <w:tcW w:w="360" w:type="dxa"/>
            <w:vAlign w:val="bottom"/>
            <w:tcBorders>
              <w:right w:val="single" w:sz="8" w:color="auto"/>
            </w:tcBorders>
            <w:vMerge w:val="continue"/>
          </w:tcPr>
          <w:p>
            <w:pPr>
              <w:spacing w:after="0"/>
              <w:rPr>
                <w:sz w:val="11"/>
                <w:szCs w:val="11"/>
                <w:color w:val="auto"/>
              </w:rPr>
            </w:pPr>
          </w:p>
        </w:tc>
        <w:tc>
          <w:tcPr>
            <w:tcW w:w="260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99"/>
              </w:rPr>
              <w:t>Opportunity</w:t>
            </w:r>
          </w:p>
        </w:tc>
        <w:tc>
          <w:tcPr>
            <w:tcW w:w="200" w:type="dxa"/>
            <w:vAlign w:val="bottom"/>
            <w:tcBorders>
              <w:right w:val="single" w:sz="8" w:color="auto"/>
            </w:tcBorders>
            <w:vMerge w:val="continue"/>
          </w:tcPr>
          <w:p>
            <w:pPr>
              <w:spacing w:after="0"/>
              <w:rPr>
                <w:sz w:val="11"/>
                <w:szCs w:val="11"/>
                <w:color w:val="auto"/>
              </w:rPr>
            </w:pPr>
          </w:p>
        </w:tc>
        <w:tc>
          <w:tcPr>
            <w:tcW w:w="1700" w:type="dxa"/>
            <w:vAlign w:val="bottom"/>
            <w:tcBorders>
              <w:right w:val="single" w:sz="8" w:color="auto"/>
            </w:tcBorders>
          </w:tcPr>
          <w:p>
            <w:pPr>
              <w:jc w:val="center"/>
              <w:ind w:left="16"/>
              <w:spacing w:after="0" w:line="132" w:lineRule="exact"/>
              <w:rPr>
                <w:sz w:val="20"/>
                <w:szCs w:val="20"/>
                <w:color w:val="auto"/>
              </w:rPr>
            </w:pPr>
            <w:r>
              <w:rPr>
                <w:rFonts w:ascii="Arial" w:cs="Arial" w:eastAsia="Arial" w:hAnsi="Arial"/>
                <w:sz w:val="13"/>
                <w:szCs w:val="13"/>
                <w:b w:val="1"/>
                <w:bCs w:val="1"/>
                <w:color w:val="auto"/>
                <w:w w:val="98"/>
              </w:rPr>
              <w:t>(0% – 180%)</w:t>
            </w:r>
          </w:p>
        </w:tc>
        <w:tc>
          <w:tcPr>
            <w:tcW w:w="220" w:type="dxa"/>
            <w:vAlign w:val="bottom"/>
            <w:tcBorders>
              <w:right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1880" w:type="dxa"/>
            <w:vAlign w:val="bottom"/>
            <w:tcBorders>
              <w:right w:val="single" w:sz="8" w:color="auto"/>
            </w:tcBorders>
            <w:vMerge w:val="continue"/>
          </w:tcPr>
          <w:p>
            <w:pPr>
              <w:spacing w:after="0"/>
              <w:rPr>
                <w:sz w:val="11"/>
                <w:szCs w:val="11"/>
                <w:color w:val="auto"/>
              </w:rPr>
            </w:pPr>
          </w:p>
        </w:tc>
        <w:tc>
          <w:tcPr>
            <w:tcW w:w="34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640" w:type="dxa"/>
            <w:vAlign w:val="bottom"/>
            <w:tcBorders>
              <w:left w:val="single" w:sz="8" w:color="auto"/>
              <w:right w:val="single" w:sz="8" w:color="auto"/>
            </w:tcBorders>
          </w:tcPr>
          <w:p>
            <w:pPr>
              <w:jc w:val="center"/>
              <w:ind w:left="40"/>
              <w:spacing w:after="0" w:line="86" w:lineRule="exact"/>
              <w:rPr>
                <w:sz w:val="20"/>
                <w:szCs w:val="20"/>
                <w:color w:val="auto"/>
              </w:rPr>
            </w:pPr>
            <w:r>
              <w:rPr>
                <w:rFonts w:ascii="Arial" w:cs="Arial" w:eastAsia="Arial" w:hAnsi="Arial"/>
                <w:sz w:val="9"/>
                <w:szCs w:val="9"/>
                <w:b w:val="1"/>
                <w:bCs w:val="1"/>
                <w:color w:val="auto"/>
              </w:rPr>
              <w:t>December 31, 2011</w:t>
            </w:r>
          </w:p>
        </w:tc>
        <w:tc>
          <w:tcPr>
            <w:tcW w:w="360" w:type="dxa"/>
            <w:vAlign w:val="bottom"/>
            <w:tcBorders>
              <w:right w:val="single" w:sz="8" w:color="auto"/>
            </w:tcBorders>
          </w:tcPr>
          <w:p>
            <w:pPr>
              <w:spacing w:after="0"/>
              <w:rPr>
                <w:sz w:val="7"/>
                <w:szCs w:val="7"/>
                <w:color w:val="auto"/>
              </w:rPr>
            </w:pPr>
          </w:p>
        </w:tc>
        <w:tc>
          <w:tcPr>
            <w:tcW w:w="2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 of Base Salary)</w:t>
            </w:r>
          </w:p>
        </w:tc>
        <w:tc>
          <w:tcPr>
            <w:tcW w:w="20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880" w:type="dxa"/>
            <w:vAlign w:val="bottom"/>
            <w:tcBorders>
              <w:right w:val="single" w:sz="8" w:color="auto"/>
            </w:tcBorders>
          </w:tcPr>
          <w:p>
            <w:pPr>
              <w:jc w:val="center"/>
              <w:ind w:right="163"/>
              <w:spacing w:after="0" w:line="86" w:lineRule="exact"/>
              <w:rPr>
                <w:sz w:val="20"/>
                <w:szCs w:val="20"/>
                <w:color w:val="auto"/>
              </w:rPr>
            </w:pPr>
            <w:r>
              <w:rPr>
                <w:rFonts w:ascii="Arial" w:cs="Arial" w:eastAsia="Arial" w:hAnsi="Arial"/>
                <w:sz w:val="9"/>
                <w:szCs w:val="9"/>
                <w:b w:val="1"/>
                <w:bCs w:val="1"/>
                <w:color w:val="auto"/>
              </w:rPr>
              <w:t>(0% – 180%)</w:t>
            </w:r>
          </w:p>
        </w:tc>
        <w:tc>
          <w:tcPr>
            <w:tcW w:w="340" w:type="dxa"/>
            <w:vAlign w:val="bottom"/>
            <w:tcBorders>
              <w:right w:val="single" w:sz="8" w:color="auto"/>
            </w:tcBorders>
          </w:tcPr>
          <w:p>
            <w:pPr>
              <w:spacing w:after="0"/>
              <w:rPr>
                <w:sz w:val="7"/>
                <w:szCs w:val="7"/>
                <w:color w:val="auto"/>
              </w:rPr>
            </w:pPr>
          </w:p>
        </w:tc>
        <w:tc>
          <w:tcPr>
            <w:tcW w:w="1240" w:type="dxa"/>
            <w:vAlign w:val="bottom"/>
            <w:tcBorders>
              <w:right w:val="single" w:sz="8" w:color="auto"/>
            </w:tcBorders>
          </w:tcPr>
          <w:p>
            <w:pPr>
              <w:jc w:val="center"/>
              <w:spacing w:after="0" w:line="86" w:lineRule="exact"/>
              <w:rPr>
                <w:sz w:val="20"/>
                <w:szCs w:val="20"/>
                <w:color w:val="auto"/>
              </w:rPr>
            </w:pPr>
            <w:r>
              <w:rPr>
                <w:rFonts w:ascii="Arial" w:cs="Arial" w:eastAsia="Arial" w:hAnsi="Arial"/>
                <w:sz w:val="9"/>
                <w:szCs w:val="9"/>
                <w:b w:val="1"/>
                <w:bCs w:val="1"/>
                <w:color w:val="auto"/>
              </w:rPr>
              <w:t>capped at 250%</w:t>
            </w:r>
          </w:p>
        </w:tc>
        <w:tc>
          <w:tcPr>
            <w:tcW w:w="0" w:type="dxa"/>
            <w:vAlign w:val="bottom"/>
          </w:tcPr>
          <w:p>
            <w:pPr>
              <w:spacing w:after="0"/>
              <w:rPr>
                <w:sz w:val="1"/>
                <w:szCs w:val="1"/>
                <w:color w:val="auto"/>
              </w:rPr>
            </w:pPr>
          </w:p>
        </w:tc>
      </w:tr>
      <w:tr>
        <w:trPr>
          <w:trHeight w:val="93"/>
        </w:trPr>
        <w:tc>
          <w:tcPr>
            <w:tcW w:w="2640" w:type="dxa"/>
            <w:vAlign w:val="bottom"/>
            <w:tcBorders>
              <w:left w:val="single" w:sz="8" w:color="auto"/>
              <w:right w:val="single" w:sz="8" w:color="auto"/>
            </w:tcBorders>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600" w:type="dxa"/>
            <w:vAlign w:val="bottom"/>
            <w:tcBorders>
              <w:right w:val="single" w:sz="8" w:color="auto"/>
            </w:tcBorders>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9"/>
              </w:rPr>
              <w:t>of target)</w:t>
            </w:r>
          </w:p>
        </w:tc>
        <w:tc>
          <w:tcPr>
            <w:tcW w:w="0" w:type="dxa"/>
            <w:vAlign w:val="bottom"/>
          </w:tcPr>
          <w:p>
            <w:pPr>
              <w:spacing w:after="0"/>
              <w:rPr>
                <w:sz w:val="1"/>
                <w:szCs w:val="1"/>
                <w:color w:val="auto"/>
              </w:rPr>
            </w:pPr>
          </w:p>
        </w:tc>
      </w:tr>
      <w:tr>
        <w:trPr>
          <w:trHeight w:val="77"/>
        </w:trPr>
        <w:tc>
          <w:tcPr>
            <w:tcW w:w="2640" w:type="dxa"/>
            <w:vAlign w:val="bottom"/>
            <w:tcBorders>
              <w:left w:val="single" w:sz="8" w:color="auto"/>
              <w:bottom w:val="single" w:sz="8" w:color="auto"/>
              <w:right w:val="single" w:sz="8" w:color="auto"/>
            </w:tcBorders>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2600" w:type="dxa"/>
            <w:vAlign w:val="bottom"/>
            <w:tcBorders>
              <w:bottom w:val="single" w:sz="8" w:color="auto"/>
              <w:right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880" w:type="dxa"/>
            <w:vAlign w:val="bottom"/>
            <w:tcBorders>
              <w:bottom w:val="single" w:sz="8" w:color="auto"/>
              <w:right w:val="single" w:sz="8" w:color="auto"/>
            </w:tcBorders>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12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640" w:type="dxa"/>
            <w:vAlign w:val="bottom"/>
          </w:tcPr>
          <w:p>
            <w:pPr>
              <w:spacing w:after="0"/>
              <w:rPr>
                <w:sz w:val="20"/>
                <w:szCs w:val="20"/>
                <w:color w:val="auto"/>
              </w:rPr>
            </w:pPr>
            <w:r>
              <w:rPr>
                <w:rFonts w:ascii="Arial" w:cs="Arial" w:eastAsia="Arial" w:hAnsi="Arial"/>
                <w:sz w:val="13"/>
                <w:szCs w:val="13"/>
                <w:b w:val="1"/>
                <w:bCs w:val="1"/>
                <w:color w:val="auto"/>
              </w:rPr>
              <w:t>Award Formula</w:t>
            </w:r>
          </w:p>
        </w:tc>
        <w:tc>
          <w:tcPr>
            <w:tcW w:w="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640" w:type="dxa"/>
            <w:vAlign w:val="bottom"/>
          </w:tcPr>
          <w:p>
            <w:pPr>
              <w:spacing w:after="0"/>
              <w:rPr>
                <w:sz w:val="20"/>
                <w:szCs w:val="20"/>
                <w:color w:val="auto"/>
              </w:rPr>
            </w:pPr>
            <w:r>
              <w:rPr>
                <w:rFonts w:ascii="Arial" w:cs="Arial" w:eastAsia="Arial" w:hAnsi="Arial"/>
                <w:sz w:val="13"/>
                <w:szCs w:val="13"/>
                <w:b w:val="1"/>
                <w:bCs w:val="1"/>
                <w:color w:val="auto"/>
              </w:rPr>
              <w:t>Element</w:t>
            </w:r>
          </w:p>
        </w:tc>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3"/>
          </w:tcPr>
          <w:p>
            <w:pPr>
              <w:ind w:left="200"/>
              <w:spacing w:after="0"/>
              <w:rPr>
                <w:sz w:val="20"/>
                <w:szCs w:val="20"/>
                <w:color w:val="auto"/>
              </w:rPr>
            </w:pPr>
            <w:r>
              <w:rPr>
                <w:rFonts w:ascii="Arial" w:cs="Arial" w:eastAsia="Arial" w:hAnsi="Arial"/>
                <w:sz w:val="13"/>
                <w:szCs w:val="13"/>
                <w:b w:val="1"/>
                <w:bCs w:val="1"/>
                <w:color w:val="auto"/>
              </w:rPr>
              <w:t>Explanation of Key Provisions</w:t>
            </w:r>
          </w:p>
        </w:tc>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7253605"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40"/>
          </w:cols>
          <w:pgMar w:left="240" w:top="444" w:right="219" w:bottom="1440" w:gutter="0" w:footer="0" w:header="0"/>
        </w:sectPr>
      </w:pPr>
    </w:p>
    <w:p>
      <w:pPr>
        <w:spacing w:after="0" w:line="3" w:lineRule="exact"/>
        <w:rPr>
          <w:sz w:val="20"/>
          <w:szCs w:val="20"/>
          <w:color w:val="auto"/>
        </w:rPr>
      </w:pPr>
    </w:p>
    <w:p>
      <w:pPr>
        <w:ind w:right="50"/>
        <w:spacing w:after="0" w:line="241" w:lineRule="auto"/>
        <w:rPr>
          <w:sz w:val="20"/>
          <w:szCs w:val="20"/>
          <w:color w:val="auto"/>
        </w:rPr>
      </w:pPr>
      <w:r>
        <w:rPr>
          <w:rFonts w:ascii="Arial" w:cs="Arial" w:eastAsia="Arial" w:hAnsi="Arial"/>
          <w:sz w:val="17"/>
          <w:szCs w:val="17"/>
          <w:color w:val="auto"/>
        </w:rPr>
        <w:t>Target Annual Incentive Opportunity</w:t>
      </w:r>
    </w:p>
    <w:p>
      <w:pPr>
        <w:spacing w:after="0" w:line="200" w:lineRule="exact"/>
        <w:rPr>
          <w:sz w:val="20"/>
          <w:szCs w:val="20"/>
          <w:color w:val="auto"/>
        </w:rPr>
      </w:pPr>
    </w:p>
    <w:p>
      <w:pPr>
        <w:spacing w:after="0" w:line="258"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Ms. Rosenfeld</w:t>
      </w:r>
    </w:p>
    <w:p>
      <w:pPr>
        <w:spacing w:after="0" w:line="20" w:lineRule="exact"/>
        <w:rPr>
          <w:sz w:val="20"/>
          <w:szCs w:val="20"/>
          <w:color w:val="auto"/>
        </w:rPr>
      </w:pPr>
      <w:r>
        <w:rPr>
          <w:sz w:val="20"/>
          <w:szCs w:val="20"/>
          <w:color w:val="auto"/>
        </w:rPr>
        <w:br w:type="column"/>
      </w:r>
    </w:p>
    <w:p>
      <w:pPr>
        <w:ind w:left="230" w:hanging="230"/>
        <w:spacing w:after="0"/>
        <w:tabs>
          <w:tab w:leader="none" w:pos="23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Target percentage of base salary reflects the Named Executive Officer’s role and responsibilities.</w:t>
      </w:r>
    </w:p>
    <w:p>
      <w:pPr>
        <w:spacing w:after="0" w:line="73" w:lineRule="exact"/>
        <w:rPr>
          <w:rFonts w:ascii="Arial" w:cs="Arial" w:eastAsia="Arial" w:hAnsi="Arial"/>
          <w:sz w:val="17"/>
          <w:szCs w:val="17"/>
          <w:color w:val="auto"/>
        </w:rPr>
      </w:pPr>
    </w:p>
    <w:p>
      <w:pPr>
        <w:ind w:left="310" w:right="120" w:hanging="310"/>
        <w:spacing w:after="0" w:line="241" w:lineRule="auto"/>
        <w:tabs>
          <w:tab w:leader="none" w:pos="247"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Individual targets, as a percentage of base salary, for our Named Executive Officers were, as of December 31, 2011, as follows:</w:t>
      </w:r>
    </w:p>
    <w:p>
      <w:pPr>
        <w:spacing w:after="0" w:line="171" w:lineRule="exact"/>
        <w:rPr>
          <w:sz w:val="20"/>
          <w:szCs w:val="20"/>
          <w:color w:val="auto"/>
        </w:rPr>
      </w:pPr>
    </w:p>
    <w:p>
      <w:pPr>
        <w:jc w:val="right"/>
        <w:ind w:right="20"/>
        <w:spacing w:after="0"/>
        <w:tabs>
          <w:tab w:leader="none" w:pos="5260" w:val="left"/>
          <w:tab w:leader="none" w:pos="3600" w:val="left"/>
          <w:tab w:leader="none" w:pos="2060" w:val="left"/>
          <w:tab w:leader="none" w:pos="540" w:val="left"/>
        </w:tabs>
        <w:rPr>
          <w:sz w:val="20"/>
          <w:szCs w:val="20"/>
          <w:color w:val="auto"/>
        </w:rPr>
      </w:pPr>
      <w:r>
        <w:rPr>
          <w:rFonts w:ascii="Arial" w:cs="Arial" w:eastAsia="Arial" w:hAnsi="Arial"/>
          <w:sz w:val="13"/>
          <w:szCs w:val="13"/>
          <w:b w:val="1"/>
          <w:bCs w:val="1"/>
          <w:color w:val="auto"/>
        </w:rPr>
        <w:t>Mr. Brearton</w:t>
      </w:r>
      <w:r>
        <w:rPr>
          <w:sz w:val="20"/>
          <w:szCs w:val="20"/>
          <w:color w:val="auto"/>
        </w:rPr>
        <w:tab/>
      </w:r>
      <w:r>
        <w:rPr>
          <w:rFonts w:ascii="Arial" w:cs="Arial" w:eastAsia="Arial" w:hAnsi="Arial"/>
          <w:sz w:val="13"/>
          <w:szCs w:val="13"/>
          <w:b w:val="1"/>
          <w:bCs w:val="1"/>
          <w:color w:val="auto"/>
        </w:rPr>
        <w:t>Mr. McLevish</w:t>
      </w:r>
      <w:r>
        <w:rPr>
          <w:sz w:val="20"/>
          <w:szCs w:val="20"/>
          <w:color w:val="auto"/>
        </w:rPr>
        <w:tab/>
      </w:r>
      <w:r>
        <w:rPr>
          <w:rFonts w:ascii="Arial" w:cs="Arial" w:eastAsia="Arial" w:hAnsi="Arial"/>
          <w:sz w:val="13"/>
          <w:szCs w:val="13"/>
          <w:b w:val="1"/>
          <w:bCs w:val="1"/>
          <w:color w:val="auto"/>
        </w:rPr>
        <w:t>Mr. Khosla</w:t>
      </w:r>
      <w:r>
        <w:rPr>
          <w:sz w:val="20"/>
          <w:szCs w:val="20"/>
          <w:color w:val="auto"/>
        </w:rPr>
        <w:tab/>
      </w:r>
      <w:r>
        <w:rPr>
          <w:rFonts w:ascii="Arial" w:cs="Arial" w:eastAsia="Arial" w:hAnsi="Arial"/>
          <w:sz w:val="13"/>
          <w:szCs w:val="13"/>
          <w:b w:val="1"/>
          <w:bCs w:val="1"/>
          <w:color w:val="auto"/>
        </w:rPr>
        <w:t>Mr. Vernon</w:t>
      </w:r>
      <w:r>
        <w:rPr>
          <w:sz w:val="20"/>
          <w:szCs w:val="20"/>
          <w:color w:val="auto"/>
        </w:rPr>
        <w:tab/>
      </w:r>
      <w:r>
        <w:rPr>
          <w:rFonts w:ascii="Arial" w:cs="Arial" w:eastAsia="Arial" w:hAnsi="Arial"/>
          <w:sz w:val="12"/>
          <w:szCs w:val="12"/>
          <w:b w:val="1"/>
          <w:bCs w:val="1"/>
          <w:color w:val="auto"/>
        </w:rPr>
        <w:t>Ms. West</w:t>
      </w:r>
    </w:p>
    <w:p>
      <w:pPr>
        <w:spacing w:after="0" w:line="8" w:lineRule="exact"/>
        <w:rPr>
          <w:sz w:val="20"/>
          <w:szCs w:val="20"/>
          <w:color w:val="auto"/>
        </w:rPr>
      </w:pPr>
    </w:p>
    <w:p>
      <w:pPr>
        <w:sectPr>
          <w:pgSz w:w="11900" w:h="16838" w:orient="portrait"/>
          <w:cols w:equalWidth="0" w:num="2">
            <w:col w:w="1790" w:space="720"/>
            <w:col w:w="8930"/>
          </w:cols>
          <w:pgMar w:left="240" w:top="444" w:right="21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620" w:type="dxa"/>
            <w:vAlign w:val="bottom"/>
          </w:tcPr>
          <w:p>
            <w:pPr>
              <w:spacing w:after="0"/>
              <w:rPr>
                <w:sz w:val="18"/>
                <w:szCs w:val="18"/>
                <w:color w:val="auto"/>
              </w:rPr>
            </w:pPr>
          </w:p>
        </w:tc>
        <w:tc>
          <w:tcPr>
            <w:tcW w:w="1060" w:type="dxa"/>
            <w:vAlign w:val="bottom"/>
            <w:tcBorders>
              <w:top w:val="single" w:sz="8" w:color="auto"/>
            </w:tcBorders>
          </w:tcPr>
          <w:p>
            <w:pPr>
              <w:jc w:val="right"/>
              <w:ind w:right="237"/>
              <w:spacing w:after="0"/>
              <w:rPr>
                <w:sz w:val="20"/>
                <w:szCs w:val="20"/>
                <w:color w:val="auto"/>
              </w:rPr>
            </w:pPr>
            <w:r>
              <w:rPr>
                <w:rFonts w:ascii="Arial" w:cs="Arial" w:eastAsia="Arial" w:hAnsi="Arial"/>
                <w:sz w:val="17"/>
                <w:szCs w:val="17"/>
                <w:color w:val="auto"/>
              </w:rPr>
              <w:t>150%</w:t>
            </w:r>
          </w:p>
        </w:tc>
        <w:tc>
          <w:tcPr>
            <w:tcW w:w="2060" w:type="dxa"/>
            <w:vAlign w:val="bottom"/>
            <w:gridSpan w:val="5"/>
          </w:tcPr>
          <w:p>
            <w:pPr>
              <w:spacing w:after="0"/>
              <w:rPr>
                <w:sz w:val="18"/>
                <w:szCs w:val="18"/>
                <w:color w:val="auto"/>
              </w:rPr>
            </w:pPr>
          </w:p>
        </w:tc>
        <w:tc>
          <w:tcPr>
            <w:tcW w:w="94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auto"/>
              </w:rPr>
              <w:t>90%</w:t>
            </w:r>
          </w:p>
        </w:tc>
        <w:tc>
          <w:tcPr>
            <w:tcW w:w="1440" w:type="dxa"/>
            <w:vAlign w:val="bottom"/>
          </w:tcPr>
          <w:p>
            <w:pPr>
              <w:spacing w:after="0"/>
              <w:rPr>
                <w:sz w:val="18"/>
                <w:szCs w:val="18"/>
                <w:color w:val="auto"/>
              </w:rPr>
            </w:pPr>
          </w:p>
        </w:tc>
        <w:tc>
          <w:tcPr>
            <w:tcW w:w="820" w:type="dxa"/>
            <w:vAlign w:val="bottom"/>
            <w:tcBorders>
              <w:top w:val="single" w:sz="8" w:color="auto"/>
            </w:tcBorders>
          </w:tcPr>
          <w:p>
            <w:pPr>
              <w:jc w:val="right"/>
              <w:ind w:right="157"/>
              <w:spacing w:after="0"/>
              <w:rPr>
                <w:sz w:val="20"/>
                <w:szCs w:val="20"/>
                <w:color w:val="auto"/>
              </w:rPr>
            </w:pPr>
            <w:r>
              <w:rPr>
                <w:rFonts w:ascii="Arial" w:cs="Arial" w:eastAsia="Arial" w:hAnsi="Arial"/>
                <w:sz w:val="17"/>
                <w:szCs w:val="17"/>
                <w:color w:val="auto"/>
              </w:rPr>
              <w:t>90%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ind w:right="81"/>
              <w:spacing w:after="0"/>
              <w:rPr>
                <w:sz w:val="20"/>
                <w:szCs w:val="20"/>
                <w:color w:val="auto"/>
              </w:rPr>
            </w:pPr>
            <w:r>
              <w:rPr>
                <w:rFonts w:ascii="Arial" w:cs="Arial" w:eastAsia="Arial" w:hAnsi="Arial"/>
                <w:sz w:val="17"/>
                <w:szCs w:val="17"/>
                <w:color w:val="auto"/>
              </w:rPr>
              <w:t>80%</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90%</w:t>
            </w:r>
          </w:p>
        </w:tc>
        <w:tc>
          <w:tcPr>
            <w:tcW w:w="860" w:type="dxa"/>
            <w:vAlign w:val="bottom"/>
          </w:tcPr>
          <w:p>
            <w:pPr>
              <w:spacing w:after="0"/>
              <w:rPr>
                <w:sz w:val="18"/>
                <w:szCs w:val="18"/>
                <w:color w:val="auto"/>
              </w:rPr>
            </w:pPr>
          </w:p>
        </w:tc>
        <w:tc>
          <w:tcPr>
            <w:tcW w:w="5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12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20" w:type="dxa"/>
            <w:vAlign w:val="bottom"/>
            <w:shd w:val="clear" w:color="auto" w:fill="D8D8D8"/>
          </w:tcPr>
          <w:p>
            <w:pPr>
              <w:spacing w:after="0"/>
              <w:rPr>
                <w:sz w:val="20"/>
                <w:szCs w:val="20"/>
                <w:color w:val="auto"/>
              </w:rPr>
            </w:pPr>
            <w:r>
              <w:rPr>
                <w:rFonts w:ascii="Arial" w:cs="Arial" w:eastAsia="Arial" w:hAnsi="Arial"/>
                <w:sz w:val="17"/>
                <w:szCs w:val="17"/>
                <w:color w:val="auto"/>
              </w:rPr>
              <w:t>2011</w:t>
            </w:r>
          </w:p>
        </w:tc>
        <w:tc>
          <w:tcPr>
            <w:tcW w:w="1060" w:type="dxa"/>
            <w:vAlign w:val="bottom"/>
            <w:shd w:val="clear" w:color="auto" w:fill="D8D8D8"/>
          </w:tcPr>
          <w:p>
            <w:pPr>
              <w:spacing w:after="0"/>
              <w:rPr>
                <w:sz w:val="16"/>
                <w:szCs w:val="16"/>
                <w:color w:val="auto"/>
              </w:rPr>
            </w:pPr>
          </w:p>
        </w:tc>
        <w:tc>
          <w:tcPr>
            <w:tcW w:w="360" w:type="dxa"/>
            <w:vAlign w:val="bottom"/>
            <w:shd w:val="clear" w:color="auto" w:fill="D8D8D8"/>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100" w:type="dxa"/>
            <w:vAlign w:val="bottom"/>
            <w:shd w:val="clear" w:color="auto" w:fill="D8D8D8"/>
          </w:tcPr>
          <w:p>
            <w:pPr>
              <w:spacing w:after="0"/>
              <w:rPr>
                <w:sz w:val="16"/>
                <w:szCs w:val="16"/>
                <w:color w:val="auto"/>
              </w:rPr>
            </w:pPr>
          </w:p>
        </w:tc>
        <w:tc>
          <w:tcPr>
            <w:tcW w:w="3780" w:type="dxa"/>
            <w:vAlign w:val="bottom"/>
            <w:gridSpan w:val="4"/>
            <w:shd w:val="clear" w:color="auto" w:fill="D8D8D8"/>
          </w:tcPr>
          <w:p>
            <w:pPr>
              <w:ind w:left="40"/>
              <w:spacing w:after="0"/>
              <w:rPr>
                <w:sz w:val="20"/>
                <w:szCs w:val="20"/>
                <w:color w:val="auto"/>
              </w:rPr>
            </w:pPr>
            <w:r>
              <w:rPr>
                <w:rFonts w:ascii="Arial" w:cs="Arial" w:eastAsia="Arial" w:hAnsi="Arial"/>
                <w:sz w:val="17"/>
                <w:szCs w:val="17"/>
                <w:color w:val="auto"/>
              </w:rPr>
              <w:t>•  Rating can range from 0% to 180%.</w:t>
            </w:r>
          </w:p>
        </w:tc>
        <w:tc>
          <w:tcPr>
            <w:tcW w:w="820" w:type="dxa"/>
            <w:vAlign w:val="bottom"/>
            <w:shd w:val="clear" w:color="auto" w:fill="D8D8D8"/>
          </w:tcPr>
          <w:p>
            <w:pPr>
              <w:spacing w:after="0"/>
              <w:rPr>
                <w:sz w:val="16"/>
                <w:szCs w:val="16"/>
                <w:color w:val="auto"/>
              </w:rPr>
            </w:pPr>
          </w:p>
        </w:tc>
        <w:tc>
          <w:tcPr>
            <w:tcW w:w="740" w:type="dxa"/>
            <w:vAlign w:val="bottom"/>
            <w:shd w:val="clear" w:color="auto" w:fill="D8D8D8"/>
          </w:tcPr>
          <w:p>
            <w:pPr>
              <w:spacing w:after="0"/>
              <w:rPr>
                <w:sz w:val="16"/>
                <w:szCs w:val="16"/>
                <w:color w:val="auto"/>
              </w:rPr>
            </w:pPr>
          </w:p>
        </w:tc>
        <w:tc>
          <w:tcPr>
            <w:tcW w:w="120" w:type="dxa"/>
            <w:vAlign w:val="bottom"/>
            <w:shd w:val="clear" w:color="auto" w:fill="D8D8D8"/>
          </w:tcPr>
          <w:p>
            <w:pPr>
              <w:spacing w:after="0"/>
              <w:rPr>
                <w:sz w:val="16"/>
                <w:szCs w:val="16"/>
                <w:color w:val="auto"/>
              </w:rPr>
            </w:pPr>
          </w:p>
        </w:tc>
        <w:tc>
          <w:tcPr>
            <w:tcW w:w="660" w:type="dxa"/>
            <w:vAlign w:val="bottom"/>
            <w:shd w:val="clear" w:color="auto" w:fill="D8D8D8"/>
          </w:tcPr>
          <w:p>
            <w:pPr>
              <w:spacing w:after="0"/>
              <w:rPr>
                <w:sz w:val="16"/>
                <w:szCs w:val="16"/>
                <w:color w:val="auto"/>
              </w:rPr>
            </w:pPr>
          </w:p>
        </w:tc>
        <w:tc>
          <w:tcPr>
            <w:tcW w:w="580" w:type="dxa"/>
            <w:vAlign w:val="bottom"/>
            <w:shd w:val="clear" w:color="auto" w:fill="D8D8D8"/>
          </w:tcPr>
          <w:p>
            <w:pPr>
              <w:spacing w:after="0"/>
              <w:rPr>
                <w:sz w:val="16"/>
                <w:szCs w:val="16"/>
                <w:color w:val="auto"/>
              </w:rPr>
            </w:pPr>
          </w:p>
        </w:tc>
        <w:tc>
          <w:tcPr>
            <w:tcW w:w="280" w:type="dxa"/>
            <w:vAlign w:val="bottom"/>
            <w:shd w:val="clear" w:color="auto" w:fill="D8D8D8"/>
          </w:tcPr>
          <w:p>
            <w:pPr>
              <w:spacing w:after="0"/>
              <w:rPr>
                <w:sz w:val="16"/>
                <w:szCs w:val="16"/>
                <w:color w:val="auto"/>
              </w:rPr>
            </w:pPr>
          </w:p>
        </w:tc>
        <w:tc>
          <w:tcPr>
            <w:tcW w:w="680" w:type="dxa"/>
            <w:vAlign w:val="bottom"/>
            <w:shd w:val="clear" w:color="auto" w:fill="D8D8D8"/>
          </w:tcPr>
          <w:p>
            <w:pPr>
              <w:spacing w:after="0"/>
              <w:rPr>
                <w:sz w:val="16"/>
                <w:szCs w:val="16"/>
                <w:color w:val="auto"/>
              </w:rPr>
            </w:pPr>
          </w:p>
        </w:tc>
        <w:tc>
          <w:tcPr>
            <w:tcW w:w="860" w:type="dxa"/>
            <w:vAlign w:val="bottom"/>
            <w:shd w:val="clear" w:color="auto" w:fill="D8D8D8"/>
          </w:tcPr>
          <w:p>
            <w:pPr>
              <w:spacing w:after="0"/>
              <w:rPr>
                <w:sz w:val="16"/>
                <w:szCs w:val="16"/>
                <w:color w:val="auto"/>
              </w:rPr>
            </w:pPr>
          </w:p>
        </w:tc>
        <w:tc>
          <w:tcPr>
            <w:tcW w:w="5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680" w:type="dxa"/>
            <w:vAlign w:val="bottom"/>
            <w:gridSpan w:val="2"/>
            <w:shd w:val="clear" w:color="auto" w:fill="D8D8D8"/>
          </w:tcPr>
          <w:p>
            <w:pPr>
              <w:spacing w:after="0"/>
              <w:rPr>
                <w:sz w:val="20"/>
                <w:szCs w:val="20"/>
                <w:color w:val="auto"/>
              </w:rPr>
            </w:pPr>
            <w:r>
              <w:rPr>
                <w:rFonts w:ascii="Arial" w:cs="Arial" w:eastAsia="Arial" w:hAnsi="Arial"/>
                <w:sz w:val="17"/>
                <w:szCs w:val="17"/>
                <w:color w:val="auto"/>
                <w:w w:val="99"/>
              </w:rPr>
              <w:t>Business Unit Ratings</w:t>
            </w:r>
          </w:p>
        </w:tc>
        <w:tc>
          <w:tcPr>
            <w:tcW w:w="360" w:type="dxa"/>
            <w:vAlign w:val="bottom"/>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6980" w:type="dxa"/>
            <w:vAlign w:val="bottom"/>
            <w:gridSpan w:val="10"/>
            <w:vMerge w:val="restart"/>
            <w:shd w:val="clear" w:color="auto" w:fill="D8D8D8"/>
          </w:tcPr>
          <w:p>
            <w:pPr>
              <w:ind w:left="40"/>
              <w:spacing w:after="0"/>
              <w:rPr>
                <w:sz w:val="20"/>
                <w:szCs w:val="20"/>
                <w:color w:val="auto"/>
              </w:rPr>
            </w:pPr>
            <w:r>
              <w:rPr>
                <w:rFonts w:ascii="Arial" w:cs="Arial" w:eastAsia="Arial" w:hAnsi="Arial"/>
                <w:sz w:val="17"/>
                <w:szCs w:val="17"/>
                <w:color w:val="auto"/>
                <w:w w:val="98"/>
              </w:rPr>
              <w:t>•  The Committee approved the following financial metrics to measure business performance:</w:t>
            </w:r>
          </w:p>
        </w:tc>
        <w:tc>
          <w:tcPr>
            <w:tcW w:w="680" w:type="dxa"/>
            <w:vAlign w:val="bottom"/>
            <w:shd w:val="clear" w:color="auto" w:fill="D8D8D8"/>
          </w:tcPr>
          <w:p>
            <w:pPr>
              <w:spacing w:after="0"/>
              <w:rPr>
                <w:sz w:val="17"/>
                <w:szCs w:val="17"/>
                <w:color w:val="auto"/>
              </w:rPr>
            </w:pPr>
          </w:p>
        </w:tc>
        <w:tc>
          <w:tcPr>
            <w:tcW w:w="860" w:type="dxa"/>
            <w:vAlign w:val="bottom"/>
            <w:shd w:val="clear" w:color="auto" w:fill="D8D8D8"/>
          </w:tcPr>
          <w:p>
            <w:pPr>
              <w:spacing w:after="0"/>
              <w:rPr>
                <w:sz w:val="17"/>
                <w:szCs w:val="17"/>
                <w:color w:val="auto"/>
              </w:rPr>
            </w:pPr>
          </w:p>
        </w:tc>
        <w:tc>
          <w:tcPr>
            <w:tcW w:w="56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620" w:type="dxa"/>
            <w:vAlign w:val="bottom"/>
            <w:shd w:val="clear" w:color="auto" w:fill="D8D8D8"/>
          </w:tcPr>
          <w:p>
            <w:pPr>
              <w:spacing w:after="0"/>
              <w:rPr>
                <w:sz w:val="6"/>
                <w:szCs w:val="6"/>
                <w:color w:val="auto"/>
              </w:rPr>
            </w:pPr>
          </w:p>
        </w:tc>
        <w:tc>
          <w:tcPr>
            <w:tcW w:w="1060" w:type="dxa"/>
            <w:vAlign w:val="bottom"/>
            <w:shd w:val="clear" w:color="auto" w:fill="D8D8D8"/>
          </w:tcPr>
          <w:p>
            <w:pPr>
              <w:spacing w:after="0"/>
              <w:rPr>
                <w:sz w:val="6"/>
                <w:szCs w:val="6"/>
                <w:color w:val="auto"/>
              </w:rPr>
            </w:pPr>
          </w:p>
        </w:tc>
        <w:tc>
          <w:tcPr>
            <w:tcW w:w="360" w:type="dxa"/>
            <w:vAlign w:val="bottom"/>
            <w:shd w:val="clear" w:color="auto" w:fill="D8D8D8"/>
          </w:tcPr>
          <w:p>
            <w:pPr>
              <w:spacing w:after="0"/>
              <w:rPr>
                <w:sz w:val="6"/>
                <w:szCs w:val="6"/>
                <w:color w:val="auto"/>
              </w:rPr>
            </w:pPr>
          </w:p>
        </w:tc>
        <w:tc>
          <w:tcPr>
            <w:tcW w:w="200" w:type="dxa"/>
            <w:vAlign w:val="bottom"/>
            <w:shd w:val="clear" w:color="auto" w:fill="D8D8D8"/>
          </w:tcPr>
          <w:p>
            <w:pPr>
              <w:spacing w:after="0"/>
              <w:rPr>
                <w:sz w:val="6"/>
                <w:szCs w:val="6"/>
                <w:color w:val="auto"/>
              </w:rPr>
            </w:pPr>
          </w:p>
        </w:tc>
        <w:tc>
          <w:tcPr>
            <w:tcW w:w="100" w:type="dxa"/>
            <w:vAlign w:val="bottom"/>
            <w:shd w:val="clear" w:color="auto" w:fill="D8D8D8"/>
          </w:tcPr>
          <w:p>
            <w:pPr>
              <w:spacing w:after="0"/>
              <w:rPr>
                <w:sz w:val="6"/>
                <w:szCs w:val="6"/>
                <w:color w:val="auto"/>
              </w:rPr>
            </w:pPr>
          </w:p>
        </w:tc>
        <w:tc>
          <w:tcPr>
            <w:tcW w:w="6980" w:type="dxa"/>
            <w:vAlign w:val="bottom"/>
            <w:gridSpan w:val="10"/>
            <w:vMerge w:val="continue"/>
            <w:shd w:val="clear" w:color="auto" w:fill="D8D8D8"/>
          </w:tcPr>
          <w:p>
            <w:pPr>
              <w:spacing w:after="0"/>
              <w:rPr>
                <w:sz w:val="6"/>
                <w:szCs w:val="6"/>
                <w:color w:val="auto"/>
              </w:rPr>
            </w:pPr>
          </w:p>
        </w:tc>
        <w:tc>
          <w:tcPr>
            <w:tcW w:w="680" w:type="dxa"/>
            <w:vAlign w:val="bottom"/>
            <w:shd w:val="clear" w:color="auto" w:fill="D8D8D8"/>
          </w:tcPr>
          <w:p>
            <w:pPr>
              <w:spacing w:after="0"/>
              <w:rPr>
                <w:sz w:val="6"/>
                <w:szCs w:val="6"/>
                <w:color w:val="auto"/>
              </w:rPr>
            </w:pPr>
          </w:p>
        </w:tc>
        <w:tc>
          <w:tcPr>
            <w:tcW w:w="860" w:type="dxa"/>
            <w:vAlign w:val="bottom"/>
            <w:shd w:val="clear" w:color="auto" w:fill="D8D8D8"/>
          </w:tcPr>
          <w:p>
            <w:pPr>
              <w:spacing w:after="0"/>
              <w:rPr>
                <w:sz w:val="6"/>
                <w:szCs w:val="6"/>
                <w:color w:val="auto"/>
              </w:rPr>
            </w:pPr>
          </w:p>
        </w:tc>
        <w:tc>
          <w:tcPr>
            <w:tcW w:w="56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620" w:type="dxa"/>
            <w:vAlign w:val="bottom"/>
            <w:shd w:val="clear" w:color="auto" w:fill="D8D8D8"/>
          </w:tcPr>
          <w:p>
            <w:pPr>
              <w:spacing w:after="0"/>
              <w:rPr>
                <w:sz w:val="12"/>
                <w:szCs w:val="12"/>
                <w:color w:val="auto"/>
              </w:rPr>
            </w:pPr>
          </w:p>
        </w:tc>
        <w:tc>
          <w:tcPr>
            <w:tcW w:w="1060" w:type="dxa"/>
            <w:vAlign w:val="bottom"/>
            <w:shd w:val="clear" w:color="auto" w:fill="D8D8D8"/>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100" w:type="dxa"/>
            <w:vAlign w:val="bottom"/>
            <w:vMerge w:val="restart"/>
            <w:shd w:val="clear" w:color="auto" w:fill="D8D8D8"/>
          </w:tcPr>
          <w:p>
            <w:pPr>
              <w:spacing w:after="0"/>
              <w:rPr>
                <w:sz w:val="12"/>
                <w:szCs w:val="12"/>
                <w:color w:val="auto"/>
              </w:rPr>
            </w:pPr>
          </w:p>
        </w:tc>
        <w:tc>
          <w:tcPr>
            <w:tcW w:w="660" w:type="dxa"/>
            <w:vAlign w:val="bottom"/>
            <w:vMerge w:val="restart"/>
            <w:shd w:val="clear" w:color="auto" w:fill="D8D8D8"/>
          </w:tcPr>
          <w:p>
            <w:pPr>
              <w:spacing w:after="0"/>
              <w:rPr>
                <w:sz w:val="20"/>
                <w:szCs w:val="20"/>
                <w:color w:val="auto"/>
              </w:rPr>
            </w:pPr>
            <w:r>
              <w:rPr>
                <w:rFonts w:ascii="Arial" w:cs="Arial" w:eastAsia="Arial" w:hAnsi="Arial"/>
                <w:sz w:val="13"/>
                <w:szCs w:val="13"/>
                <w:b w:val="1"/>
                <w:bCs w:val="1"/>
                <w:color w:val="auto"/>
              </w:rPr>
              <w:t>Measure</w:t>
            </w:r>
          </w:p>
        </w:tc>
        <w:tc>
          <w:tcPr>
            <w:tcW w:w="3120" w:type="dxa"/>
            <w:vAlign w:val="bottom"/>
            <w:gridSpan w:val="3"/>
            <w:vMerge w:val="restart"/>
            <w:shd w:val="clear" w:color="auto" w:fill="D8D8D8"/>
          </w:tcPr>
          <w:p>
            <w:pPr>
              <w:spacing w:after="0"/>
              <w:rPr>
                <w:sz w:val="12"/>
                <w:szCs w:val="12"/>
                <w:color w:val="auto"/>
              </w:rPr>
            </w:pPr>
          </w:p>
        </w:tc>
        <w:tc>
          <w:tcPr>
            <w:tcW w:w="820" w:type="dxa"/>
            <w:vAlign w:val="bottom"/>
            <w:shd w:val="clear" w:color="auto" w:fill="D8D8D8"/>
          </w:tcPr>
          <w:p>
            <w:pPr>
              <w:spacing w:after="0"/>
              <w:rPr>
                <w:sz w:val="12"/>
                <w:szCs w:val="12"/>
                <w:color w:val="auto"/>
              </w:rPr>
            </w:pPr>
          </w:p>
        </w:tc>
        <w:tc>
          <w:tcPr>
            <w:tcW w:w="74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1520" w:type="dxa"/>
            <w:vAlign w:val="bottom"/>
            <w:gridSpan w:val="3"/>
            <w:vMerge w:val="restart"/>
            <w:shd w:val="clear" w:color="auto" w:fill="D8D8D8"/>
          </w:tcPr>
          <w:p>
            <w:pPr>
              <w:jc w:val="center"/>
              <w:ind w:right="380"/>
              <w:spacing w:after="0"/>
              <w:rPr>
                <w:sz w:val="20"/>
                <w:szCs w:val="20"/>
                <w:color w:val="auto"/>
              </w:rPr>
            </w:pPr>
            <w:r>
              <w:rPr>
                <w:rFonts w:ascii="Arial" w:cs="Arial" w:eastAsia="Arial" w:hAnsi="Arial"/>
                <w:sz w:val="13"/>
                <w:szCs w:val="13"/>
                <w:b w:val="1"/>
                <w:bCs w:val="1"/>
                <w:color w:val="auto"/>
                <w:w w:val="98"/>
              </w:rPr>
              <w:t>Weighting</w:t>
            </w:r>
          </w:p>
        </w:tc>
        <w:tc>
          <w:tcPr>
            <w:tcW w:w="680" w:type="dxa"/>
            <w:vAlign w:val="bottom"/>
            <w:shd w:val="clear" w:color="auto" w:fill="D8D8D8"/>
          </w:tcPr>
          <w:p>
            <w:pPr>
              <w:spacing w:after="0"/>
              <w:rPr>
                <w:sz w:val="12"/>
                <w:szCs w:val="12"/>
                <w:color w:val="auto"/>
              </w:rPr>
            </w:pPr>
          </w:p>
        </w:tc>
        <w:tc>
          <w:tcPr>
            <w:tcW w:w="860" w:type="dxa"/>
            <w:vAlign w:val="bottom"/>
            <w:shd w:val="clear" w:color="auto" w:fill="D8D8D8"/>
          </w:tcPr>
          <w:p>
            <w:pPr>
              <w:spacing w:after="0"/>
              <w:rPr>
                <w:sz w:val="12"/>
                <w:szCs w:val="12"/>
                <w:color w:val="auto"/>
              </w:rPr>
            </w:pPr>
          </w:p>
        </w:tc>
        <w:tc>
          <w:tcPr>
            <w:tcW w:w="5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Borders>
              <w:bottom w:val="single" w:sz="8" w:color="D8D8D8"/>
            </w:tcBorders>
            <w:shd w:val="clear" w:color="auto" w:fill="D8D8D8"/>
          </w:tcPr>
          <w:p>
            <w:pPr>
              <w:spacing w:after="0"/>
              <w:rPr>
                <w:sz w:val="13"/>
                <w:szCs w:val="13"/>
                <w:color w:val="auto"/>
              </w:rPr>
            </w:pPr>
          </w:p>
        </w:tc>
        <w:tc>
          <w:tcPr>
            <w:tcW w:w="100" w:type="dxa"/>
            <w:vAlign w:val="bottom"/>
            <w:tcBorders>
              <w:bottom w:val="single" w:sz="8" w:color="D8D8D8"/>
            </w:tcBorders>
            <w:vMerge w:val="continue"/>
            <w:shd w:val="clear" w:color="auto" w:fill="D8D8D8"/>
          </w:tcPr>
          <w:p>
            <w:pPr>
              <w:spacing w:after="0"/>
              <w:rPr>
                <w:sz w:val="13"/>
                <w:szCs w:val="13"/>
                <w:color w:val="auto"/>
              </w:rPr>
            </w:pPr>
          </w:p>
        </w:tc>
        <w:tc>
          <w:tcPr>
            <w:tcW w:w="660" w:type="dxa"/>
            <w:vAlign w:val="bottom"/>
            <w:tcBorders>
              <w:bottom w:val="single" w:sz="8" w:color="auto"/>
            </w:tcBorders>
            <w:vMerge w:val="continue"/>
            <w:shd w:val="clear" w:color="auto" w:fill="D8D8D8"/>
          </w:tcPr>
          <w:p>
            <w:pPr>
              <w:spacing w:after="0"/>
              <w:rPr>
                <w:sz w:val="13"/>
                <w:szCs w:val="13"/>
                <w:color w:val="auto"/>
              </w:rPr>
            </w:pPr>
          </w:p>
        </w:tc>
        <w:tc>
          <w:tcPr>
            <w:tcW w:w="3120" w:type="dxa"/>
            <w:vAlign w:val="bottom"/>
            <w:tcBorders>
              <w:bottom w:val="single" w:sz="8" w:color="D8D8D8"/>
            </w:tcBorders>
            <w:gridSpan w:val="3"/>
            <w:vMerge w:val="continue"/>
            <w:shd w:val="clear" w:color="auto" w:fill="D8D8D8"/>
          </w:tcPr>
          <w:p>
            <w:pPr>
              <w:spacing w:after="0"/>
              <w:rPr>
                <w:sz w:val="13"/>
                <w:szCs w:val="13"/>
                <w:color w:val="auto"/>
              </w:rPr>
            </w:pPr>
          </w:p>
        </w:tc>
        <w:tc>
          <w:tcPr>
            <w:tcW w:w="820" w:type="dxa"/>
            <w:vAlign w:val="bottom"/>
            <w:tcBorders>
              <w:bottom w:val="single" w:sz="8" w:color="D8D8D8"/>
            </w:tcBorders>
            <w:shd w:val="clear" w:color="auto" w:fill="D8D8D8"/>
          </w:tcPr>
          <w:p>
            <w:pPr>
              <w:spacing w:after="0"/>
              <w:rPr>
                <w:sz w:val="13"/>
                <w:szCs w:val="13"/>
                <w:color w:val="auto"/>
              </w:rPr>
            </w:pPr>
          </w:p>
        </w:tc>
        <w:tc>
          <w:tcPr>
            <w:tcW w:w="740" w:type="dxa"/>
            <w:vAlign w:val="bottom"/>
            <w:tcBorders>
              <w:bottom w:val="single" w:sz="8" w:color="D8D8D8"/>
            </w:tcBorders>
            <w:shd w:val="clear" w:color="auto" w:fill="D8D8D8"/>
          </w:tcPr>
          <w:p>
            <w:pPr>
              <w:spacing w:after="0"/>
              <w:rPr>
                <w:sz w:val="13"/>
                <w:szCs w:val="13"/>
                <w:color w:val="auto"/>
              </w:rPr>
            </w:pPr>
          </w:p>
        </w:tc>
        <w:tc>
          <w:tcPr>
            <w:tcW w:w="120" w:type="dxa"/>
            <w:vAlign w:val="bottom"/>
            <w:tcBorders>
              <w:bottom w:val="single" w:sz="8" w:color="D8D8D8"/>
            </w:tcBorders>
            <w:shd w:val="clear" w:color="auto" w:fill="D8D8D8"/>
          </w:tcPr>
          <w:p>
            <w:pPr>
              <w:spacing w:after="0"/>
              <w:rPr>
                <w:sz w:val="13"/>
                <w:szCs w:val="13"/>
                <w:color w:val="auto"/>
              </w:rPr>
            </w:pPr>
          </w:p>
        </w:tc>
        <w:tc>
          <w:tcPr>
            <w:tcW w:w="1520" w:type="dxa"/>
            <w:vAlign w:val="bottom"/>
            <w:tcBorders>
              <w:bottom w:val="single" w:sz="8" w:color="D8D8D8"/>
            </w:tcBorders>
            <w:gridSpan w:val="3"/>
            <w:vMerge w:val="continue"/>
            <w:shd w:val="clear" w:color="auto" w:fill="D8D8D8"/>
          </w:tcPr>
          <w:p>
            <w:pPr>
              <w:spacing w:after="0"/>
              <w:rPr>
                <w:sz w:val="13"/>
                <w:szCs w:val="13"/>
                <w:color w:val="auto"/>
              </w:rPr>
            </w:pPr>
          </w:p>
        </w:tc>
        <w:tc>
          <w:tcPr>
            <w:tcW w:w="680" w:type="dxa"/>
            <w:vAlign w:val="bottom"/>
            <w:tcBorders>
              <w:bottom w:val="single" w:sz="8" w:color="D8D8D8"/>
            </w:tcBorders>
            <w:shd w:val="clear" w:color="auto" w:fill="D8D8D8"/>
          </w:tcPr>
          <w:p>
            <w:pPr>
              <w:spacing w:after="0"/>
              <w:rPr>
                <w:sz w:val="13"/>
                <w:szCs w:val="13"/>
                <w:color w:val="auto"/>
              </w:rPr>
            </w:pPr>
          </w:p>
        </w:tc>
        <w:tc>
          <w:tcPr>
            <w:tcW w:w="860" w:type="dxa"/>
            <w:vAlign w:val="bottom"/>
            <w:tcBorders>
              <w:bottom w:val="single" w:sz="8" w:color="D8D8D8"/>
            </w:tcBorders>
            <w:shd w:val="clear" w:color="auto" w:fill="D8D8D8"/>
          </w:tcPr>
          <w:p>
            <w:pPr>
              <w:spacing w:after="0"/>
              <w:rPr>
                <w:sz w:val="13"/>
                <w:szCs w:val="13"/>
                <w:color w:val="auto"/>
              </w:rPr>
            </w:pPr>
          </w:p>
        </w:tc>
        <w:tc>
          <w:tcPr>
            <w:tcW w:w="560" w:type="dxa"/>
            <w:vAlign w:val="bottom"/>
            <w:tcBorders>
              <w:bottom w:val="single" w:sz="8" w:color="D8D8D8"/>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top w:val="single" w:sz="8" w:color="D8D8D8"/>
            </w:tcBorders>
            <w:shd w:val="clear" w:color="auto" w:fill="D8D8D8"/>
          </w:tcPr>
          <w:p>
            <w:pPr>
              <w:spacing w:after="0"/>
              <w:rPr>
                <w:sz w:val="15"/>
                <w:szCs w:val="15"/>
                <w:color w:val="auto"/>
              </w:rPr>
            </w:pPr>
          </w:p>
        </w:tc>
        <w:tc>
          <w:tcPr>
            <w:tcW w:w="3880" w:type="dxa"/>
            <w:vAlign w:val="bottom"/>
            <w:tcBorders>
              <w:top w:val="single" w:sz="8" w:color="D8D8D8"/>
            </w:tcBorders>
            <w:gridSpan w:val="5"/>
            <w:shd w:val="clear" w:color="auto" w:fill="D8D8D8"/>
          </w:tcPr>
          <w:p>
            <w:pPr>
              <w:ind w:left="100"/>
              <w:spacing w:after="0" w:line="177" w:lineRule="exact"/>
              <w:rPr>
                <w:sz w:val="20"/>
                <w:szCs w:val="20"/>
                <w:color w:val="auto"/>
              </w:rPr>
            </w:pPr>
            <w:r>
              <w:rPr>
                <w:rFonts w:ascii="Arial" w:cs="Arial" w:eastAsia="Arial" w:hAnsi="Arial"/>
                <w:sz w:val="17"/>
                <w:szCs w:val="17"/>
                <w:color w:val="auto"/>
              </w:rPr>
              <w:t>Organic Net Revenue Growth</w:t>
            </w:r>
          </w:p>
        </w:tc>
        <w:tc>
          <w:tcPr>
            <w:tcW w:w="820" w:type="dxa"/>
            <w:vAlign w:val="bottom"/>
            <w:tcBorders>
              <w:top w:val="single" w:sz="8" w:color="D8D8D8"/>
            </w:tcBorders>
            <w:shd w:val="clear" w:color="auto" w:fill="D8D8D8"/>
          </w:tcPr>
          <w:p>
            <w:pPr>
              <w:spacing w:after="0"/>
              <w:rPr>
                <w:sz w:val="15"/>
                <w:szCs w:val="15"/>
                <w:color w:val="auto"/>
              </w:rPr>
            </w:pPr>
          </w:p>
        </w:tc>
        <w:tc>
          <w:tcPr>
            <w:tcW w:w="740" w:type="dxa"/>
            <w:vAlign w:val="bottom"/>
            <w:tcBorders>
              <w:top w:val="single" w:sz="8" w:color="D8D8D8"/>
            </w:tcBorders>
            <w:shd w:val="clear" w:color="auto" w:fill="D8D8D8"/>
          </w:tcPr>
          <w:p>
            <w:pPr>
              <w:spacing w:after="0"/>
              <w:rPr>
                <w:sz w:val="15"/>
                <w:szCs w:val="15"/>
                <w:color w:val="auto"/>
              </w:rPr>
            </w:pPr>
          </w:p>
        </w:tc>
        <w:tc>
          <w:tcPr>
            <w:tcW w:w="120" w:type="dxa"/>
            <w:vAlign w:val="bottom"/>
            <w:tcBorders>
              <w:top w:val="single" w:sz="8" w:color="auto"/>
            </w:tcBorders>
            <w:shd w:val="clear" w:color="auto" w:fill="D8D8D8"/>
          </w:tcPr>
          <w:p>
            <w:pPr>
              <w:spacing w:after="0"/>
              <w:rPr>
                <w:sz w:val="15"/>
                <w:szCs w:val="15"/>
                <w:color w:val="auto"/>
              </w:rPr>
            </w:pPr>
          </w:p>
        </w:tc>
        <w:tc>
          <w:tcPr>
            <w:tcW w:w="1240" w:type="dxa"/>
            <w:vAlign w:val="bottom"/>
            <w:tcBorders>
              <w:top w:val="single" w:sz="8" w:color="auto"/>
            </w:tcBorders>
            <w:gridSpan w:val="2"/>
            <w:shd w:val="clear" w:color="auto" w:fill="D8D8D8"/>
          </w:tcPr>
          <w:p>
            <w:pPr>
              <w:jc w:val="center"/>
              <w:ind w:right="120"/>
              <w:spacing w:after="0" w:line="177" w:lineRule="exact"/>
              <w:rPr>
                <w:sz w:val="20"/>
                <w:szCs w:val="20"/>
                <w:color w:val="auto"/>
              </w:rPr>
            </w:pPr>
            <w:r>
              <w:rPr>
                <w:rFonts w:ascii="Arial" w:cs="Arial" w:eastAsia="Arial" w:hAnsi="Arial"/>
                <w:sz w:val="17"/>
                <w:szCs w:val="17"/>
                <w:color w:val="auto"/>
                <w:w w:val="93"/>
              </w:rPr>
              <w:t>45%</w:t>
            </w:r>
          </w:p>
        </w:tc>
        <w:tc>
          <w:tcPr>
            <w:tcW w:w="280" w:type="dxa"/>
            <w:vAlign w:val="bottom"/>
            <w:tcBorders>
              <w:top w:val="single" w:sz="8" w:color="D8D8D8"/>
            </w:tcBorders>
            <w:shd w:val="clear" w:color="auto" w:fill="D8D8D8"/>
          </w:tcPr>
          <w:p>
            <w:pPr>
              <w:spacing w:after="0"/>
              <w:rPr>
                <w:sz w:val="15"/>
                <w:szCs w:val="15"/>
                <w:color w:val="auto"/>
              </w:rPr>
            </w:pPr>
          </w:p>
        </w:tc>
        <w:tc>
          <w:tcPr>
            <w:tcW w:w="680" w:type="dxa"/>
            <w:vAlign w:val="bottom"/>
            <w:tcBorders>
              <w:top w:val="single" w:sz="8" w:color="D8D8D8"/>
            </w:tcBorders>
            <w:shd w:val="clear" w:color="auto" w:fill="D8D8D8"/>
          </w:tcPr>
          <w:p>
            <w:pPr>
              <w:spacing w:after="0"/>
              <w:rPr>
                <w:sz w:val="15"/>
                <w:szCs w:val="15"/>
                <w:color w:val="auto"/>
              </w:rPr>
            </w:pPr>
          </w:p>
        </w:tc>
        <w:tc>
          <w:tcPr>
            <w:tcW w:w="860" w:type="dxa"/>
            <w:vAlign w:val="bottom"/>
            <w:tcBorders>
              <w:top w:val="single" w:sz="8" w:color="D8D8D8"/>
            </w:tcBorders>
            <w:shd w:val="clear" w:color="auto" w:fill="D8D8D8"/>
          </w:tcPr>
          <w:p>
            <w:pPr>
              <w:spacing w:after="0"/>
              <w:rPr>
                <w:sz w:val="15"/>
                <w:szCs w:val="15"/>
                <w:color w:val="auto"/>
              </w:rPr>
            </w:pPr>
          </w:p>
        </w:tc>
        <w:tc>
          <w:tcPr>
            <w:tcW w:w="560" w:type="dxa"/>
            <w:vAlign w:val="bottom"/>
            <w:tcBorders>
              <w:top w:val="single" w:sz="8" w:color="D8D8D8"/>
            </w:tcBorders>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100" w:type="dxa"/>
            <w:vAlign w:val="bottom"/>
            <w:shd w:val="clear" w:color="auto" w:fill="D8D8D8"/>
          </w:tcPr>
          <w:p>
            <w:pPr>
              <w:spacing w:after="0"/>
              <w:rPr>
                <w:sz w:val="16"/>
                <w:szCs w:val="16"/>
                <w:color w:val="auto"/>
              </w:rPr>
            </w:pPr>
          </w:p>
        </w:tc>
        <w:tc>
          <w:tcPr>
            <w:tcW w:w="3780" w:type="dxa"/>
            <w:vAlign w:val="bottom"/>
            <w:gridSpan w:val="4"/>
            <w:shd w:val="clear" w:color="auto" w:fill="D8D8D8"/>
          </w:tcPr>
          <w:p>
            <w:pPr>
              <w:spacing w:after="0" w:line="192" w:lineRule="exact"/>
              <w:rPr>
                <w:sz w:val="20"/>
                <w:szCs w:val="20"/>
                <w:color w:val="auto"/>
              </w:rPr>
            </w:pPr>
            <w:r>
              <w:rPr>
                <w:rFonts w:ascii="Arial" w:cs="Arial" w:eastAsia="Arial" w:hAnsi="Arial"/>
                <w:sz w:val="17"/>
                <w:szCs w:val="17"/>
                <w:color w:val="auto"/>
              </w:rPr>
              <w:t>Adjusted Operating Income</w:t>
            </w:r>
          </w:p>
        </w:tc>
        <w:tc>
          <w:tcPr>
            <w:tcW w:w="820" w:type="dxa"/>
            <w:vAlign w:val="bottom"/>
            <w:shd w:val="clear" w:color="auto" w:fill="D8D8D8"/>
          </w:tcPr>
          <w:p>
            <w:pPr>
              <w:spacing w:after="0"/>
              <w:rPr>
                <w:sz w:val="16"/>
                <w:szCs w:val="16"/>
                <w:color w:val="auto"/>
              </w:rPr>
            </w:pPr>
          </w:p>
        </w:tc>
        <w:tc>
          <w:tcPr>
            <w:tcW w:w="740" w:type="dxa"/>
            <w:vAlign w:val="bottom"/>
            <w:shd w:val="clear" w:color="auto" w:fill="D8D8D8"/>
          </w:tcPr>
          <w:p>
            <w:pPr>
              <w:spacing w:after="0"/>
              <w:rPr>
                <w:sz w:val="16"/>
                <w:szCs w:val="16"/>
                <w:color w:val="auto"/>
              </w:rPr>
            </w:pPr>
          </w:p>
        </w:tc>
        <w:tc>
          <w:tcPr>
            <w:tcW w:w="120" w:type="dxa"/>
            <w:vAlign w:val="bottom"/>
            <w:shd w:val="clear" w:color="auto" w:fill="D8D8D8"/>
          </w:tcPr>
          <w:p>
            <w:pPr>
              <w:spacing w:after="0"/>
              <w:rPr>
                <w:sz w:val="16"/>
                <w:szCs w:val="16"/>
                <w:color w:val="auto"/>
              </w:rPr>
            </w:pPr>
          </w:p>
        </w:tc>
        <w:tc>
          <w:tcPr>
            <w:tcW w:w="1240" w:type="dxa"/>
            <w:vAlign w:val="bottom"/>
            <w:gridSpan w:val="2"/>
            <w:shd w:val="clear" w:color="auto" w:fill="D8D8D8"/>
          </w:tcPr>
          <w:p>
            <w:pPr>
              <w:jc w:val="center"/>
              <w:ind w:right="120"/>
              <w:spacing w:after="0" w:line="192" w:lineRule="exact"/>
              <w:rPr>
                <w:sz w:val="20"/>
                <w:szCs w:val="20"/>
                <w:color w:val="auto"/>
              </w:rPr>
            </w:pPr>
            <w:r>
              <w:rPr>
                <w:rFonts w:ascii="Arial" w:cs="Arial" w:eastAsia="Arial" w:hAnsi="Arial"/>
                <w:sz w:val="17"/>
                <w:szCs w:val="17"/>
                <w:color w:val="auto"/>
                <w:w w:val="93"/>
              </w:rPr>
              <w:t>35%</w:t>
            </w:r>
          </w:p>
        </w:tc>
        <w:tc>
          <w:tcPr>
            <w:tcW w:w="280" w:type="dxa"/>
            <w:vAlign w:val="bottom"/>
            <w:shd w:val="clear" w:color="auto" w:fill="D8D8D8"/>
          </w:tcPr>
          <w:p>
            <w:pPr>
              <w:spacing w:after="0"/>
              <w:rPr>
                <w:sz w:val="16"/>
                <w:szCs w:val="16"/>
                <w:color w:val="auto"/>
              </w:rPr>
            </w:pPr>
          </w:p>
        </w:tc>
        <w:tc>
          <w:tcPr>
            <w:tcW w:w="680" w:type="dxa"/>
            <w:vAlign w:val="bottom"/>
            <w:shd w:val="clear" w:color="auto" w:fill="D8D8D8"/>
          </w:tcPr>
          <w:p>
            <w:pPr>
              <w:spacing w:after="0"/>
              <w:rPr>
                <w:sz w:val="16"/>
                <w:szCs w:val="16"/>
                <w:color w:val="auto"/>
              </w:rPr>
            </w:pPr>
          </w:p>
        </w:tc>
        <w:tc>
          <w:tcPr>
            <w:tcW w:w="860" w:type="dxa"/>
            <w:vAlign w:val="bottom"/>
            <w:shd w:val="clear" w:color="auto" w:fill="D8D8D8"/>
          </w:tcPr>
          <w:p>
            <w:pPr>
              <w:spacing w:after="0"/>
              <w:rPr>
                <w:sz w:val="16"/>
                <w:szCs w:val="16"/>
                <w:color w:val="auto"/>
              </w:rPr>
            </w:pPr>
          </w:p>
        </w:tc>
        <w:tc>
          <w:tcPr>
            <w:tcW w:w="5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shd w:val="clear" w:color="auto" w:fill="D8D8D8"/>
          </w:tcPr>
          <w:p>
            <w:pPr>
              <w:spacing w:after="0"/>
              <w:rPr>
                <w:sz w:val="16"/>
                <w:szCs w:val="16"/>
                <w:color w:val="auto"/>
              </w:rPr>
            </w:pPr>
          </w:p>
        </w:tc>
        <w:tc>
          <w:tcPr>
            <w:tcW w:w="100" w:type="dxa"/>
            <w:vAlign w:val="bottom"/>
            <w:shd w:val="clear" w:color="auto" w:fill="D8D8D8"/>
          </w:tcPr>
          <w:p>
            <w:pPr>
              <w:spacing w:after="0"/>
              <w:rPr>
                <w:sz w:val="16"/>
                <w:szCs w:val="16"/>
                <w:color w:val="auto"/>
              </w:rPr>
            </w:pPr>
          </w:p>
        </w:tc>
        <w:tc>
          <w:tcPr>
            <w:tcW w:w="3780" w:type="dxa"/>
            <w:vAlign w:val="bottom"/>
            <w:gridSpan w:val="4"/>
            <w:shd w:val="clear" w:color="auto" w:fill="D8D8D8"/>
          </w:tcPr>
          <w:p>
            <w:pPr>
              <w:spacing w:after="0" w:line="192" w:lineRule="exact"/>
              <w:rPr>
                <w:sz w:val="20"/>
                <w:szCs w:val="20"/>
                <w:color w:val="auto"/>
              </w:rPr>
            </w:pPr>
            <w:r>
              <w:rPr>
                <w:rFonts w:ascii="Arial" w:cs="Arial" w:eastAsia="Arial" w:hAnsi="Arial"/>
                <w:sz w:val="17"/>
                <w:szCs w:val="17"/>
                <w:color w:val="auto"/>
              </w:rPr>
              <w:t>Free Cash Flow</w:t>
            </w:r>
          </w:p>
        </w:tc>
        <w:tc>
          <w:tcPr>
            <w:tcW w:w="820" w:type="dxa"/>
            <w:vAlign w:val="bottom"/>
            <w:shd w:val="clear" w:color="auto" w:fill="D8D8D8"/>
          </w:tcPr>
          <w:p>
            <w:pPr>
              <w:spacing w:after="0"/>
              <w:rPr>
                <w:sz w:val="16"/>
                <w:szCs w:val="16"/>
                <w:color w:val="auto"/>
              </w:rPr>
            </w:pPr>
          </w:p>
        </w:tc>
        <w:tc>
          <w:tcPr>
            <w:tcW w:w="740" w:type="dxa"/>
            <w:vAlign w:val="bottom"/>
            <w:shd w:val="clear" w:color="auto" w:fill="D8D8D8"/>
          </w:tcPr>
          <w:p>
            <w:pPr>
              <w:spacing w:after="0"/>
              <w:rPr>
                <w:sz w:val="16"/>
                <w:szCs w:val="16"/>
                <w:color w:val="auto"/>
              </w:rPr>
            </w:pPr>
          </w:p>
        </w:tc>
        <w:tc>
          <w:tcPr>
            <w:tcW w:w="120" w:type="dxa"/>
            <w:vAlign w:val="bottom"/>
            <w:shd w:val="clear" w:color="auto" w:fill="D8D8D8"/>
          </w:tcPr>
          <w:p>
            <w:pPr>
              <w:spacing w:after="0"/>
              <w:rPr>
                <w:sz w:val="16"/>
                <w:szCs w:val="16"/>
                <w:color w:val="auto"/>
              </w:rPr>
            </w:pPr>
          </w:p>
        </w:tc>
        <w:tc>
          <w:tcPr>
            <w:tcW w:w="1240" w:type="dxa"/>
            <w:vAlign w:val="bottom"/>
            <w:gridSpan w:val="2"/>
            <w:shd w:val="clear" w:color="auto" w:fill="D8D8D8"/>
          </w:tcPr>
          <w:p>
            <w:pPr>
              <w:jc w:val="center"/>
              <w:ind w:right="120"/>
              <w:spacing w:after="0" w:line="192" w:lineRule="exact"/>
              <w:rPr>
                <w:sz w:val="20"/>
                <w:szCs w:val="20"/>
                <w:color w:val="auto"/>
              </w:rPr>
            </w:pPr>
            <w:r>
              <w:rPr>
                <w:rFonts w:ascii="Arial" w:cs="Arial" w:eastAsia="Arial" w:hAnsi="Arial"/>
                <w:sz w:val="17"/>
                <w:szCs w:val="17"/>
                <w:color w:val="auto"/>
                <w:w w:val="93"/>
              </w:rPr>
              <w:t>20%</w:t>
            </w:r>
          </w:p>
        </w:tc>
        <w:tc>
          <w:tcPr>
            <w:tcW w:w="280" w:type="dxa"/>
            <w:vAlign w:val="bottom"/>
            <w:shd w:val="clear" w:color="auto" w:fill="D8D8D8"/>
          </w:tcPr>
          <w:p>
            <w:pPr>
              <w:spacing w:after="0"/>
              <w:rPr>
                <w:sz w:val="16"/>
                <w:szCs w:val="16"/>
                <w:color w:val="auto"/>
              </w:rPr>
            </w:pPr>
          </w:p>
        </w:tc>
        <w:tc>
          <w:tcPr>
            <w:tcW w:w="680" w:type="dxa"/>
            <w:vAlign w:val="bottom"/>
            <w:shd w:val="clear" w:color="auto" w:fill="D8D8D8"/>
          </w:tcPr>
          <w:p>
            <w:pPr>
              <w:spacing w:after="0"/>
              <w:rPr>
                <w:sz w:val="16"/>
                <w:szCs w:val="16"/>
                <w:color w:val="auto"/>
              </w:rPr>
            </w:pPr>
          </w:p>
        </w:tc>
        <w:tc>
          <w:tcPr>
            <w:tcW w:w="860" w:type="dxa"/>
            <w:vAlign w:val="bottom"/>
            <w:shd w:val="clear" w:color="auto" w:fill="D8D8D8"/>
          </w:tcPr>
          <w:p>
            <w:pPr>
              <w:spacing w:after="0"/>
              <w:rPr>
                <w:sz w:val="16"/>
                <w:szCs w:val="16"/>
                <w:color w:val="auto"/>
              </w:rPr>
            </w:pPr>
          </w:p>
        </w:tc>
        <w:tc>
          <w:tcPr>
            <w:tcW w:w="5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-860425</wp:posOffset>
            </wp:positionV>
            <wp:extent cx="7253605" cy="171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1713865"/>
                    </a:xfrm>
                    <a:prstGeom prst="rect">
                      <a:avLst/>
                    </a:prstGeom>
                    <a:noFill/>
                  </pic:spPr>
                </pic:pic>
              </a:graphicData>
            </a:graphic>
          </wp:anchor>
        </w:drawing>
      </w:r>
    </w:p>
    <w:p>
      <w:pPr>
        <w:spacing w:after="0" w:line="85" w:lineRule="exact"/>
        <w:rPr>
          <w:sz w:val="20"/>
          <w:szCs w:val="20"/>
          <w:color w:val="auto"/>
        </w:rPr>
      </w:pPr>
    </w:p>
    <w:p>
      <w:pPr>
        <w:ind w:left="2500" w:right="60" w:hanging="306"/>
        <w:spacing w:after="0" w:line="239" w:lineRule="auto"/>
        <w:tabs>
          <w:tab w:leader="none" w:pos="2480" w:val="left"/>
        </w:tabs>
        <w:rPr>
          <w:sz w:val="20"/>
          <w:szCs w:val="20"/>
          <w:color w:val="auto"/>
        </w:rPr>
      </w:pPr>
      <w:r>
        <w:rPr>
          <w:rFonts w:ascii="Arial" w:cs="Arial" w:eastAsia="Arial" w:hAnsi="Arial"/>
          <w:sz w:val="17"/>
          <w:szCs w:val="17"/>
          <w:color w:val="auto"/>
        </w:rPr>
        <w:t>•</w:t>
        <w:tab/>
        <w:t>The Committee chose these metrics because of their high correlation to Total Shareholder Return. We will continue using these or similar metrics in our 2012 Annual Cash Incentive Program design. These measures reinforce the importance of driving both top-line and bottom-line performance while generating positive cash flow.</w:t>
      </w:r>
    </w:p>
    <w:p>
      <w:pPr>
        <w:spacing w:after="0" w:line="68" w:lineRule="exact"/>
        <w:rPr>
          <w:sz w:val="20"/>
          <w:szCs w:val="20"/>
          <w:color w:val="auto"/>
        </w:rPr>
      </w:pPr>
    </w:p>
    <w:p>
      <w:pPr>
        <w:ind w:left="2500" w:right="80" w:hanging="306"/>
        <w:spacing w:after="0" w:line="239" w:lineRule="auto"/>
        <w:tabs>
          <w:tab w:leader="none" w:pos="2480" w:val="left"/>
        </w:tabs>
        <w:rPr>
          <w:sz w:val="20"/>
          <w:szCs w:val="20"/>
          <w:color w:val="auto"/>
        </w:rPr>
      </w:pPr>
      <w:r>
        <w:rPr>
          <w:rFonts w:ascii="Arial" w:cs="Arial" w:eastAsia="Arial" w:hAnsi="Arial"/>
          <w:sz w:val="17"/>
          <w:szCs w:val="17"/>
          <w:color w:val="auto"/>
        </w:rPr>
        <w:t>•</w:t>
        <w:tab/>
        <w:t>The Committee aligns performance targets to a business unit rating of 100%. When performance is above the targets, the business unit rating would be above 100%, and for performance below the targets, the business unit rating would be below 100%.</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40"/>
          </w:cols>
          <w:pgMar w:left="240" w:top="444" w:right="219" w:bottom="1440" w:gutter="0" w:footer="0" w:header="0"/>
          <w:type w:val="continuous"/>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gridSpan w:val="2"/>
          </w:tcPr>
          <w:p>
            <w:pPr>
              <w:spacing w:after="0"/>
              <w:rPr>
                <w:sz w:val="20"/>
                <w:szCs w:val="20"/>
                <w:color w:val="auto"/>
              </w:rPr>
            </w:pPr>
            <w:r>
              <w:rPr>
                <w:rFonts w:ascii="Arial" w:cs="Arial" w:eastAsia="Arial" w:hAnsi="Arial"/>
                <w:sz w:val="13"/>
                <w:szCs w:val="13"/>
                <w:b w:val="1"/>
                <w:bCs w:val="1"/>
                <w:color w:val="auto"/>
              </w:rPr>
              <w:t>Award Formula</w:t>
            </w:r>
          </w:p>
        </w:tc>
        <w:tc>
          <w:tcPr>
            <w:tcW w:w="9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400" w:type="dxa"/>
            <w:vAlign w:val="bottom"/>
            <w:gridSpan w:val="2"/>
          </w:tcPr>
          <w:p>
            <w:pPr>
              <w:spacing w:after="0"/>
              <w:rPr>
                <w:sz w:val="20"/>
                <w:szCs w:val="20"/>
                <w:color w:val="auto"/>
              </w:rPr>
            </w:pPr>
            <w:r>
              <w:rPr>
                <w:rFonts w:ascii="Arial" w:cs="Arial" w:eastAsia="Arial" w:hAnsi="Arial"/>
                <w:sz w:val="13"/>
                <w:szCs w:val="13"/>
                <w:b w:val="1"/>
                <w:bCs w:val="1"/>
                <w:color w:val="auto"/>
              </w:rPr>
              <w:t>Element</w:t>
            </w:r>
          </w:p>
        </w:tc>
        <w:tc>
          <w:tcPr>
            <w:tcW w:w="9020" w:type="dxa"/>
            <w:vAlign w:val="bottom"/>
          </w:tcPr>
          <w:p>
            <w:pPr>
              <w:ind w:left="3600"/>
              <w:spacing w:after="0"/>
              <w:rPr>
                <w:sz w:val="20"/>
                <w:szCs w:val="20"/>
                <w:color w:val="auto"/>
              </w:rPr>
            </w:pPr>
            <w:r>
              <w:rPr>
                <w:rFonts w:ascii="Arial" w:cs="Arial" w:eastAsia="Arial" w:hAnsi="Arial"/>
                <w:sz w:val="13"/>
                <w:szCs w:val="13"/>
                <w:b w:val="1"/>
                <w:bCs w:val="1"/>
                <w:color w:val="auto"/>
              </w:rPr>
              <w:t>Explanation of Key Provisions</w:t>
            </w:r>
          </w:p>
        </w:tc>
        <w:tc>
          <w:tcPr>
            <w:tcW w:w="0" w:type="dxa"/>
            <w:vAlign w:val="bottom"/>
          </w:tcPr>
          <w:p>
            <w:pPr>
              <w:spacing w:after="0"/>
              <w:rPr>
                <w:sz w:val="1"/>
                <w:szCs w:val="1"/>
                <w:color w:val="auto"/>
              </w:rPr>
            </w:pPr>
          </w:p>
        </w:tc>
      </w:tr>
      <w:tr>
        <w:trPr>
          <w:trHeight w:val="348"/>
        </w:trPr>
        <w:tc>
          <w:tcPr>
            <w:tcW w:w="1160" w:type="dxa"/>
            <w:vAlign w:val="bottom"/>
            <w:tcBorders>
              <w:top w:val="single" w:sz="8" w:color="auto"/>
            </w:tcBorders>
            <w:shd w:val="clear" w:color="auto" w:fill="D8D8D8"/>
          </w:tcPr>
          <w:p>
            <w:pPr>
              <w:spacing w:after="0"/>
              <w:rPr>
                <w:sz w:val="24"/>
                <w:szCs w:val="24"/>
                <w:color w:val="auto"/>
              </w:rPr>
            </w:pPr>
          </w:p>
        </w:tc>
        <w:tc>
          <w:tcPr>
            <w:tcW w:w="1240" w:type="dxa"/>
            <w:vAlign w:val="bottom"/>
            <w:tcBorders>
              <w:top w:val="single" w:sz="8" w:color="D8D8D8"/>
            </w:tcBorders>
            <w:shd w:val="clear" w:color="auto" w:fill="D8D8D8"/>
          </w:tcPr>
          <w:p>
            <w:pPr>
              <w:spacing w:after="0"/>
              <w:rPr>
                <w:sz w:val="24"/>
                <w:szCs w:val="24"/>
                <w:color w:val="auto"/>
              </w:rPr>
            </w:pPr>
          </w:p>
        </w:tc>
        <w:tc>
          <w:tcPr>
            <w:tcW w:w="9020" w:type="dxa"/>
            <w:vAlign w:val="bottom"/>
            <w:tcBorders>
              <w:top w:val="single" w:sz="8" w:color="auto"/>
            </w:tcBorders>
            <w:shd w:val="clear" w:color="auto" w:fill="D8D8D8"/>
          </w:tcPr>
          <w:p>
            <w:pPr>
              <w:ind w:left="100"/>
              <w:spacing w:after="0"/>
              <w:rPr>
                <w:sz w:val="20"/>
                <w:szCs w:val="20"/>
                <w:color w:val="auto"/>
              </w:rPr>
            </w:pPr>
            <w:r>
              <w:rPr>
                <w:rFonts w:ascii="Arial" w:cs="Arial" w:eastAsia="Arial" w:hAnsi="Arial"/>
                <w:sz w:val="17"/>
                <w:szCs w:val="17"/>
                <w:color w:val="auto"/>
              </w:rPr>
              <w:t>•  Messrs. Khosla and Vernon are linked 30% to the performance ratings of their respective business unit and 70% to</w:t>
            </w:r>
          </w:p>
        </w:tc>
        <w:tc>
          <w:tcPr>
            <w:tcW w:w="0" w:type="dxa"/>
            <w:vAlign w:val="bottom"/>
          </w:tcPr>
          <w:p>
            <w:pPr>
              <w:spacing w:after="0"/>
              <w:rPr>
                <w:sz w:val="1"/>
                <w:szCs w:val="1"/>
                <w:color w:val="auto"/>
              </w:rPr>
            </w:pPr>
          </w:p>
        </w:tc>
      </w:tr>
      <w:tr>
        <w:trPr>
          <w:trHeight w:val="192"/>
        </w:trPr>
        <w:tc>
          <w:tcPr>
            <w:tcW w:w="1160" w:type="dxa"/>
            <w:vAlign w:val="bottom"/>
            <w:shd w:val="clear" w:color="auto" w:fill="D8D8D8"/>
          </w:tcPr>
          <w:p>
            <w:pPr>
              <w:spacing w:after="0"/>
              <w:rPr>
                <w:sz w:val="16"/>
                <w:szCs w:val="16"/>
                <w:color w:val="auto"/>
              </w:rPr>
            </w:pPr>
          </w:p>
        </w:tc>
        <w:tc>
          <w:tcPr>
            <w:tcW w:w="1240" w:type="dxa"/>
            <w:vAlign w:val="bottom"/>
            <w:shd w:val="clear" w:color="auto" w:fill="D8D8D8"/>
          </w:tcPr>
          <w:p>
            <w:pPr>
              <w:spacing w:after="0"/>
              <w:rPr>
                <w:sz w:val="16"/>
                <w:szCs w:val="16"/>
                <w:color w:val="auto"/>
              </w:rPr>
            </w:pPr>
          </w:p>
        </w:tc>
        <w:tc>
          <w:tcPr>
            <w:tcW w:w="9020" w:type="dxa"/>
            <w:vAlign w:val="bottom"/>
            <w:shd w:val="clear" w:color="auto" w:fill="D8D8D8"/>
          </w:tcPr>
          <w:p>
            <w:pPr>
              <w:ind w:left="420"/>
              <w:spacing w:after="0" w:line="192" w:lineRule="exact"/>
              <w:rPr>
                <w:sz w:val="20"/>
                <w:szCs w:val="20"/>
                <w:color w:val="auto"/>
              </w:rPr>
            </w:pPr>
            <w:r>
              <w:rPr>
                <w:rFonts w:ascii="Arial" w:cs="Arial" w:eastAsia="Arial" w:hAnsi="Arial"/>
                <w:sz w:val="17"/>
                <w:szCs w:val="17"/>
                <w:color w:val="auto"/>
                <w:w w:val="98"/>
              </w:rPr>
              <w:t>the Kraft Foods Inc. rating. This alignment is meant to promote both “line-of-sight” accountability, as well as reinforce</w:t>
            </w:r>
          </w:p>
        </w:tc>
        <w:tc>
          <w:tcPr>
            <w:tcW w:w="0" w:type="dxa"/>
            <w:vAlign w:val="bottom"/>
          </w:tcPr>
          <w:p>
            <w:pPr>
              <w:spacing w:after="0"/>
              <w:rPr>
                <w:sz w:val="1"/>
                <w:szCs w:val="1"/>
                <w:color w:val="auto"/>
              </w:rPr>
            </w:pPr>
          </w:p>
        </w:tc>
      </w:tr>
      <w:tr>
        <w:trPr>
          <w:trHeight w:val="192"/>
        </w:trPr>
        <w:tc>
          <w:tcPr>
            <w:tcW w:w="1160" w:type="dxa"/>
            <w:vAlign w:val="bottom"/>
            <w:shd w:val="clear" w:color="auto" w:fill="D8D8D8"/>
          </w:tcPr>
          <w:p>
            <w:pPr>
              <w:spacing w:after="0"/>
              <w:rPr>
                <w:sz w:val="16"/>
                <w:szCs w:val="16"/>
                <w:color w:val="auto"/>
              </w:rPr>
            </w:pPr>
          </w:p>
        </w:tc>
        <w:tc>
          <w:tcPr>
            <w:tcW w:w="1240" w:type="dxa"/>
            <w:vAlign w:val="bottom"/>
            <w:shd w:val="clear" w:color="auto" w:fill="D8D8D8"/>
          </w:tcPr>
          <w:p>
            <w:pPr>
              <w:spacing w:after="0"/>
              <w:rPr>
                <w:sz w:val="16"/>
                <w:szCs w:val="16"/>
                <w:color w:val="auto"/>
              </w:rPr>
            </w:pPr>
          </w:p>
        </w:tc>
        <w:tc>
          <w:tcPr>
            <w:tcW w:w="9020" w:type="dxa"/>
            <w:vAlign w:val="bottom"/>
            <w:shd w:val="clear" w:color="auto" w:fill="D8D8D8"/>
          </w:tcPr>
          <w:p>
            <w:pPr>
              <w:ind w:left="420"/>
              <w:spacing w:after="0" w:line="192" w:lineRule="exact"/>
              <w:rPr>
                <w:sz w:val="20"/>
                <w:szCs w:val="20"/>
                <w:color w:val="auto"/>
              </w:rPr>
            </w:pPr>
            <w:r>
              <w:rPr>
                <w:rFonts w:ascii="Arial" w:cs="Arial" w:eastAsia="Arial" w:hAnsi="Arial"/>
                <w:sz w:val="17"/>
                <w:szCs w:val="17"/>
                <w:color w:val="auto"/>
                <w:w w:val="99"/>
              </w:rPr>
              <w:t>the importance of collaboration across the enterprise. Business unit ratings for our other Named Executive Officers</w:t>
            </w:r>
          </w:p>
        </w:tc>
        <w:tc>
          <w:tcPr>
            <w:tcW w:w="0" w:type="dxa"/>
            <w:vAlign w:val="bottom"/>
          </w:tcPr>
          <w:p>
            <w:pPr>
              <w:spacing w:after="0"/>
              <w:rPr>
                <w:sz w:val="1"/>
                <w:szCs w:val="1"/>
                <w:color w:val="auto"/>
              </w:rPr>
            </w:pPr>
          </w:p>
        </w:tc>
      </w:tr>
      <w:tr>
        <w:trPr>
          <w:trHeight w:val="202"/>
        </w:trPr>
        <w:tc>
          <w:tcPr>
            <w:tcW w:w="1160" w:type="dxa"/>
            <w:vAlign w:val="bottom"/>
            <w:shd w:val="clear" w:color="auto" w:fill="D8D8D8"/>
          </w:tcPr>
          <w:p>
            <w:pPr>
              <w:spacing w:after="0"/>
              <w:rPr>
                <w:sz w:val="17"/>
                <w:szCs w:val="17"/>
                <w:color w:val="auto"/>
              </w:rPr>
            </w:pPr>
          </w:p>
        </w:tc>
        <w:tc>
          <w:tcPr>
            <w:tcW w:w="1240" w:type="dxa"/>
            <w:vAlign w:val="bottom"/>
            <w:shd w:val="clear" w:color="auto" w:fill="D8D8D8"/>
          </w:tcPr>
          <w:p>
            <w:pPr>
              <w:spacing w:after="0"/>
              <w:rPr>
                <w:sz w:val="17"/>
                <w:szCs w:val="17"/>
                <w:color w:val="auto"/>
              </w:rPr>
            </w:pPr>
          </w:p>
        </w:tc>
        <w:tc>
          <w:tcPr>
            <w:tcW w:w="9020" w:type="dxa"/>
            <w:vAlign w:val="bottom"/>
            <w:shd w:val="clear" w:color="auto" w:fill="D8D8D8"/>
          </w:tcPr>
          <w:p>
            <w:pPr>
              <w:ind w:left="420"/>
              <w:spacing w:after="0"/>
              <w:rPr>
                <w:sz w:val="20"/>
                <w:szCs w:val="20"/>
                <w:color w:val="auto"/>
              </w:rPr>
            </w:pPr>
            <w:r>
              <w:rPr>
                <w:rFonts w:ascii="Arial" w:cs="Arial" w:eastAsia="Arial" w:hAnsi="Arial"/>
                <w:sz w:val="17"/>
                <w:szCs w:val="17"/>
                <w:color w:val="auto"/>
              </w:rPr>
              <w:t>are aligned 100% to the Kraft Foods Inc. rating.</w:t>
            </w:r>
          </w:p>
        </w:tc>
        <w:tc>
          <w:tcPr>
            <w:tcW w:w="0" w:type="dxa"/>
            <w:vAlign w:val="bottom"/>
          </w:tcPr>
          <w:p>
            <w:pPr>
              <w:spacing w:after="0"/>
              <w:rPr>
                <w:sz w:val="1"/>
                <w:szCs w:val="1"/>
                <w:color w:val="auto"/>
              </w:rPr>
            </w:pPr>
          </w:p>
        </w:tc>
      </w:tr>
      <w:tr>
        <w:trPr>
          <w:trHeight w:val="297"/>
        </w:trPr>
        <w:tc>
          <w:tcPr>
            <w:tcW w:w="2400" w:type="dxa"/>
            <w:vAlign w:val="bottom"/>
            <w:gridSpan w:val="2"/>
          </w:tcPr>
          <w:p>
            <w:pPr>
              <w:spacing w:after="0"/>
              <w:rPr>
                <w:sz w:val="20"/>
                <w:szCs w:val="20"/>
                <w:color w:val="auto"/>
              </w:rPr>
            </w:pPr>
            <w:r>
              <w:rPr>
                <w:rFonts w:ascii="Arial" w:cs="Arial" w:eastAsia="Arial" w:hAnsi="Arial"/>
                <w:sz w:val="17"/>
                <w:szCs w:val="17"/>
                <w:color w:val="auto"/>
              </w:rPr>
              <w:t>Individual Performance</w:t>
            </w:r>
          </w:p>
        </w:tc>
        <w:tc>
          <w:tcPr>
            <w:tcW w:w="9020" w:type="dxa"/>
            <w:vAlign w:val="bottom"/>
          </w:tcPr>
          <w:p>
            <w:pPr>
              <w:ind w:left="100"/>
              <w:spacing w:after="0"/>
              <w:rPr>
                <w:sz w:val="20"/>
                <w:szCs w:val="20"/>
                <w:color w:val="auto"/>
              </w:rPr>
            </w:pPr>
            <w:r>
              <w:rPr>
                <w:rFonts w:ascii="Arial" w:cs="Arial" w:eastAsia="Arial" w:hAnsi="Arial"/>
                <w:sz w:val="17"/>
                <w:szCs w:val="17"/>
                <w:color w:val="auto"/>
              </w:rPr>
              <w:t>•  Can range from 0% to 180%.</w:t>
            </w:r>
          </w:p>
        </w:tc>
        <w:tc>
          <w:tcPr>
            <w:tcW w:w="0" w:type="dxa"/>
            <w:vAlign w:val="bottom"/>
          </w:tcPr>
          <w:p>
            <w:pPr>
              <w:spacing w:after="0"/>
              <w:rPr>
                <w:sz w:val="1"/>
                <w:szCs w:val="1"/>
                <w:color w:val="auto"/>
              </w:rPr>
            </w:pPr>
          </w:p>
        </w:tc>
      </w:tr>
      <w:tr>
        <w:trPr>
          <w:trHeight w:val="200"/>
        </w:trPr>
        <w:tc>
          <w:tcPr>
            <w:tcW w:w="2400" w:type="dxa"/>
            <w:vAlign w:val="bottom"/>
            <w:gridSpan w:val="2"/>
          </w:tcPr>
          <w:p>
            <w:pPr>
              <w:spacing w:after="0"/>
              <w:rPr>
                <w:sz w:val="20"/>
                <w:szCs w:val="20"/>
                <w:color w:val="auto"/>
              </w:rPr>
            </w:pPr>
            <w:r>
              <w:rPr>
                <w:rFonts w:ascii="Arial" w:cs="Arial" w:eastAsia="Arial" w:hAnsi="Arial"/>
                <w:sz w:val="17"/>
                <w:szCs w:val="17"/>
                <w:color w:val="auto"/>
              </w:rPr>
              <w:t>Assessment</w:t>
            </w:r>
          </w:p>
        </w:tc>
        <w:tc>
          <w:tcPr>
            <w:tcW w:w="9020" w:type="dxa"/>
            <w:vAlign w:val="bottom"/>
            <w:vMerge w:val="restart"/>
          </w:tcPr>
          <w:p>
            <w:pPr>
              <w:ind w:left="100"/>
              <w:spacing w:after="0"/>
              <w:rPr>
                <w:sz w:val="20"/>
                <w:szCs w:val="20"/>
                <w:color w:val="auto"/>
              </w:rPr>
            </w:pPr>
            <w:r>
              <w:rPr>
                <w:rFonts w:ascii="Arial" w:cs="Arial" w:eastAsia="Arial" w:hAnsi="Arial"/>
                <w:sz w:val="17"/>
                <w:szCs w:val="17"/>
                <w:color w:val="auto"/>
              </w:rPr>
              <w:t>•  Ms. Rosenfeld provides the Committee with an individual performance assessment for each of her direct reports,</w:t>
            </w:r>
          </w:p>
        </w:tc>
        <w:tc>
          <w:tcPr>
            <w:tcW w:w="0" w:type="dxa"/>
            <w:vAlign w:val="bottom"/>
          </w:tcPr>
          <w:p>
            <w:pPr>
              <w:spacing w:after="0"/>
              <w:rPr>
                <w:sz w:val="1"/>
                <w:szCs w:val="1"/>
                <w:color w:val="auto"/>
              </w:rPr>
            </w:pPr>
          </w:p>
        </w:tc>
      </w:tr>
      <w:tr>
        <w:trPr>
          <w:trHeight w:val="145"/>
        </w:trPr>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20" w:type="dxa"/>
            <w:vAlign w:val="bottom"/>
          </w:tcPr>
          <w:p>
            <w:pPr>
              <w:ind w:left="420"/>
              <w:spacing w:after="0" w:line="192" w:lineRule="exact"/>
              <w:rPr>
                <w:sz w:val="20"/>
                <w:szCs w:val="20"/>
                <w:color w:val="auto"/>
              </w:rPr>
            </w:pPr>
            <w:r>
              <w:rPr>
                <w:rFonts w:ascii="Arial" w:cs="Arial" w:eastAsia="Arial" w:hAnsi="Arial"/>
                <w:sz w:val="17"/>
                <w:szCs w:val="17"/>
                <w:color w:val="auto"/>
                <w:w w:val="99"/>
              </w:rPr>
              <w:t>including our other Named Executive Officers. The Committee reviews and discusses her recommendations, taking</w:t>
            </w: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20" w:type="dxa"/>
            <w:vAlign w:val="bottom"/>
          </w:tcPr>
          <w:p>
            <w:pPr>
              <w:ind w:left="420"/>
              <w:spacing w:after="0"/>
              <w:rPr>
                <w:sz w:val="20"/>
                <w:szCs w:val="20"/>
                <w:color w:val="auto"/>
              </w:rPr>
            </w:pPr>
            <w:r>
              <w:rPr>
                <w:rFonts w:ascii="Arial" w:cs="Arial" w:eastAsia="Arial" w:hAnsi="Arial"/>
                <w:sz w:val="17"/>
                <w:szCs w:val="17"/>
                <w:color w:val="auto"/>
              </w:rPr>
              <w:t>into account the various factors within the criteria, and may revise her recommendations based on those factors.</w:t>
            </w:r>
          </w:p>
        </w:tc>
        <w:tc>
          <w:tcPr>
            <w:tcW w:w="0" w:type="dxa"/>
            <w:vAlign w:val="bottom"/>
          </w:tcPr>
          <w:p>
            <w:pPr>
              <w:spacing w:after="0"/>
              <w:rPr>
                <w:sz w:val="1"/>
                <w:szCs w:val="1"/>
                <w:color w:val="auto"/>
              </w:rPr>
            </w:pPr>
          </w:p>
        </w:tc>
      </w:tr>
      <w:tr>
        <w:trPr>
          <w:trHeight w:val="337"/>
        </w:trPr>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20" w:type="dxa"/>
            <w:vAlign w:val="bottom"/>
          </w:tcPr>
          <w:p>
            <w:pPr>
              <w:ind w:left="100"/>
              <w:spacing w:after="0"/>
              <w:rPr>
                <w:sz w:val="20"/>
                <w:szCs w:val="20"/>
                <w:color w:val="auto"/>
              </w:rPr>
            </w:pPr>
            <w:r>
              <w:rPr>
                <w:rFonts w:ascii="Arial" w:cs="Arial" w:eastAsia="Arial" w:hAnsi="Arial"/>
                <w:sz w:val="17"/>
                <w:szCs w:val="17"/>
                <w:color w:val="auto"/>
              </w:rPr>
              <w:t>•  Specifically, in assessing individual performance in the context of making executive compensation decisions, Ms.</w:t>
            </w: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20" w:type="dxa"/>
            <w:vAlign w:val="bottom"/>
          </w:tcPr>
          <w:p>
            <w:pPr>
              <w:ind w:left="420"/>
              <w:spacing w:after="0" w:line="192" w:lineRule="exact"/>
              <w:rPr>
                <w:sz w:val="20"/>
                <w:szCs w:val="20"/>
                <w:color w:val="auto"/>
              </w:rPr>
            </w:pPr>
            <w:r>
              <w:rPr>
                <w:rFonts w:ascii="Arial" w:cs="Arial" w:eastAsia="Arial" w:hAnsi="Arial"/>
                <w:sz w:val="17"/>
                <w:szCs w:val="17"/>
                <w:color w:val="auto"/>
                <w:w w:val="98"/>
              </w:rPr>
              <w:t>Rosenfeld and the Committee consider the executive officer’s contributions to our overall performance and individual</w:t>
            </w: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20" w:type="dxa"/>
            <w:vAlign w:val="bottom"/>
          </w:tcPr>
          <w:p>
            <w:pPr>
              <w:ind w:left="420"/>
              <w:spacing w:after="0"/>
              <w:rPr>
                <w:sz w:val="20"/>
                <w:szCs w:val="20"/>
                <w:color w:val="auto"/>
              </w:rPr>
            </w:pPr>
            <w:r>
              <w:rPr>
                <w:rFonts w:ascii="Arial" w:cs="Arial" w:eastAsia="Arial" w:hAnsi="Arial"/>
                <w:sz w:val="17"/>
                <w:szCs w:val="17"/>
                <w:color w:val="auto"/>
              </w:rPr>
              <w:t>performance relative to individual objectives established at the beginning of the performance cycle.</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500"/>
        <w:spacing w:after="0"/>
        <w:tabs>
          <w:tab w:leader="none" w:pos="2740" w:val="left"/>
        </w:tabs>
        <w:rPr>
          <w:sz w:val="20"/>
          <w:szCs w:val="20"/>
          <w:color w:val="auto"/>
        </w:rPr>
      </w:pPr>
      <w:r>
        <w:rPr>
          <w:rFonts w:ascii="Arial" w:cs="Arial" w:eastAsia="Arial" w:hAnsi="Arial"/>
          <w:sz w:val="17"/>
          <w:szCs w:val="17"/>
          <w:color w:val="auto"/>
        </w:rPr>
        <w:t>•</w:t>
        <w:tab/>
        <w:t>Individual ratings and range of payouts are:</w:t>
      </w:r>
    </w:p>
    <w:p>
      <w:pPr>
        <w:spacing w:after="0" w:line="173" w:lineRule="exact"/>
        <w:rPr>
          <w:sz w:val="20"/>
          <w:szCs w:val="20"/>
          <w:color w:val="auto"/>
        </w:rPr>
      </w:pPr>
    </w:p>
    <w:tbl>
      <w:tblPr>
        <w:tblLayout w:type="fixed"/>
        <w:tblInd w:w="2520" w:type="dxa"/>
        <w:tblCellMar>
          <w:top w:w="0" w:type="dxa"/>
          <w:left w:w="0" w:type="dxa"/>
          <w:bottom w:w="0" w:type="dxa"/>
          <w:right w:w="0" w:type="dxa"/>
        </w:tblCellMar>
      </w:tblPr>
      <w:tr>
        <w:trPr>
          <w:trHeight w:val="149"/>
        </w:trPr>
        <w:tc>
          <w:tcPr>
            <w:tcW w:w="2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Incentive Payout Range</w:t>
            </w:r>
          </w:p>
        </w:tc>
      </w:tr>
      <w:tr>
        <w:trPr>
          <w:trHeight w:val="177"/>
        </w:trPr>
        <w:tc>
          <w:tcPr>
            <w:tcW w:w="2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Individual Performance Rating</w:t>
            </w:r>
          </w:p>
        </w:tc>
        <w:tc>
          <w:tcPr>
            <w:tcW w:w="1220" w:type="dxa"/>
            <w:vAlign w:val="bottom"/>
          </w:tcPr>
          <w:p>
            <w:pPr>
              <w:spacing w:after="0"/>
              <w:rPr>
                <w:sz w:val="15"/>
                <w:szCs w:val="15"/>
                <w:color w:val="auto"/>
              </w:rPr>
            </w:pPr>
          </w:p>
        </w:tc>
        <w:tc>
          <w:tcPr>
            <w:tcW w:w="28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as a Percent of Target</w:t>
            </w:r>
          </w:p>
        </w:tc>
      </w:tr>
      <w:tr>
        <w:trPr>
          <w:trHeight w:val="177"/>
        </w:trPr>
        <w:tc>
          <w:tcPr>
            <w:tcW w:w="2360" w:type="dxa"/>
            <w:vAlign w:val="bottom"/>
          </w:tcPr>
          <w:p>
            <w:pPr>
              <w:spacing w:after="0" w:line="177" w:lineRule="exact"/>
              <w:rPr>
                <w:sz w:val="20"/>
                <w:szCs w:val="20"/>
                <w:color w:val="auto"/>
              </w:rPr>
            </w:pPr>
            <w:r>
              <w:rPr>
                <w:rFonts w:ascii="Arial" w:cs="Arial" w:eastAsia="Arial" w:hAnsi="Arial"/>
                <w:sz w:val="17"/>
                <w:szCs w:val="17"/>
                <w:color w:val="auto"/>
              </w:rPr>
              <w:t>Outstanding</w:t>
            </w:r>
          </w:p>
        </w:tc>
        <w:tc>
          <w:tcPr>
            <w:tcW w:w="2560" w:type="dxa"/>
            <w:vAlign w:val="bottom"/>
            <w:gridSpan w:val="2"/>
          </w:tcPr>
          <w:p>
            <w:pPr>
              <w:jc w:val="right"/>
              <w:spacing w:after="0" w:line="177" w:lineRule="exact"/>
              <w:rPr>
                <w:sz w:val="20"/>
                <w:szCs w:val="20"/>
                <w:color w:val="auto"/>
              </w:rPr>
            </w:pPr>
            <w:r>
              <w:rPr>
                <w:rFonts w:ascii="Arial" w:cs="Arial" w:eastAsia="Arial" w:hAnsi="Arial"/>
                <w:sz w:val="17"/>
                <w:szCs w:val="17"/>
                <w:color w:val="auto"/>
              </w:rPr>
              <w:t>140%</w:t>
            </w:r>
          </w:p>
        </w:tc>
        <w:tc>
          <w:tcPr>
            <w:tcW w:w="1480" w:type="dxa"/>
            <w:vAlign w:val="bottom"/>
          </w:tcPr>
          <w:p>
            <w:pPr>
              <w:ind w:left="20"/>
              <w:spacing w:after="0" w:line="177" w:lineRule="exact"/>
              <w:rPr>
                <w:sz w:val="20"/>
                <w:szCs w:val="20"/>
                <w:color w:val="auto"/>
              </w:rPr>
            </w:pPr>
            <w:r>
              <w:rPr>
                <w:rFonts w:ascii="Arial" w:cs="Arial" w:eastAsia="Arial" w:hAnsi="Arial"/>
                <w:sz w:val="17"/>
                <w:szCs w:val="17"/>
                <w:color w:val="auto"/>
              </w:rPr>
              <w:t>– 180%</w:t>
            </w:r>
          </w:p>
        </w:tc>
      </w:tr>
      <w:tr>
        <w:trPr>
          <w:trHeight w:val="192"/>
        </w:trPr>
        <w:tc>
          <w:tcPr>
            <w:tcW w:w="236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Exceeded Expectations</w:t>
            </w:r>
          </w:p>
        </w:tc>
        <w:tc>
          <w:tcPr>
            <w:tcW w:w="2560" w:type="dxa"/>
            <w:vAlign w:val="bottom"/>
            <w:gridSpan w:val="2"/>
            <w:shd w:val="clear" w:color="auto" w:fill="D8D8D8"/>
          </w:tcPr>
          <w:p>
            <w:pPr>
              <w:jc w:val="right"/>
              <w:spacing w:after="0" w:line="192" w:lineRule="exact"/>
              <w:rPr>
                <w:sz w:val="20"/>
                <w:szCs w:val="20"/>
                <w:color w:val="auto"/>
              </w:rPr>
            </w:pPr>
            <w:r>
              <w:rPr>
                <w:rFonts w:ascii="Arial" w:cs="Arial" w:eastAsia="Arial" w:hAnsi="Arial"/>
                <w:sz w:val="17"/>
                <w:szCs w:val="17"/>
                <w:color w:val="auto"/>
              </w:rPr>
              <w:t>115%</w:t>
            </w:r>
          </w:p>
        </w:tc>
        <w:tc>
          <w:tcPr>
            <w:tcW w:w="1480" w:type="dxa"/>
            <w:vAlign w:val="bottom"/>
            <w:shd w:val="clear" w:color="auto" w:fill="D8D8D8"/>
          </w:tcPr>
          <w:p>
            <w:pPr>
              <w:ind w:left="20"/>
              <w:spacing w:after="0" w:line="192" w:lineRule="exact"/>
              <w:rPr>
                <w:sz w:val="20"/>
                <w:szCs w:val="20"/>
                <w:color w:val="auto"/>
              </w:rPr>
            </w:pPr>
            <w:r>
              <w:rPr>
                <w:rFonts w:ascii="Arial" w:cs="Arial" w:eastAsia="Arial" w:hAnsi="Arial"/>
                <w:sz w:val="17"/>
                <w:szCs w:val="17"/>
                <w:color w:val="auto"/>
              </w:rPr>
              <w:t>– 135%</w:t>
            </w:r>
          </w:p>
        </w:tc>
      </w:tr>
      <w:tr>
        <w:trPr>
          <w:trHeight w:val="192"/>
        </w:trPr>
        <w:tc>
          <w:tcPr>
            <w:tcW w:w="2360" w:type="dxa"/>
            <w:vAlign w:val="bottom"/>
          </w:tcPr>
          <w:p>
            <w:pPr>
              <w:spacing w:after="0" w:line="192" w:lineRule="exact"/>
              <w:rPr>
                <w:sz w:val="20"/>
                <w:szCs w:val="20"/>
                <w:color w:val="auto"/>
              </w:rPr>
            </w:pPr>
            <w:r>
              <w:rPr>
                <w:rFonts w:ascii="Arial" w:cs="Arial" w:eastAsia="Arial" w:hAnsi="Arial"/>
                <w:sz w:val="17"/>
                <w:szCs w:val="17"/>
                <w:color w:val="auto"/>
              </w:rPr>
              <w:t>Achieved Expectations</w:t>
            </w:r>
          </w:p>
        </w:tc>
        <w:tc>
          <w:tcPr>
            <w:tcW w:w="1220" w:type="dxa"/>
            <w:vAlign w:val="bottom"/>
          </w:tcPr>
          <w:p>
            <w:pPr>
              <w:spacing w:after="0"/>
              <w:rPr>
                <w:sz w:val="16"/>
                <w:szCs w:val="16"/>
                <w:color w:val="auto"/>
              </w:rPr>
            </w:pPr>
          </w:p>
        </w:tc>
        <w:tc>
          <w:tcPr>
            <w:tcW w:w="2820" w:type="dxa"/>
            <w:vAlign w:val="bottom"/>
            <w:gridSpan w:val="2"/>
          </w:tcPr>
          <w:p>
            <w:pPr>
              <w:jc w:val="center"/>
              <w:spacing w:after="0" w:line="192" w:lineRule="exact"/>
              <w:rPr>
                <w:sz w:val="20"/>
                <w:szCs w:val="20"/>
                <w:color w:val="auto"/>
              </w:rPr>
            </w:pPr>
            <w:r>
              <w:rPr>
                <w:rFonts w:ascii="Arial" w:cs="Arial" w:eastAsia="Arial" w:hAnsi="Arial"/>
                <w:sz w:val="17"/>
                <w:szCs w:val="17"/>
                <w:color w:val="auto"/>
                <w:w w:val="97"/>
              </w:rPr>
              <w:t>90% – 110%</w:t>
            </w:r>
          </w:p>
        </w:tc>
      </w:tr>
      <w:tr>
        <w:trPr>
          <w:trHeight w:val="192"/>
        </w:trPr>
        <w:tc>
          <w:tcPr>
            <w:tcW w:w="236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Partially Met Expectations</w:t>
            </w:r>
          </w:p>
        </w:tc>
        <w:tc>
          <w:tcPr>
            <w:tcW w:w="2560" w:type="dxa"/>
            <w:vAlign w:val="bottom"/>
            <w:gridSpan w:val="2"/>
            <w:shd w:val="clear" w:color="auto" w:fill="D8D8D8"/>
          </w:tcPr>
          <w:p>
            <w:pPr>
              <w:jc w:val="right"/>
              <w:spacing w:after="0" w:line="192" w:lineRule="exact"/>
              <w:rPr>
                <w:sz w:val="20"/>
                <w:szCs w:val="20"/>
                <w:color w:val="auto"/>
              </w:rPr>
            </w:pPr>
            <w:r>
              <w:rPr>
                <w:rFonts w:ascii="Arial" w:cs="Arial" w:eastAsia="Arial" w:hAnsi="Arial"/>
                <w:sz w:val="17"/>
                <w:szCs w:val="17"/>
                <w:color w:val="auto"/>
              </w:rPr>
              <w:t>40%</w:t>
            </w:r>
          </w:p>
        </w:tc>
        <w:tc>
          <w:tcPr>
            <w:tcW w:w="1480" w:type="dxa"/>
            <w:vAlign w:val="bottom"/>
            <w:shd w:val="clear" w:color="auto" w:fill="D8D8D8"/>
          </w:tcPr>
          <w:p>
            <w:pPr>
              <w:ind w:left="20"/>
              <w:spacing w:after="0" w:line="192" w:lineRule="exact"/>
              <w:rPr>
                <w:sz w:val="20"/>
                <w:szCs w:val="20"/>
                <w:color w:val="auto"/>
              </w:rPr>
            </w:pPr>
            <w:r>
              <w:rPr>
                <w:rFonts w:ascii="Arial" w:cs="Arial" w:eastAsia="Arial" w:hAnsi="Arial"/>
                <w:sz w:val="17"/>
                <w:szCs w:val="17"/>
                <w:color w:val="auto"/>
              </w:rPr>
              <w:t>– 80%</w:t>
            </w:r>
          </w:p>
        </w:tc>
      </w:tr>
      <w:tr>
        <w:trPr>
          <w:trHeight w:val="204"/>
        </w:trPr>
        <w:tc>
          <w:tcPr>
            <w:tcW w:w="2360" w:type="dxa"/>
            <w:vAlign w:val="bottom"/>
          </w:tcPr>
          <w:p>
            <w:pPr>
              <w:spacing w:after="0"/>
              <w:rPr>
                <w:sz w:val="20"/>
                <w:szCs w:val="20"/>
                <w:color w:val="auto"/>
              </w:rPr>
            </w:pPr>
            <w:r>
              <w:rPr>
                <w:rFonts w:ascii="Arial" w:cs="Arial" w:eastAsia="Arial" w:hAnsi="Arial"/>
                <w:sz w:val="17"/>
                <w:szCs w:val="17"/>
                <w:color w:val="auto"/>
              </w:rPr>
              <w:t>Below Expectations</w:t>
            </w:r>
          </w:p>
        </w:tc>
        <w:tc>
          <w:tcPr>
            <w:tcW w:w="4040" w:type="dxa"/>
            <w:vAlign w:val="bottom"/>
            <w:gridSpan w:val="3"/>
          </w:tcPr>
          <w:p>
            <w:pPr>
              <w:jc w:val="right"/>
              <w:ind w:right="1217"/>
              <w:spacing w:after="0"/>
              <w:rPr>
                <w:sz w:val="20"/>
                <w:szCs w:val="20"/>
                <w:color w:val="auto"/>
              </w:rPr>
            </w:pPr>
            <w:r>
              <w:rPr>
                <w:rFonts w:ascii="Arial" w:cs="Arial" w:eastAsia="Arial" w:hAnsi="Arial"/>
                <w:sz w:val="17"/>
                <w:szCs w:val="17"/>
                <w:color w:val="auto"/>
              </w:rPr>
              <w:t>0%</w:t>
            </w:r>
          </w:p>
        </w:tc>
      </w:tr>
    </w:tbl>
    <w:p>
      <w:pPr>
        <w:spacing w:after="0" w:line="183" w:lineRule="exact"/>
        <w:rPr>
          <w:sz w:val="20"/>
          <w:szCs w:val="20"/>
          <w:color w:val="auto"/>
        </w:rPr>
      </w:pPr>
    </w:p>
    <w:p>
      <w:pPr>
        <w:jc w:val="both"/>
        <w:ind w:left="2760" w:right="20" w:hanging="306"/>
        <w:spacing w:after="0" w:line="238" w:lineRule="auto"/>
        <w:tabs>
          <w:tab w:leader="none" w:pos="2740" w:val="left"/>
        </w:tabs>
        <w:rPr>
          <w:sz w:val="20"/>
          <w:szCs w:val="20"/>
          <w:color w:val="auto"/>
        </w:rPr>
      </w:pPr>
      <w:r>
        <w:rPr>
          <w:rFonts w:ascii="Arial" w:cs="Arial" w:eastAsia="Arial" w:hAnsi="Arial"/>
          <w:sz w:val="17"/>
          <w:szCs w:val="17"/>
          <w:color w:val="auto"/>
        </w:rPr>
        <w:t>•</w:t>
        <w:tab/>
        <w:t>In 2011, the Committee took into account the following factors in determining the individual performance assessments for our Named Executive Officers: contributions to the organization such as operational efficiency, leadership, quality of financial results, talent management and diversity of employees. These factors are discussed in more detail below under “– Compensation Paid to Named Executive Officers in 2011.”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43" w:right="2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2011 Business Unit Ratings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financial targets and actual results that the Committee considered at year end for our Named Executive Officers: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3"/>
                <w:szCs w:val="13"/>
                <w:b w:val="1"/>
                <w:bCs w:val="1"/>
                <w:color w:val="auto"/>
              </w:rPr>
              <w:t>Kraft Foods Inc. – Financial Targets and Results</w:t>
            </w: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60" w:type="dxa"/>
            <w:vAlign w:val="bottom"/>
          </w:tcPr>
          <w:p>
            <w:pPr>
              <w:jc w:val="right"/>
              <w:spacing w:after="0" w:line="117" w:lineRule="exact"/>
              <w:rPr>
                <w:sz w:val="20"/>
                <w:szCs w:val="20"/>
                <w:color w:val="auto"/>
              </w:rPr>
            </w:pPr>
            <w:r>
              <w:rPr>
                <w:rFonts w:ascii="Arial" w:cs="Arial" w:eastAsia="Arial" w:hAnsi="Arial"/>
                <w:sz w:val="13"/>
                <w:szCs w:val="13"/>
                <w:b w:val="1"/>
                <w:bCs w:val="1"/>
                <w:color w:val="auto"/>
              </w:rPr>
              <w:t>Performance</w:t>
            </w:r>
          </w:p>
        </w:tc>
        <w:tc>
          <w:tcPr>
            <w:tcW w:w="0" w:type="dxa"/>
            <w:vAlign w:val="bottom"/>
          </w:tcPr>
          <w:p>
            <w:pPr>
              <w:spacing w:after="0"/>
              <w:rPr>
                <w:sz w:val="1"/>
                <w:szCs w:val="1"/>
                <w:color w:val="auto"/>
              </w:rPr>
            </w:pPr>
          </w:p>
        </w:tc>
      </w:tr>
      <w:tr>
        <w:trPr>
          <w:trHeight w:val="157"/>
        </w:trPr>
        <w:tc>
          <w:tcPr>
            <w:tcW w:w="4680" w:type="dxa"/>
            <w:vAlign w:val="bottom"/>
          </w:tcPr>
          <w:p>
            <w:pPr>
              <w:spacing w:after="0"/>
              <w:rPr>
                <w:sz w:val="13"/>
                <w:szCs w:val="13"/>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w w:val="95"/>
              </w:rPr>
              <w:t>Weighting</w:t>
            </w:r>
          </w:p>
        </w:tc>
        <w:tc>
          <w:tcPr>
            <w:tcW w:w="94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w w:val="98"/>
              </w:rPr>
              <w:t>Threshold</w:t>
            </w:r>
          </w:p>
        </w:tc>
        <w:tc>
          <w:tcPr>
            <w:tcW w:w="84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Target</w:t>
            </w:r>
          </w:p>
        </w:tc>
        <w:tc>
          <w:tcPr>
            <w:tcW w:w="1420" w:type="dxa"/>
            <w:vAlign w:val="bottom"/>
            <w:tcBorders>
              <w:bottom w:val="single" w:sz="8" w:color="auto"/>
            </w:tcBorders>
          </w:tcPr>
          <w:p>
            <w:pPr>
              <w:jc w:val="right"/>
              <w:ind w:right="205"/>
              <w:spacing w:after="0"/>
              <w:rPr>
                <w:sz w:val="20"/>
                <w:szCs w:val="20"/>
                <w:color w:val="auto"/>
              </w:rPr>
            </w:pPr>
            <w:r>
              <w:rPr>
                <w:rFonts w:ascii="Arial" w:cs="Arial" w:eastAsia="Arial" w:hAnsi="Arial"/>
                <w:sz w:val="13"/>
                <w:szCs w:val="13"/>
                <w:b w:val="1"/>
                <w:bCs w:val="1"/>
                <w:color w:val="auto"/>
              </w:rPr>
              <w:t>Maximum</w:t>
            </w:r>
          </w:p>
        </w:tc>
        <w:tc>
          <w:tcPr>
            <w:tcW w:w="1320" w:type="dxa"/>
            <w:vAlign w:val="bottom"/>
            <w:tcBorders>
              <w:bottom w:val="single" w:sz="8" w:color="auto"/>
            </w:tcBorders>
          </w:tcPr>
          <w:p>
            <w:pPr>
              <w:jc w:val="right"/>
              <w:ind w:right="242"/>
              <w:spacing w:after="0"/>
              <w:rPr>
                <w:sz w:val="20"/>
                <w:szCs w:val="20"/>
                <w:color w:val="auto"/>
              </w:rPr>
            </w:pPr>
            <w:r>
              <w:rPr>
                <w:rFonts w:ascii="Arial" w:cs="Arial" w:eastAsia="Arial" w:hAnsi="Arial"/>
                <w:sz w:val="13"/>
                <w:szCs w:val="13"/>
                <w:b w:val="1"/>
                <w:bCs w:val="1"/>
                <w:color w:val="auto"/>
              </w:rPr>
              <w:t>2011 Actual</w:t>
            </w:r>
          </w:p>
        </w:tc>
        <w:tc>
          <w:tcPr>
            <w:tcW w:w="106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rPr>
              <w:t>Rating</w:t>
            </w:r>
          </w:p>
        </w:tc>
        <w:tc>
          <w:tcPr>
            <w:tcW w:w="0" w:type="dxa"/>
            <w:vAlign w:val="bottom"/>
          </w:tcPr>
          <w:p>
            <w:pPr>
              <w:spacing w:after="0"/>
              <w:rPr>
                <w:sz w:val="1"/>
                <w:szCs w:val="1"/>
                <w:color w:val="auto"/>
              </w:rPr>
            </w:pPr>
          </w:p>
        </w:tc>
      </w:tr>
      <w:tr>
        <w:trPr>
          <w:trHeight w:val="137"/>
        </w:trPr>
        <w:tc>
          <w:tcPr>
            <w:tcW w:w="46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tcPr>
          <w:p>
            <w:pPr>
              <w:jc w:val="right"/>
              <w:ind w:right="505"/>
              <w:spacing w:after="0" w:line="137" w:lineRule="exact"/>
              <w:rPr>
                <w:sz w:val="20"/>
                <w:szCs w:val="20"/>
                <w:color w:val="auto"/>
              </w:rPr>
            </w:pPr>
            <w:r>
              <w:rPr>
                <w:rFonts w:ascii="Arial" w:cs="Arial" w:eastAsia="Arial" w:hAnsi="Arial"/>
                <w:sz w:val="13"/>
                <w:szCs w:val="13"/>
                <w:b w:val="1"/>
                <w:bCs w:val="1"/>
                <w:color w:val="auto"/>
                <w:w w:val="97"/>
              </w:rPr>
              <w:t>($ in millions)</w:t>
            </w:r>
          </w:p>
        </w:tc>
        <w:tc>
          <w:tcPr>
            <w:tcW w:w="1320" w:type="dxa"/>
            <w:vAlign w:val="bottom"/>
            <w:vMerge w:val="restart"/>
          </w:tcPr>
          <w:p>
            <w:pPr>
              <w:jc w:val="right"/>
              <w:ind w:right="242"/>
              <w:spacing w:after="0"/>
              <w:rPr>
                <w:sz w:val="20"/>
                <w:szCs w:val="20"/>
                <w:color w:val="auto"/>
              </w:rPr>
            </w:pPr>
            <w:r>
              <w:rPr>
                <w:rFonts w:ascii="Arial" w:cs="Arial" w:eastAsia="Arial" w:hAnsi="Arial"/>
                <w:sz w:val="17"/>
                <w:szCs w:val="17"/>
                <w:i w:val="1"/>
                <w:iCs w:val="1"/>
                <w:color w:val="auto"/>
              </w:rPr>
              <w:t>6.6%</w:t>
            </w:r>
          </w:p>
        </w:tc>
        <w:tc>
          <w:tcPr>
            <w:tcW w:w="1060" w:type="dxa"/>
            <w:vAlign w:val="bottom"/>
            <w:vMerge w:val="restart"/>
          </w:tcPr>
          <w:p>
            <w:pPr>
              <w:jc w:val="right"/>
              <w:ind w:right="123"/>
              <w:spacing w:after="0"/>
              <w:rPr>
                <w:sz w:val="20"/>
                <w:szCs w:val="20"/>
                <w:color w:val="auto"/>
              </w:rPr>
            </w:pPr>
            <w:r>
              <w:rPr>
                <w:rFonts w:ascii="Arial" w:cs="Arial" w:eastAsia="Arial" w:hAnsi="Arial"/>
                <w:sz w:val="17"/>
                <w:szCs w:val="17"/>
                <w:b w:val="1"/>
                <w:bCs w:val="1"/>
                <w:i w:val="1"/>
                <w:iCs w:val="1"/>
                <w:color w:val="auto"/>
              </w:rPr>
              <w:t>180%</w:t>
            </w:r>
          </w:p>
        </w:tc>
        <w:tc>
          <w:tcPr>
            <w:tcW w:w="0" w:type="dxa"/>
            <w:vAlign w:val="bottom"/>
          </w:tcPr>
          <w:p>
            <w:pPr>
              <w:spacing w:after="0"/>
              <w:rPr>
                <w:sz w:val="1"/>
                <w:szCs w:val="1"/>
                <w:color w:val="auto"/>
              </w:rPr>
            </w:pPr>
          </w:p>
        </w:tc>
      </w:tr>
      <w:tr>
        <w:trPr>
          <w:trHeight w:val="189"/>
        </w:trPr>
        <w:tc>
          <w:tcPr>
            <w:tcW w:w="4680" w:type="dxa"/>
            <w:vAlign w:val="bottom"/>
          </w:tcPr>
          <w:p>
            <w:pPr>
              <w:spacing w:after="0" w:line="189" w:lineRule="exact"/>
              <w:rPr>
                <w:sz w:val="20"/>
                <w:szCs w:val="20"/>
                <w:color w:val="auto"/>
              </w:rPr>
            </w:pPr>
            <w:r>
              <w:rPr>
                <w:rFonts w:ascii="Arial" w:cs="Arial" w:eastAsia="Arial" w:hAnsi="Arial"/>
                <w:sz w:val="17"/>
                <w:szCs w:val="17"/>
                <w:color w:val="auto"/>
              </w:rPr>
              <w:t>Organic Net Revenue Growth</w:t>
            </w:r>
          </w:p>
        </w:tc>
        <w:tc>
          <w:tcPr>
            <w:tcW w:w="1160" w:type="dxa"/>
            <w:vAlign w:val="bottom"/>
          </w:tcPr>
          <w:p>
            <w:pPr>
              <w:jc w:val="right"/>
              <w:ind w:right="462"/>
              <w:spacing w:after="0" w:line="189" w:lineRule="exact"/>
              <w:rPr>
                <w:sz w:val="20"/>
                <w:szCs w:val="20"/>
                <w:color w:val="auto"/>
              </w:rPr>
            </w:pPr>
            <w:r>
              <w:rPr>
                <w:rFonts w:ascii="Arial" w:cs="Arial" w:eastAsia="Arial" w:hAnsi="Arial"/>
                <w:sz w:val="17"/>
                <w:szCs w:val="17"/>
                <w:color w:val="auto"/>
              </w:rPr>
              <w:t>45%</w:t>
            </w:r>
          </w:p>
        </w:tc>
        <w:tc>
          <w:tcPr>
            <w:tcW w:w="940" w:type="dxa"/>
            <w:vAlign w:val="bottom"/>
          </w:tcPr>
          <w:p>
            <w:pPr>
              <w:jc w:val="right"/>
              <w:ind w:right="222"/>
              <w:spacing w:after="0" w:line="189" w:lineRule="exact"/>
              <w:rPr>
                <w:sz w:val="20"/>
                <w:szCs w:val="20"/>
                <w:color w:val="auto"/>
              </w:rPr>
            </w:pPr>
            <w:r>
              <w:rPr>
                <w:rFonts w:ascii="Arial" w:cs="Arial" w:eastAsia="Arial" w:hAnsi="Arial"/>
                <w:sz w:val="17"/>
                <w:szCs w:val="17"/>
                <w:color w:val="auto"/>
              </w:rPr>
              <w:t>2.5%</w:t>
            </w:r>
          </w:p>
        </w:tc>
        <w:tc>
          <w:tcPr>
            <w:tcW w:w="840" w:type="dxa"/>
            <w:vAlign w:val="bottom"/>
          </w:tcPr>
          <w:p>
            <w:pPr>
              <w:jc w:val="right"/>
              <w:spacing w:after="0" w:line="189" w:lineRule="exact"/>
              <w:rPr>
                <w:sz w:val="20"/>
                <w:szCs w:val="20"/>
                <w:color w:val="auto"/>
              </w:rPr>
            </w:pPr>
            <w:r>
              <w:rPr>
                <w:rFonts w:ascii="Arial" w:cs="Arial" w:eastAsia="Arial" w:hAnsi="Arial"/>
                <w:sz w:val="17"/>
                <w:szCs w:val="17"/>
                <w:color w:val="auto"/>
              </w:rPr>
              <w:t>4.0%</w:t>
            </w:r>
          </w:p>
        </w:tc>
        <w:tc>
          <w:tcPr>
            <w:tcW w:w="1420" w:type="dxa"/>
            <w:vAlign w:val="bottom"/>
          </w:tcPr>
          <w:p>
            <w:pPr>
              <w:jc w:val="right"/>
              <w:ind w:right="205"/>
              <w:spacing w:after="0" w:line="189" w:lineRule="exact"/>
              <w:rPr>
                <w:sz w:val="20"/>
                <w:szCs w:val="20"/>
                <w:color w:val="auto"/>
              </w:rPr>
            </w:pPr>
            <w:r>
              <w:rPr>
                <w:rFonts w:ascii="Arial" w:cs="Arial" w:eastAsia="Arial" w:hAnsi="Arial"/>
                <w:sz w:val="17"/>
                <w:szCs w:val="17"/>
                <w:color w:val="auto"/>
              </w:rPr>
              <w:t>6.0%</w:t>
            </w:r>
          </w:p>
        </w:tc>
        <w:tc>
          <w:tcPr>
            <w:tcW w:w="132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8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Adjusted Operating Income</w:t>
            </w:r>
          </w:p>
        </w:tc>
        <w:tc>
          <w:tcPr>
            <w:tcW w:w="1160" w:type="dxa"/>
            <w:vAlign w:val="bottom"/>
            <w:shd w:val="clear" w:color="auto" w:fill="D8D8D8"/>
          </w:tcPr>
          <w:p>
            <w:pPr>
              <w:jc w:val="right"/>
              <w:ind w:right="462"/>
              <w:spacing w:after="0" w:line="192" w:lineRule="exact"/>
              <w:rPr>
                <w:sz w:val="20"/>
                <w:szCs w:val="20"/>
                <w:color w:val="auto"/>
              </w:rPr>
            </w:pPr>
            <w:r>
              <w:rPr>
                <w:rFonts w:ascii="Arial" w:cs="Arial" w:eastAsia="Arial" w:hAnsi="Arial"/>
                <w:sz w:val="17"/>
                <w:szCs w:val="17"/>
                <w:color w:val="auto"/>
              </w:rPr>
              <w:t>35%</w:t>
            </w:r>
          </w:p>
        </w:tc>
        <w:tc>
          <w:tcPr>
            <w:tcW w:w="940" w:type="dxa"/>
            <w:vAlign w:val="bottom"/>
            <w:shd w:val="clear" w:color="auto" w:fill="D8D8D8"/>
          </w:tcPr>
          <w:p>
            <w:pPr>
              <w:jc w:val="right"/>
              <w:ind w:right="222"/>
              <w:spacing w:after="0" w:line="192" w:lineRule="exact"/>
              <w:rPr>
                <w:sz w:val="20"/>
                <w:szCs w:val="20"/>
                <w:color w:val="auto"/>
              </w:rPr>
            </w:pPr>
            <w:r>
              <w:rPr>
                <w:rFonts w:ascii="Arial" w:cs="Arial" w:eastAsia="Arial" w:hAnsi="Arial"/>
                <w:sz w:val="17"/>
                <w:szCs w:val="17"/>
                <w:color w:val="auto"/>
              </w:rPr>
              <w:t>$6,938</w:t>
            </w:r>
          </w:p>
        </w:tc>
        <w:tc>
          <w:tcPr>
            <w:tcW w:w="8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$7,381</w:t>
            </w:r>
          </w:p>
        </w:tc>
        <w:tc>
          <w:tcPr>
            <w:tcW w:w="1420" w:type="dxa"/>
            <w:vAlign w:val="bottom"/>
            <w:shd w:val="clear" w:color="auto" w:fill="D8D8D8"/>
          </w:tcPr>
          <w:p>
            <w:pPr>
              <w:jc w:val="right"/>
              <w:ind w:right="205"/>
              <w:spacing w:after="0" w:line="192" w:lineRule="exact"/>
              <w:rPr>
                <w:sz w:val="20"/>
                <w:szCs w:val="20"/>
                <w:color w:val="auto"/>
              </w:rPr>
            </w:pPr>
            <w:r>
              <w:rPr>
                <w:rFonts w:ascii="Arial" w:cs="Arial" w:eastAsia="Arial" w:hAnsi="Arial"/>
                <w:sz w:val="17"/>
                <w:szCs w:val="17"/>
                <w:color w:val="auto"/>
              </w:rPr>
              <w:t>$7,824</w:t>
            </w:r>
          </w:p>
        </w:tc>
        <w:tc>
          <w:tcPr>
            <w:tcW w:w="1320" w:type="dxa"/>
            <w:vAlign w:val="bottom"/>
            <w:shd w:val="clear" w:color="auto" w:fill="D8D8D8"/>
          </w:tcPr>
          <w:p>
            <w:pPr>
              <w:jc w:val="right"/>
              <w:ind w:right="242"/>
              <w:spacing w:after="0" w:line="192" w:lineRule="exact"/>
              <w:rPr>
                <w:sz w:val="20"/>
                <w:szCs w:val="20"/>
                <w:color w:val="auto"/>
              </w:rPr>
            </w:pPr>
            <w:r>
              <w:rPr>
                <w:rFonts w:ascii="Arial" w:cs="Arial" w:eastAsia="Arial" w:hAnsi="Arial"/>
                <w:sz w:val="17"/>
                <w:szCs w:val="17"/>
                <w:i w:val="1"/>
                <w:iCs w:val="1"/>
                <w:color w:val="auto"/>
              </w:rPr>
              <w:t>$7,133</w:t>
            </w:r>
          </w:p>
        </w:tc>
        <w:tc>
          <w:tcPr>
            <w:tcW w:w="1060" w:type="dxa"/>
            <w:vAlign w:val="bottom"/>
            <w:shd w:val="clear" w:color="auto" w:fill="D8D8D8"/>
          </w:tcPr>
          <w:p>
            <w:pPr>
              <w:jc w:val="right"/>
              <w:ind w:right="123"/>
              <w:spacing w:after="0" w:line="192" w:lineRule="exact"/>
              <w:rPr>
                <w:sz w:val="20"/>
                <w:szCs w:val="20"/>
                <w:color w:val="auto"/>
              </w:rPr>
            </w:pPr>
            <w:r>
              <w:rPr>
                <w:rFonts w:ascii="Arial" w:cs="Arial" w:eastAsia="Arial" w:hAnsi="Arial"/>
                <w:sz w:val="17"/>
                <w:szCs w:val="17"/>
                <w:b w:val="1"/>
                <w:bCs w:val="1"/>
                <w:i w:val="1"/>
                <w:iCs w:val="1"/>
                <w:color w:val="auto"/>
              </w:rPr>
              <w:t>85%</w:t>
            </w:r>
          </w:p>
        </w:tc>
        <w:tc>
          <w:tcPr>
            <w:tcW w:w="0" w:type="dxa"/>
            <w:vAlign w:val="bottom"/>
          </w:tcPr>
          <w:p>
            <w:pPr>
              <w:spacing w:after="0"/>
              <w:rPr>
                <w:sz w:val="1"/>
                <w:szCs w:val="1"/>
                <w:color w:val="auto"/>
              </w:rPr>
            </w:pPr>
          </w:p>
        </w:tc>
      </w:tr>
      <w:tr>
        <w:trPr>
          <w:trHeight w:val="192"/>
        </w:trPr>
        <w:tc>
          <w:tcPr>
            <w:tcW w:w="4680" w:type="dxa"/>
            <w:vAlign w:val="bottom"/>
          </w:tcPr>
          <w:p>
            <w:pPr>
              <w:spacing w:after="0" w:line="192" w:lineRule="exact"/>
              <w:rPr>
                <w:sz w:val="20"/>
                <w:szCs w:val="20"/>
                <w:color w:val="auto"/>
              </w:rPr>
            </w:pPr>
            <w:r>
              <w:rPr>
                <w:rFonts w:ascii="Arial" w:cs="Arial" w:eastAsia="Arial" w:hAnsi="Arial"/>
                <w:sz w:val="17"/>
                <w:szCs w:val="17"/>
                <w:color w:val="auto"/>
              </w:rPr>
              <w:t>Free Cash Flow</w:t>
            </w:r>
          </w:p>
        </w:tc>
        <w:tc>
          <w:tcPr>
            <w:tcW w:w="1160" w:type="dxa"/>
            <w:vAlign w:val="bottom"/>
          </w:tcPr>
          <w:p>
            <w:pPr>
              <w:jc w:val="right"/>
              <w:ind w:right="462"/>
              <w:spacing w:after="0" w:line="192" w:lineRule="exact"/>
              <w:rPr>
                <w:sz w:val="20"/>
                <w:szCs w:val="20"/>
                <w:color w:val="auto"/>
              </w:rPr>
            </w:pPr>
            <w:r>
              <w:rPr>
                <w:rFonts w:ascii="Arial" w:cs="Arial" w:eastAsia="Arial" w:hAnsi="Arial"/>
                <w:sz w:val="17"/>
                <w:szCs w:val="17"/>
                <w:color w:val="auto"/>
              </w:rPr>
              <w:t>20%</w:t>
            </w:r>
          </w:p>
        </w:tc>
        <w:tc>
          <w:tcPr>
            <w:tcW w:w="940" w:type="dxa"/>
            <w:vAlign w:val="bottom"/>
          </w:tcPr>
          <w:p>
            <w:pPr>
              <w:jc w:val="right"/>
              <w:ind w:right="222"/>
              <w:spacing w:after="0" w:line="192" w:lineRule="exact"/>
              <w:rPr>
                <w:sz w:val="20"/>
                <w:szCs w:val="20"/>
                <w:color w:val="auto"/>
              </w:rPr>
            </w:pPr>
            <w:r>
              <w:rPr>
                <w:rFonts w:ascii="Arial" w:cs="Arial" w:eastAsia="Arial" w:hAnsi="Arial"/>
                <w:sz w:val="17"/>
                <w:szCs w:val="17"/>
                <w:color w:val="auto"/>
              </w:rPr>
              <w:t>$2,465</w:t>
            </w:r>
          </w:p>
        </w:tc>
        <w:tc>
          <w:tcPr>
            <w:tcW w:w="840" w:type="dxa"/>
            <w:vAlign w:val="bottom"/>
          </w:tcPr>
          <w:p>
            <w:pPr>
              <w:jc w:val="right"/>
              <w:spacing w:after="0" w:line="192" w:lineRule="exact"/>
              <w:rPr>
                <w:sz w:val="20"/>
                <w:szCs w:val="20"/>
                <w:color w:val="auto"/>
              </w:rPr>
            </w:pPr>
            <w:r>
              <w:rPr>
                <w:rFonts w:ascii="Arial" w:cs="Arial" w:eastAsia="Arial" w:hAnsi="Arial"/>
                <w:sz w:val="17"/>
                <w:szCs w:val="17"/>
                <w:color w:val="auto"/>
              </w:rPr>
              <w:t>$2,900</w:t>
            </w:r>
          </w:p>
        </w:tc>
        <w:tc>
          <w:tcPr>
            <w:tcW w:w="1420" w:type="dxa"/>
            <w:vAlign w:val="bottom"/>
          </w:tcPr>
          <w:p>
            <w:pPr>
              <w:jc w:val="right"/>
              <w:ind w:right="205"/>
              <w:spacing w:after="0" w:line="192" w:lineRule="exact"/>
              <w:rPr>
                <w:sz w:val="20"/>
                <w:szCs w:val="20"/>
                <w:color w:val="auto"/>
              </w:rPr>
            </w:pPr>
            <w:r>
              <w:rPr>
                <w:rFonts w:ascii="Arial" w:cs="Arial" w:eastAsia="Arial" w:hAnsi="Arial"/>
                <w:sz w:val="17"/>
                <w:szCs w:val="17"/>
                <w:color w:val="auto"/>
              </w:rPr>
              <w:t>$3,625</w:t>
            </w:r>
          </w:p>
        </w:tc>
        <w:tc>
          <w:tcPr>
            <w:tcW w:w="1320" w:type="dxa"/>
            <w:vAlign w:val="bottom"/>
          </w:tcPr>
          <w:p>
            <w:pPr>
              <w:jc w:val="right"/>
              <w:ind w:right="242"/>
              <w:spacing w:after="0" w:line="192" w:lineRule="exact"/>
              <w:rPr>
                <w:sz w:val="20"/>
                <w:szCs w:val="20"/>
                <w:color w:val="auto"/>
              </w:rPr>
            </w:pPr>
            <w:r>
              <w:rPr>
                <w:rFonts w:ascii="Arial" w:cs="Arial" w:eastAsia="Arial" w:hAnsi="Arial"/>
                <w:sz w:val="17"/>
                <w:szCs w:val="17"/>
                <w:i w:val="1"/>
                <w:iCs w:val="1"/>
                <w:color w:val="auto"/>
              </w:rPr>
              <w:t>$2,749</w:t>
            </w:r>
          </w:p>
        </w:tc>
        <w:tc>
          <w:tcPr>
            <w:tcW w:w="1060" w:type="dxa"/>
            <w:vAlign w:val="bottom"/>
          </w:tcPr>
          <w:p>
            <w:pPr>
              <w:jc w:val="right"/>
              <w:ind w:right="123"/>
              <w:spacing w:after="0" w:line="192" w:lineRule="exact"/>
              <w:rPr>
                <w:sz w:val="20"/>
                <w:szCs w:val="20"/>
                <w:color w:val="auto"/>
              </w:rPr>
            </w:pPr>
            <w:r>
              <w:rPr>
                <w:rFonts w:ascii="Arial" w:cs="Arial" w:eastAsia="Arial" w:hAnsi="Arial"/>
                <w:sz w:val="17"/>
                <w:szCs w:val="17"/>
                <w:b w:val="1"/>
                <w:bCs w:val="1"/>
                <w:i w:val="1"/>
                <w:iCs w:val="1"/>
                <w:color w:val="auto"/>
              </w:rPr>
              <w:t>95%</w:t>
            </w:r>
          </w:p>
        </w:tc>
        <w:tc>
          <w:tcPr>
            <w:tcW w:w="0" w:type="dxa"/>
            <w:vAlign w:val="bottom"/>
          </w:tcPr>
          <w:p>
            <w:pPr>
              <w:spacing w:after="0"/>
              <w:rPr>
                <w:sz w:val="1"/>
                <w:szCs w:val="1"/>
                <w:color w:val="auto"/>
              </w:rPr>
            </w:pPr>
          </w:p>
        </w:tc>
      </w:tr>
      <w:tr>
        <w:trPr>
          <w:trHeight w:val="192"/>
        </w:trPr>
        <w:tc>
          <w:tcPr>
            <w:tcW w:w="4680" w:type="dxa"/>
            <w:vAlign w:val="bottom"/>
            <w:shd w:val="clear" w:color="auto" w:fill="D8D8D8"/>
          </w:tcPr>
          <w:p>
            <w:pPr>
              <w:ind w:left="200"/>
              <w:spacing w:after="0" w:line="192" w:lineRule="exact"/>
              <w:rPr>
                <w:sz w:val="20"/>
                <w:szCs w:val="20"/>
                <w:color w:val="auto"/>
              </w:rPr>
            </w:pPr>
            <w:r>
              <w:rPr>
                <w:rFonts w:ascii="Arial" w:cs="Arial" w:eastAsia="Arial" w:hAnsi="Arial"/>
                <w:sz w:val="17"/>
                <w:szCs w:val="17"/>
                <w:b w:val="1"/>
                <w:bCs w:val="1"/>
                <w:color w:val="auto"/>
              </w:rPr>
              <w:t>Actual Rating</w:t>
            </w:r>
          </w:p>
        </w:tc>
        <w:tc>
          <w:tcPr>
            <w:tcW w:w="1160" w:type="dxa"/>
            <w:vAlign w:val="bottom"/>
            <w:shd w:val="clear" w:color="auto" w:fill="D8D8D8"/>
          </w:tcPr>
          <w:p>
            <w:pPr>
              <w:spacing w:after="0"/>
              <w:rPr>
                <w:sz w:val="16"/>
                <w:szCs w:val="16"/>
                <w:color w:val="auto"/>
              </w:rPr>
            </w:pPr>
          </w:p>
        </w:tc>
        <w:tc>
          <w:tcPr>
            <w:tcW w:w="940" w:type="dxa"/>
            <w:vAlign w:val="bottom"/>
            <w:shd w:val="clear" w:color="auto" w:fill="D8D8D8"/>
          </w:tcPr>
          <w:p>
            <w:pPr>
              <w:spacing w:after="0"/>
              <w:rPr>
                <w:sz w:val="16"/>
                <w:szCs w:val="16"/>
                <w:color w:val="auto"/>
              </w:rPr>
            </w:pPr>
          </w:p>
        </w:tc>
        <w:tc>
          <w:tcPr>
            <w:tcW w:w="840" w:type="dxa"/>
            <w:vAlign w:val="bottom"/>
            <w:shd w:val="clear" w:color="auto" w:fill="D8D8D8"/>
          </w:tcPr>
          <w:p>
            <w:pPr>
              <w:spacing w:after="0"/>
              <w:rPr>
                <w:sz w:val="16"/>
                <w:szCs w:val="16"/>
                <w:color w:val="auto"/>
              </w:rPr>
            </w:pPr>
          </w:p>
        </w:tc>
        <w:tc>
          <w:tcPr>
            <w:tcW w:w="1420" w:type="dxa"/>
            <w:vAlign w:val="bottom"/>
            <w:shd w:val="clear" w:color="auto" w:fill="D8D8D8"/>
          </w:tcPr>
          <w:p>
            <w:pPr>
              <w:spacing w:after="0"/>
              <w:rPr>
                <w:sz w:val="16"/>
                <w:szCs w:val="16"/>
                <w:color w:val="auto"/>
              </w:rPr>
            </w:pPr>
          </w:p>
        </w:tc>
        <w:tc>
          <w:tcPr>
            <w:tcW w:w="1320" w:type="dxa"/>
            <w:vAlign w:val="bottom"/>
            <w:shd w:val="clear" w:color="auto" w:fill="D8D8D8"/>
          </w:tcPr>
          <w:p>
            <w:pPr>
              <w:spacing w:after="0"/>
              <w:rPr>
                <w:sz w:val="16"/>
                <w:szCs w:val="16"/>
                <w:color w:val="auto"/>
              </w:rPr>
            </w:pPr>
          </w:p>
        </w:tc>
        <w:tc>
          <w:tcPr>
            <w:tcW w:w="1060" w:type="dxa"/>
            <w:vAlign w:val="bottom"/>
            <w:shd w:val="clear" w:color="auto" w:fill="D8D8D8"/>
          </w:tcPr>
          <w:p>
            <w:pPr>
              <w:jc w:val="right"/>
              <w:ind w:right="123"/>
              <w:spacing w:after="0" w:line="192" w:lineRule="exact"/>
              <w:rPr>
                <w:sz w:val="20"/>
                <w:szCs w:val="20"/>
                <w:color w:val="auto"/>
              </w:rPr>
            </w:pPr>
            <w:r>
              <w:rPr>
                <w:rFonts w:ascii="Arial" w:cs="Arial" w:eastAsia="Arial" w:hAnsi="Arial"/>
                <w:sz w:val="17"/>
                <w:szCs w:val="17"/>
                <w:b w:val="1"/>
                <w:bCs w:val="1"/>
                <w:i w:val="1"/>
                <w:iCs w:val="1"/>
                <w:color w:val="auto"/>
              </w:rPr>
              <w:t>130%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 following are the financial targets, actual results and overall business unit ratings that the Committee considered at year end for our Named Executive Officers in business unit positions: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8"/>
              </w:rPr>
              <w:t>Kraft Foods North</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8"/>
              </w:rPr>
              <w:t>Kraft Foods Developing</w:t>
            </w:r>
          </w:p>
        </w:tc>
        <w:tc>
          <w:tcPr>
            <w:tcW w:w="0" w:type="dxa"/>
            <w:vAlign w:val="bottom"/>
          </w:tcPr>
          <w:p>
            <w:pPr>
              <w:spacing w:after="0"/>
              <w:rPr>
                <w:sz w:val="1"/>
                <w:szCs w:val="1"/>
                <w:color w:val="auto"/>
              </w:rPr>
            </w:pPr>
          </w:p>
        </w:tc>
      </w:tr>
      <w:tr>
        <w:trPr>
          <w:trHeight w:val="159"/>
        </w:trPr>
        <w:tc>
          <w:tcPr>
            <w:tcW w:w="6380" w:type="dxa"/>
            <w:vAlign w:val="bottom"/>
            <w:gridSpan w:val="2"/>
          </w:tcPr>
          <w:p>
            <w:pPr>
              <w:spacing w:after="0"/>
              <w:rPr>
                <w:sz w:val="20"/>
                <w:szCs w:val="20"/>
                <w:color w:val="auto"/>
              </w:rPr>
            </w:pPr>
            <w:r>
              <w:rPr>
                <w:rFonts w:ascii="Arial" w:cs="Arial" w:eastAsia="Arial" w:hAnsi="Arial"/>
                <w:sz w:val="13"/>
                <w:szCs w:val="13"/>
                <w:b w:val="1"/>
                <w:bCs w:val="1"/>
                <w:color w:val="auto"/>
              </w:rPr>
              <w:t>Key Financial Metrics</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3"/>
          </w:tcPr>
          <w:p>
            <w:pPr>
              <w:jc w:val="center"/>
              <w:ind w:right="200"/>
              <w:spacing w:after="0" w:line="154" w:lineRule="exact"/>
              <w:rPr>
                <w:sz w:val="20"/>
                <w:szCs w:val="20"/>
                <w:color w:val="auto"/>
              </w:rPr>
            </w:pPr>
            <w:r>
              <w:rPr>
                <w:rFonts w:ascii="Arial" w:cs="Arial" w:eastAsia="Arial" w:hAnsi="Arial"/>
                <w:sz w:val="11"/>
                <w:szCs w:val="11"/>
                <w:b w:val="1"/>
                <w:bCs w:val="1"/>
                <w:color w:val="auto"/>
              </w:rPr>
              <w:t>America</w:t>
            </w:r>
            <w:r>
              <w:rPr>
                <w:rFonts w:ascii="Arial" w:cs="Arial" w:eastAsia="Arial" w:hAnsi="Arial"/>
                <w:sz w:val="17"/>
                <w:szCs w:val="17"/>
                <w:b w:val="1"/>
                <w:bCs w:val="1"/>
                <w:color w:val="auto"/>
                <w:vertAlign w:val="superscript"/>
              </w:rPr>
              <w:t>(1)</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gridSpan w:val="3"/>
          </w:tcPr>
          <w:p>
            <w:pPr>
              <w:jc w:val="center"/>
              <w:ind w:right="180"/>
              <w:spacing w:after="0" w:line="154" w:lineRule="exact"/>
              <w:rPr>
                <w:sz w:val="20"/>
                <w:szCs w:val="20"/>
                <w:color w:val="auto"/>
              </w:rPr>
            </w:pPr>
            <w:r>
              <w:rPr>
                <w:rFonts w:ascii="Arial" w:cs="Arial" w:eastAsia="Arial" w:hAnsi="Arial"/>
                <w:sz w:val="11"/>
                <w:szCs w:val="11"/>
                <w:b w:val="1"/>
                <w:bCs w:val="1"/>
                <w:color w:val="auto"/>
              </w:rPr>
              <w:t>Markets</w:t>
            </w:r>
            <w:r>
              <w:rPr>
                <w:rFonts w:ascii="Arial" w:cs="Arial" w:eastAsia="Arial" w:hAnsi="Arial"/>
                <w:sz w:val="17"/>
                <w:szCs w:val="17"/>
                <w:b w:val="1"/>
                <w:bCs w:val="1"/>
                <w:color w:val="auto"/>
                <w:vertAlign w:val="superscript"/>
              </w:rPr>
              <w:t>(2)</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620" w:type="dxa"/>
            <w:vAlign w:val="bottom"/>
            <w:tcBorders>
              <w:top w:val="single" w:sz="8" w:color="auto"/>
            </w:tcBorders>
          </w:tcPr>
          <w:p>
            <w:pPr>
              <w:spacing w:after="0"/>
              <w:rPr>
                <w:sz w:val="10"/>
                <w:szCs w:val="10"/>
                <w:color w:val="auto"/>
              </w:rPr>
            </w:pPr>
          </w:p>
        </w:tc>
        <w:tc>
          <w:tcPr>
            <w:tcW w:w="47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tcPr>
          <w:p>
            <w:pPr>
              <w:jc w:val="center"/>
              <w:ind w:left="226"/>
              <w:spacing w:after="0" w:line="124" w:lineRule="exact"/>
              <w:rPr>
                <w:sz w:val="20"/>
                <w:szCs w:val="20"/>
                <w:color w:val="auto"/>
              </w:rPr>
            </w:pPr>
            <w:r>
              <w:rPr>
                <w:rFonts w:ascii="Arial" w:cs="Arial" w:eastAsia="Arial" w:hAnsi="Arial"/>
                <w:sz w:val="13"/>
                <w:szCs w:val="13"/>
                <w:b w:val="1"/>
                <w:bCs w:val="1"/>
                <w:color w:val="auto"/>
                <w:w w:val="96"/>
              </w:rPr>
              <w:t>2011</w:t>
            </w: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6"/>
              </w:rPr>
              <w:t>Perf.</w:t>
            </w:r>
          </w:p>
        </w:tc>
        <w:tc>
          <w:tcPr>
            <w:tcW w:w="2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ind w:left="149"/>
              <w:spacing w:after="0" w:line="124" w:lineRule="exact"/>
              <w:rPr>
                <w:sz w:val="20"/>
                <w:szCs w:val="20"/>
                <w:color w:val="auto"/>
              </w:rPr>
            </w:pPr>
            <w:r>
              <w:rPr>
                <w:rFonts w:ascii="Arial" w:cs="Arial" w:eastAsia="Arial" w:hAnsi="Arial"/>
                <w:sz w:val="13"/>
                <w:szCs w:val="13"/>
                <w:b w:val="1"/>
                <w:bCs w:val="1"/>
                <w:color w:val="auto"/>
                <w:w w:val="96"/>
              </w:rPr>
              <w:t>2011</w:t>
            </w:r>
          </w:p>
        </w:tc>
        <w:tc>
          <w:tcPr>
            <w:tcW w:w="2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6"/>
              </w:rPr>
              <w:t>Perf.</w:t>
            </w:r>
          </w:p>
        </w:tc>
        <w:tc>
          <w:tcPr>
            <w:tcW w:w="0" w:type="dxa"/>
            <w:vAlign w:val="bottom"/>
          </w:tcPr>
          <w:p>
            <w:pPr>
              <w:spacing w:after="0"/>
              <w:rPr>
                <w:sz w:val="1"/>
                <w:szCs w:val="1"/>
                <w:color w:val="auto"/>
              </w:rPr>
            </w:pPr>
          </w:p>
        </w:tc>
      </w:tr>
      <w:tr>
        <w:trPr>
          <w:trHeight w:val="157"/>
        </w:trPr>
        <w:tc>
          <w:tcPr>
            <w:tcW w:w="6380" w:type="dxa"/>
            <w:vAlign w:val="bottom"/>
            <w:gridSpan w:val="2"/>
            <w:vMerge w:val="restart"/>
          </w:tcPr>
          <w:p>
            <w:pPr>
              <w:spacing w:after="0"/>
              <w:rPr>
                <w:sz w:val="20"/>
                <w:szCs w:val="20"/>
                <w:color w:val="auto"/>
              </w:rPr>
            </w:pPr>
            <w:r>
              <w:rPr>
                <w:rFonts w:ascii="Arial" w:cs="Arial" w:eastAsia="Arial" w:hAnsi="Arial"/>
                <w:sz w:val="17"/>
                <w:szCs w:val="17"/>
                <w:color w:val="auto"/>
              </w:rPr>
              <w:t>Organic Net Revenue Growth</w:t>
            </w:r>
          </w:p>
        </w:tc>
        <w:tc>
          <w:tcPr>
            <w:tcW w:w="660" w:type="dxa"/>
            <w:vAlign w:val="bottom"/>
          </w:tcPr>
          <w:p>
            <w:pPr>
              <w:jc w:val="center"/>
              <w:ind w:left="2"/>
              <w:spacing w:after="0"/>
              <w:rPr>
                <w:sz w:val="20"/>
                <w:szCs w:val="20"/>
                <w:color w:val="auto"/>
              </w:rPr>
            </w:pPr>
            <w:r>
              <w:rPr>
                <w:rFonts w:ascii="Arial" w:cs="Arial" w:eastAsia="Arial" w:hAnsi="Arial"/>
                <w:sz w:val="13"/>
                <w:szCs w:val="13"/>
                <w:b w:val="1"/>
                <w:bCs w:val="1"/>
                <w:color w:val="auto"/>
                <w:w w:val="95"/>
              </w:rPr>
              <w:t>Target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3"/>
                <w:szCs w:val="13"/>
                <w:b w:val="1"/>
                <w:bCs w:val="1"/>
                <w:color w:val="auto"/>
              </w:rPr>
              <w:t>Actual</w:t>
            </w: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Rating</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5"/>
              </w:rPr>
              <w:t>Target</w:t>
            </w:r>
          </w:p>
        </w:tc>
        <w:tc>
          <w:tcPr>
            <w:tcW w:w="220" w:type="dxa"/>
            <w:vAlign w:val="bottom"/>
          </w:tcPr>
          <w:p>
            <w:pPr>
              <w:spacing w:after="0"/>
              <w:rPr>
                <w:sz w:val="13"/>
                <w:szCs w:val="13"/>
                <w:color w:val="auto"/>
              </w:rPr>
            </w:pPr>
          </w:p>
        </w:tc>
        <w:tc>
          <w:tcPr>
            <w:tcW w:w="860" w:type="dxa"/>
            <w:vAlign w:val="bottom"/>
            <w:gridSpan w:val="2"/>
          </w:tcPr>
          <w:p>
            <w:pPr>
              <w:ind w:left="120"/>
              <w:spacing w:after="0"/>
              <w:rPr>
                <w:sz w:val="20"/>
                <w:szCs w:val="20"/>
                <w:color w:val="auto"/>
              </w:rPr>
            </w:pPr>
            <w:r>
              <w:rPr>
                <w:rFonts w:ascii="Arial" w:cs="Arial" w:eastAsia="Arial" w:hAnsi="Arial"/>
                <w:sz w:val="13"/>
                <w:szCs w:val="13"/>
                <w:b w:val="1"/>
                <w:bCs w:val="1"/>
                <w:color w:val="auto"/>
              </w:rPr>
              <w:t>Actual</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8"/>
              </w:rPr>
              <w:t>Rating</w:t>
            </w:r>
          </w:p>
        </w:tc>
        <w:tc>
          <w:tcPr>
            <w:tcW w:w="0" w:type="dxa"/>
            <w:vAlign w:val="bottom"/>
          </w:tcPr>
          <w:p>
            <w:pPr>
              <w:spacing w:after="0"/>
              <w:rPr>
                <w:sz w:val="1"/>
                <w:szCs w:val="1"/>
                <w:color w:val="auto"/>
              </w:rPr>
            </w:pPr>
          </w:p>
        </w:tc>
      </w:tr>
      <w:tr>
        <w:trPr>
          <w:trHeight w:val="185"/>
        </w:trPr>
        <w:tc>
          <w:tcPr>
            <w:tcW w:w="6380" w:type="dxa"/>
            <w:vAlign w:val="bottom"/>
            <w:gridSpan w:val="2"/>
            <w:vMerge w:val="continue"/>
          </w:tcPr>
          <w:p>
            <w:pPr>
              <w:spacing w:after="0"/>
              <w:rPr>
                <w:sz w:val="16"/>
                <w:szCs w:val="16"/>
                <w:color w:val="auto"/>
              </w:rPr>
            </w:pPr>
          </w:p>
        </w:tc>
        <w:tc>
          <w:tcPr>
            <w:tcW w:w="66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7"/>
                <w:szCs w:val="17"/>
                <w:color w:val="auto"/>
              </w:rPr>
              <w:t>2.7%</w:t>
            </w:r>
          </w:p>
        </w:tc>
        <w:tc>
          <w:tcPr>
            <w:tcW w:w="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top w:val="single" w:sz="8" w:color="auto"/>
            </w:tcBorders>
          </w:tcPr>
          <w:p>
            <w:pPr>
              <w:jc w:val="right"/>
              <w:ind w:right="6"/>
              <w:spacing w:after="0" w:line="185" w:lineRule="exact"/>
              <w:rPr>
                <w:sz w:val="20"/>
                <w:szCs w:val="20"/>
                <w:color w:val="auto"/>
              </w:rPr>
            </w:pPr>
            <w:r>
              <w:rPr>
                <w:rFonts w:ascii="Arial" w:cs="Arial" w:eastAsia="Arial" w:hAnsi="Arial"/>
                <w:sz w:val="17"/>
                <w:szCs w:val="17"/>
                <w:i w:val="1"/>
                <w:iCs w:val="1"/>
                <w:color w:val="auto"/>
              </w:rPr>
              <w:t>4.8%</w:t>
            </w:r>
          </w:p>
        </w:tc>
        <w:tc>
          <w:tcPr>
            <w:tcW w:w="220" w:type="dxa"/>
            <w:vAlign w:val="bottom"/>
          </w:tcPr>
          <w:p>
            <w:pPr>
              <w:spacing w:after="0"/>
              <w:rPr>
                <w:sz w:val="16"/>
                <w:szCs w:val="16"/>
                <w:color w:val="auto"/>
              </w:rPr>
            </w:pPr>
          </w:p>
        </w:tc>
        <w:tc>
          <w:tcPr>
            <w:tcW w:w="540" w:type="dxa"/>
            <w:vAlign w:val="bottom"/>
            <w:tcBorders>
              <w:top w:val="single" w:sz="8" w:color="auto"/>
            </w:tcBorders>
          </w:tcPr>
          <w:p>
            <w:pPr>
              <w:jc w:val="right"/>
              <w:spacing w:after="0" w:line="185" w:lineRule="exact"/>
              <w:rPr>
                <w:sz w:val="20"/>
                <w:szCs w:val="20"/>
                <w:color w:val="auto"/>
              </w:rPr>
            </w:pPr>
            <w:r>
              <w:rPr>
                <w:rFonts w:ascii="Arial" w:cs="Arial" w:eastAsia="Arial" w:hAnsi="Arial"/>
                <w:sz w:val="17"/>
                <w:szCs w:val="17"/>
                <w:b w:val="1"/>
                <w:bCs w:val="1"/>
                <w:i w:val="1"/>
                <w:iCs w:val="1"/>
                <w:color w:val="auto"/>
              </w:rPr>
              <w:t>180%</w:t>
            </w:r>
          </w:p>
        </w:tc>
        <w:tc>
          <w:tcPr>
            <w:tcW w:w="220" w:type="dxa"/>
            <w:vAlign w:val="bottom"/>
          </w:tcPr>
          <w:p>
            <w:pPr>
              <w:spacing w:after="0"/>
              <w:rPr>
                <w:sz w:val="16"/>
                <w:szCs w:val="16"/>
                <w:color w:val="auto"/>
              </w:rPr>
            </w:pPr>
          </w:p>
        </w:tc>
        <w:tc>
          <w:tcPr>
            <w:tcW w:w="740" w:type="dxa"/>
            <w:vAlign w:val="bottom"/>
            <w:tcBorders>
              <w:top w:val="single" w:sz="8" w:color="auto"/>
            </w:tcBorders>
          </w:tcPr>
          <w:p>
            <w:pPr>
              <w:jc w:val="right"/>
              <w:ind w:right="5"/>
              <w:spacing w:after="0" w:line="185" w:lineRule="exact"/>
              <w:rPr>
                <w:sz w:val="20"/>
                <w:szCs w:val="20"/>
                <w:color w:val="auto"/>
              </w:rPr>
            </w:pPr>
            <w:r>
              <w:rPr>
                <w:rFonts w:ascii="Arial" w:cs="Arial" w:eastAsia="Arial" w:hAnsi="Arial"/>
                <w:sz w:val="17"/>
                <w:szCs w:val="17"/>
                <w:color w:val="auto"/>
              </w:rPr>
              <w:t>10.3%</w:t>
            </w:r>
          </w:p>
        </w:tc>
        <w:tc>
          <w:tcPr>
            <w:tcW w:w="220" w:type="dxa"/>
            <w:vAlign w:val="bottom"/>
          </w:tcPr>
          <w:p>
            <w:pPr>
              <w:spacing w:after="0"/>
              <w:rPr>
                <w:sz w:val="16"/>
                <w:szCs w:val="16"/>
                <w:color w:val="auto"/>
              </w:rPr>
            </w:pPr>
          </w:p>
        </w:tc>
        <w:tc>
          <w:tcPr>
            <w:tcW w:w="64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7"/>
                <w:szCs w:val="17"/>
                <w:i w:val="1"/>
                <w:iCs w:val="1"/>
                <w:color w:val="auto"/>
                <w:w w:val="99"/>
              </w:rPr>
              <w:t>11.4%</w:t>
            </w:r>
          </w:p>
        </w:tc>
        <w:tc>
          <w:tcPr>
            <w:tcW w:w="220" w:type="dxa"/>
            <w:vAlign w:val="bottom"/>
          </w:tcPr>
          <w:p>
            <w:pPr>
              <w:spacing w:after="0"/>
              <w:rPr>
                <w:sz w:val="16"/>
                <w:szCs w:val="16"/>
                <w:color w:val="auto"/>
              </w:rPr>
            </w:pPr>
          </w:p>
        </w:tc>
        <w:tc>
          <w:tcPr>
            <w:tcW w:w="5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7"/>
                <w:szCs w:val="17"/>
                <w:b w:val="1"/>
                <w:bCs w:val="1"/>
                <w:i w:val="1"/>
                <w:iCs w:val="1"/>
                <w:color w:val="auto"/>
                <w:w w:val="96"/>
              </w:rPr>
              <w:t>111%</w:t>
            </w:r>
          </w:p>
        </w:tc>
        <w:tc>
          <w:tcPr>
            <w:tcW w:w="0" w:type="dxa"/>
            <w:vAlign w:val="bottom"/>
          </w:tcPr>
          <w:p>
            <w:pPr>
              <w:spacing w:after="0"/>
              <w:rPr>
                <w:sz w:val="1"/>
                <w:szCs w:val="1"/>
                <w:color w:val="auto"/>
              </w:rPr>
            </w:pPr>
          </w:p>
        </w:tc>
      </w:tr>
      <w:tr>
        <w:trPr>
          <w:trHeight w:val="192"/>
        </w:trPr>
        <w:tc>
          <w:tcPr>
            <w:tcW w:w="638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Adjusted Segment Operating Income</w:t>
            </w:r>
          </w:p>
        </w:tc>
        <w:tc>
          <w:tcPr>
            <w:tcW w:w="660" w:type="dxa"/>
            <w:vAlign w:val="bottom"/>
            <w:shd w:val="clear" w:color="auto" w:fill="D8D8D8"/>
          </w:tcPr>
          <w:p>
            <w:pPr>
              <w:jc w:val="center"/>
              <w:ind w:left="2"/>
              <w:spacing w:after="0" w:line="192" w:lineRule="exact"/>
              <w:rPr>
                <w:sz w:val="20"/>
                <w:szCs w:val="20"/>
                <w:color w:val="auto"/>
              </w:rPr>
            </w:pPr>
            <w:r>
              <w:rPr>
                <w:rFonts w:ascii="Arial" w:cs="Arial" w:eastAsia="Arial" w:hAnsi="Arial"/>
                <w:sz w:val="17"/>
                <w:szCs w:val="17"/>
                <w:color w:val="auto"/>
                <w:w w:val="96"/>
              </w:rPr>
              <w:t>$4,336</w:t>
            </w:r>
          </w:p>
        </w:tc>
        <w:tc>
          <w:tcPr>
            <w:tcW w:w="1020" w:type="dxa"/>
            <w:vAlign w:val="bottom"/>
            <w:gridSpan w:val="3"/>
            <w:shd w:val="clear" w:color="auto" w:fill="D8D8D8"/>
          </w:tcPr>
          <w:p>
            <w:pPr>
              <w:jc w:val="center"/>
              <w:ind w:left="226"/>
              <w:spacing w:after="0" w:line="192" w:lineRule="exact"/>
              <w:rPr>
                <w:sz w:val="20"/>
                <w:szCs w:val="20"/>
                <w:color w:val="auto"/>
              </w:rPr>
            </w:pPr>
            <w:r>
              <w:rPr>
                <w:rFonts w:ascii="Arial" w:cs="Arial" w:eastAsia="Arial" w:hAnsi="Arial"/>
                <w:sz w:val="17"/>
                <w:szCs w:val="17"/>
                <w:i w:val="1"/>
                <w:iCs w:val="1"/>
                <w:color w:val="auto"/>
                <w:w w:val="99"/>
              </w:rPr>
              <w:t>$4,202</w:t>
            </w:r>
          </w:p>
        </w:tc>
        <w:tc>
          <w:tcPr>
            <w:tcW w:w="220" w:type="dxa"/>
            <w:vAlign w:val="bottom"/>
            <w:shd w:val="clear" w:color="auto" w:fill="D8D8D8"/>
          </w:tcPr>
          <w:p>
            <w:pPr>
              <w:spacing w:after="0"/>
              <w:rPr>
                <w:sz w:val="16"/>
                <w:szCs w:val="16"/>
                <w:color w:val="auto"/>
              </w:rPr>
            </w:pPr>
          </w:p>
        </w:tc>
        <w:tc>
          <w:tcPr>
            <w:tcW w:w="5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b w:val="1"/>
                <w:bCs w:val="1"/>
                <w:i w:val="1"/>
                <w:iCs w:val="1"/>
                <w:color w:val="auto"/>
              </w:rPr>
              <w:t>89%</w:t>
            </w:r>
          </w:p>
        </w:tc>
        <w:tc>
          <w:tcPr>
            <w:tcW w:w="220" w:type="dxa"/>
            <w:vAlign w:val="bottom"/>
            <w:shd w:val="clear" w:color="auto" w:fill="D8D8D8"/>
          </w:tcPr>
          <w:p>
            <w:pPr>
              <w:spacing w:after="0"/>
              <w:rPr>
                <w:sz w:val="16"/>
                <w:szCs w:val="16"/>
                <w:color w:val="auto"/>
              </w:rPr>
            </w:pPr>
          </w:p>
        </w:tc>
        <w:tc>
          <w:tcPr>
            <w:tcW w:w="740" w:type="dxa"/>
            <w:vAlign w:val="bottom"/>
            <w:shd w:val="clear" w:color="auto" w:fill="D8D8D8"/>
          </w:tcPr>
          <w:p>
            <w:pPr>
              <w:jc w:val="right"/>
              <w:ind w:right="45"/>
              <w:spacing w:after="0" w:line="192" w:lineRule="exact"/>
              <w:rPr>
                <w:sz w:val="20"/>
                <w:szCs w:val="20"/>
                <w:color w:val="auto"/>
              </w:rPr>
            </w:pPr>
            <w:r>
              <w:rPr>
                <w:rFonts w:ascii="Arial" w:cs="Arial" w:eastAsia="Arial" w:hAnsi="Arial"/>
                <w:sz w:val="17"/>
                <w:szCs w:val="17"/>
                <w:color w:val="auto"/>
              </w:rPr>
              <w:t>$2,157</w:t>
            </w:r>
          </w:p>
        </w:tc>
        <w:tc>
          <w:tcPr>
            <w:tcW w:w="860" w:type="dxa"/>
            <w:vAlign w:val="bottom"/>
            <w:gridSpan w:val="2"/>
            <w:shd w:val="clear" w:color="auto" w:fill="D8D8D8"/>
          </w:tcPr>
          <w:p>
            <w:pPr>
              <w:jc w:val="center"/>
              <w:ind w:left="149"/>
              <w:spacing w:after="0" w:line="192" w:lineRule="exact"/>
              <w:rPr>
                <w:sz w:val="20"/>
                <w:szCs w:val="20"/>
                <w:color w:val="auto"/>
              </w:rPr>
            </w:pPr>
            <w:r>
              <w:rPr>
                <w:rFonts w:ascii="Arial" w:cs="Arial" w:eastAsia="Arial" w:hAnsi="Arial"/>
                <w:sz w:val="17"/>
                <w:szCs w:val="17"/>
                <w:i w:val="1"/>
                <w:iCs w:val="1"/>
                <w:color w:val="auto"/>
                <w:w w:val="99"/>
              </w:rPr>
              <w:t>$2,186</w:t>
            </w:r>
          </w:p>
        </w:tc>
        <w:tc>
          <w:tcPr>
            <w:tcW w:w="220" w:type="dxa"/>
            <w:vAlign w:val="bottom"/>
            <w:shd w:val="clear" w:color="auto" w:fill="D8D8D8"/>
          </w:tcPr>
          <w:p>
            <w:pPr>
              <w:spacing w:after="0"/>
              <w:rPr>
                <w:sz w:val="16"/>
                <w:szCs w:val="16"/>
                <w:color w:val="auto"/>
              </w:rPr>
            </w:pPr>
          </w:p>
        </w:tc>
        <w:tc>
          <w:tcPr>
            <w:tcW w:w="56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b w:val="1"/>
                <w:bCs w:val="1"/>
                <w:i w:val="1"/>
                <w:iCs w:val="1"/>
                <w:color w:val="auto"/>
                <w:w w:val="96"/>
              </w:rPr>
              <w:t>103%</w:t>
            </w:r>
          </w:p>
        </w:tc>
        <w:tc>
          <w:tcPr>
            <w:tcW w:w="0" w:type="dxa"/>
            <w:vAlign w:val="bottom"/>
          </w:tcPr>
          <w:p>
            <w:pPr>
              <w:spacing w:after="0"/>
              <w:rPr>
                <w:sz w:val="1"/>
                <w:szCs w:val="1"/>
                <w:color w:val="auto"/>
              </w:rPr>
            </w:pPr>
          </w:p>
        </w:tc>
      </w:tr>
      <w:tr>
        <w:trPr>
          <w:trHeight w:val="192"/>
        </w:trPr>
        <w:tc>
          <w:tcPr>
            <w:tcW w:w="6380" w:type="dxa"/>
            <w:vAlign w:val="bottom"/>
            <w:gridSpan w:val="2"/>
          </w:tcPr>
          <w:p>
            <w:pPr>
              <w:spacing w:after="0" w:line="192" w:lineRule="exact"/>
              <w:rPr>
                <w:sz w:val="20"/>
                <w:szCs w:val="20"/>
                <w:color w:val="auto"/>
              </w:rPr>
            </w:pPr>
            <w:r>
              <w:rPr>
                <w:rFonts w:ascii="Arial" w:cs="Arial" w:eastAsia="Arial" w:hAnsi="Arial"/>
                <w:sz w:val="17"/>
                <w:szCs w:val="17"/>
                <w:color w:val="auto"/>
              </w:rPr>
              <w:t>Free Cash Flow</w:t>
            </w:r>
          </w:p>
        </w:tc>
        <w:tc>
          <w:tcPr>
            <w:tcW w:w="660" w:type="dxa"/>
            <w:vAlign w:val="bottom"/>
          </w:tcPr>
          <w:p>
            <w:pPr>
              <w:jc w:val="center"/>
              <w:ind w:left="2"/>
              <w:spacing w:after="0" w:line="192" w:lineRule="exact"/>
              <w:rPr>
                <w:sz w:val="20"/>
                <w:szCs w:val="20"/>
                <w:color w:val="auto"/>
              </w:rPr>
            </w:pPr>
            <w:r>
              <w:rPr>
                <w:rFonts w:ascii="Arial" w:cs="Arial" w:eastAsia="Arial" w:hAnsi="Arial"/>
                <w:sz w:val="17"/>
                <w:szCs w:val="17"/>
                <w:color w:val="auto"/>
                <w:w w:val="96"/>
              </w:rPr>
              <w:t>$2,707</w:t>
            </w:r>
          </w:p>
        </w:tc>
        <w:tc>
          <w:tcPr>
            <w:tcW w:w="1020" w:type="dxa"/>
            <w:vAlign w:val="bottom"/>
            <w:gridSpan w:val="3"/>
          </w:tcPr>
          <w:p>
            <w:pPr>
              <w:jc w:val="center"/>
              <w:ind w:left="226"/>
              <w:spacing w:after="0" w:line="192" w:lineRule="exact"/>
              <w:rPr>
                <w:sz w:val="20"/>
                <w:szCs w:val="20"/>
                <w:color w:val="auto"/>
              </w:rPr>
            </w:pPr>
            <w:r>
              <w:rPr>
                <w:rFonts w:ascii="Arial" w:cs="Arial" w:eastAsia="Arial" w:hAnsi="Arial"/>
                <w:sz w:val="17"/>
                <w:szCs w:val="17"/>
                <w:i w:val="1"/>
                <w:iCs w:val="1"/>
                <w:color w:val="auto"/>
                <w:w w:val="99"/>
              </w:rPr>
              <w:t>$2,751</w:t>
            </w:r>
          </w:p>
        </w:tc>
        <w:tc>
          <w:tcPr>
            <w:tcW w:w="220" w:type="dxa"/>
            <w:vAlign w:val="bottom"/>
          </w:tcPr>
          <w:p>
            <w:pPr>
              <w:spacing w:after="0"/>
              <w:rPr>
                <w:sz w:val="16"/>
                <w:szCs w:val="16"/>
                <w:color w:val="auto"/>
              </w:rPr>
            </w:pPr>
          </w:p>
        </w:tc>
        <w:tc>
          <w:tcPr>
            <w:tcW w:w="540" w:type="dxa"/>
            <w:vAlign w:val="bottom"/>
          </w:tcPr>
          <w:p>
            <w:pPr>
              <w:jc w:val="right"/>
              <w:spacing w:after="0" w:line="192" w:lineRule="exact"/>
              <w:rPr>
                <w:sz w:val="20"/>
                <w:szCs w:val="20"/>
                <w:color w:val="auto"/>
              </w:rPr>
            </w:pPr>
            <w:r>
              <w:rPr>
                <w:rFonts w:ascii="Arial" w:cs="Arial" w:eastAsia="Arial" w:hAnsi="Arial"/>
                <w:sz w:val="17"/>
                <w:szCs w:val="17"/>
                <w:b w:val="1"/>
                <w:bCs w:val="1"/>
                <w:i w:val="1"/>
                <w:iCs w:val="1"/>
                <w:color w:val="auto"/>
              </w:rPr>
              <w:t>102%</w:t>
            </w:r>
          </w:p>
        </w:tc>
        <w:tc>
          <w:tcPr>
            <w:tcW w:w="220" w:type="dxa"/>
            <w:vAlign w:val="bottom"/>
          </w:tcPr>
          <w:p>
            <w:pPr>
              <w:spacing w:after="0"/>
              <w:rPr>
                <w:sz w:val="16"/>
                <w:szCs w:val="16"/>
                <w:color w:val="auto"/>
              </w:rPr>
            </w:pPr>
          </w:p>
        </w:tc>
        <w:tc>
          <w:tcPr>
            <w:tcW w:w="740" w:type="dxa"/>
            <w:vAlign w:val="bottom"/>
          </w:tcPr>
          <w:p>
            <w:pPr>
              <w:jc w:val="right"/>
              <w:ind w:right="65"/>
              <w:spacing w:after="0" w:line="192" w:lineRule="exact"/>
              <w:rPr>
                <w:sz w:val="20"/>
                <w:szCs w:val="20"/>
                <w:color w:val="auto"/>
              </w:rPr>
            </w:pPr>
            <w:r>
              <w:rPr>
                <w:rFonts w:ascii="Arial" w:cs="Arial" w:eastAsia="Arial" w:hAnsi="Arial"/>
                <w:sz w:val="17"/>
                <w:szCs w:val="17"/>
                <w:color w:val="auto"/>
              </w:rPr>
              <w:t>$530</w:t>
            </w:r>
          </w:p>
        </w:tc>
        <w:tc>
          <w:tcPr>
            <w:tcW w:w="860" w:type="dxa"/>
            <w:vAlign w:val="bottom"/>
            <w:gridSpan w:val="2"/>
          </w:tcPr>
          <w:p>
            <w:pPr>
              <w:jc w:val="right"/>
              <w:ind w:right="6"/>
              <w:spacing w:after="0" w:line="192" w:lineRule="exact"/>
              <w:rPr>
                <w:sz w:val="20"/>
                <w:szCs w:val="20"/>
                <w:color w:val="auto"/>
              </w:rPr>
            </w:pPr>
            <w:r>
              <w:rPr>
                <w:rFonts w:ascii="Arial" w:cs="Arial" w:eastAsia="Arial" w:hAnsi="Arial"/>
                <w:sz w:val="17"/>
                <w:szCs w:val="17"/>
                <w:i w:val="1"/>
                <w:iCs w:val="1"/>
                <w:color w:val="auto"/>
              </w:rPr>
              <w:t>$671</w:t>
            </w:r>
          </w:p>
        </w:tc>
        <w:tc>
          <w:tcPr>
            <w:tcW w:w="220" w:type="dxa"/>
            <w:vAlign w:val="bottom"/>
          </w:tcPr>
          <w:p>
            <w:pPr>
              <w:spacing w:after="0"/>
              <w:rPr>
                <w:sz w:val="16"/>
                <w:szCs w:val="16"/>
                <w:color w:val="auto"/>
              </w:rPr>
            </w:pPr>
          </w:p>
        </w:tc>
        <w:tc>
          <w:tcPr>
            <w:tcW w:w="560" w:type="dxa"/>
            <w:vAlign w:val="bottom"/>
          </w:tcPr>
          <w:p>
            <w:pPr>
              <w:jc w:val="center"/>
              <w:spacing w:after="0" w:line="192" w:lineRule="exact"/>
              <w:rPr>
                <w:sz w:val="20"/>
                <w:szCs w:val="20"/>
                <w:color w:val="auto"/>
              </w:rPr>
            </w:pPr>
            <w:r>
              <w:rPr>
                <w:rFonts w:ascii="Arial" w:cs="Arial" w:eastAsia="Arial" w:hAnsi="Arial"/>
                <w:sz w:val="17"/>
                <w:szCs w:val="17"/>
                <w:b w:val="1"/>
                <w:bCs w:val="1"/>
                <w:i w:val="1"/>
                <w:iCs w:val="1"/>
                <w:color w:val="auto"/>
                <w:w w:val="96"/>
              </w:rPr>
              <w:t>171%</w:t>
            </w:r>
          </w:p>
        </w:tc>
        <w:tc>
          <w:tcPr>
            <w:tcW w:w="0" w:type="dxa"/>
            <w:vAlign w:val="bottom"/>
          </w:tcPr>
          <w:p>
            <w:pPr>
              <w:spacing w:after="0"/>
              <w:rPr>
                <w:sz w:val="1"/>
                <w:szCs w:val="1"/>
                <w:color w:val="auto"/>
              </w:rPr>
            </w:pPr>
          </w:p>
        </w:tc>
      </w:tr>
      <w:tr>
        <w:trPr>
          <w:trHeight w:val="192"/>
        </w:trPr>
        <w:tc>
          <w:tcPr>
            <w:tcW w:w="6380" w:type="dxa"/>
            <w:vAlign w:val="bottom"/>
            <w:gridSpan w:val="2"/>
            <w:shd w:val="clear" w:color="auto" w:fill="D8D8D8"/>
          </w:tcPr>
          <w:p>
            <w:pPr>
              <w:ind w:left="200"/>
              <w:spacing w:after="0" w:line="192" w:lineRule="exact"/>
              <w:rPr>
                <w:sz w:val="20"/>
                <w:szCs w:val="20"/>
                <w:color w:val="auto"/>
              </w:rPr>
            </w:pPr>
            <w:r>
              <w:rPr>
                <w:rFonts w:ascii="Arial" w:cs="Arial" w:eastAsia="Arial" w:hAnsi="Arial"/>
                <w:sz w:val="17"/>
                <w:szCs w:val="17"/>
                <w:b w:val="1"/>
                <w:bCs w:val="1"/>
                <w:color w:val="auto"/>
              </w:rPr>
              <w:t>Actual Business Unit Rating</w:t>
            </w:r>
          </w:p>
        </w:tc>
        <w:tc>
          <w:tcPr>
            <w:tcW w:w="660" w:type="dxa"/>
            <w:vAlign w:val="bottom"/>
            <w:shd w:val="clear" w:color="auto" w:fill="D8D8D8"/>
          </w:tcPr>
          <w:p>
            <w:pPr>
              <w:spacing w:after="0"/>
              <w:rPr>
                <w:sz w:val="16"/>
                <w:szCs w:val="16"/>
                <w:color w:val="auto"/>
              </w:rPr>
            </w:pPr>
          </w:p>
        </w:tc>
        <w:tc>
          <w:tcPr>
            <w:tcW w:w="8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2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5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b w:val="1"/>
                <w:bCs w:val="1"/>
                <w:i w:val="1"/>
                <w:iCs w:val="1"/>
                <w:color w:val="auto"/>
              </w:rPr>
              <w:t>132%</w:t>
            </w:r>
          </w:p>
        </w:tc>
        <w:tc>
          <w:tcPr>
            <w:tcW w:w="220" w:type="dxa"/>
            <w:vAlign w:val="bottom"/>
            <w:shd w:val="clear" w:color="auto" w:fill="D8D8D8"/>
          </w:tcPr>
          <w:p>
            <w:pPr>
              <w:spacing w:after="0"/>
              <w:rPr>
                <w:sz w:val="16"/>
                <w:szCs w:val="16"/>
                <w:color w:val="auto"/>
              </w:rPr>
            </w:pPr>
          </w:p>
        </w:tc>
        <w:tc>
          <w:tcPr>
            <w:tcW w:w="74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64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56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b w:val="1"/>
                <w:bCs w:val="1"/>
                <w:i w:val="1"/>
                <w:iCs w:val="1"/>
                <w:color w:val="auto"/>
                <w:w w:val="96"/>
              </w:rPr>
              <w:t>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64770</wp:posOffset>
            </wp:positionV>
            <wp:extent cx="7226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4" w:lineRule="exact"/>
        <w:rPr>
          <w:sz w:val="20"/>
          <w:szCs w:val="20"/>
          <w:color w:val="auto"/>
        </w:rPr>
      </w:pPr>
    </w:p>
    <w:p>
      <w:pPr>
        <w:ind w:left="1240" w:right="40" w:hanging="445"/>
        <w:spacing w:after="0" w:line="271" w:lineRule="auto"/>
        <w:tabs>
          <w:tab w:leader="none" w:pos="12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Kraft Foods North America, financial threshold and maximum performance goals are: Organic Net Revenue Growth – 1.2% and 4.7%, Adjusted Segment Operating Income – $4,076 million and $4,596 million, and Free Cash Flow – $2,301 million and $3,384 million.</w:t>
      </w:r>
    </w:p>
    <w:p>
      <w:pPr>
        <w:spacing w:after="0" w:line="45" w:lineRule="exact"/>
        <w:rPr>
          <w:rFonts w:ascii="Arial" w:cs="Arial" w:eastAsia="Arial" w:hAnsi="Arial"/>
          <w:sz w:val="16"/>
          <w:szCs w:val="16"/>
          <w:color w:val="auto"/>
        </w:rPr>
      </w:pPr>
    </w:p>
    <w:p>
      <w:pPr>
        <w:ind w:left="1240" w:right="60" w:hanging="445"/>
        <w:spacing w:after="0" w:line="239" w:lineRule="auto"/>
        <w:tabs>
          <w:tab w:leader="none" w:pos="12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For Kraft Foods Developing Markets, financial threshold and maximum performance goals are: Combined Organic Net Revenue Growth – 6.2% and 13.9%, Adjusted Segment Operating Income – $1,941 million and $2,373 million, Free Cash Flow—$371 million and $689 million.</w:t>
      </w:r>
    </w:p>
    <w:p>
      <w:pPr>
        <w:spacing w:after="0" w:line="145"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Although the business unit rating is a formulaic method for assessing performance against these three key internal measures, the Committee retains discretionary authority to adjust the business rating (up or down) by as much as 25 percentage points to recognize innovation, portfolio management, talent management and the quality of our results. For 2011, the Committee did not exercise discretion to modify the business ratings.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43"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While we report our financial results in accordance with U.S. GAAP, our financial targets under our incentive plans are based on non-GAAP financial measures. For supplemental financial data and corresponding reconciliations to certain GAAP financial measures for the year ended December 31, 2011, see Exhibit A to this Proxy Statement. The adjustments to the related GAAP measure and our reasons for using these measures are described in the chart below.</w:t>
      </w:r>
    </w:p>
    <w:p>
      <w:pPr>
        <w:sectPr>
          <w:pgSz w:w="11900" w:h="16838" w:orient="portrait"/>
          <w:cols w:equalWidth="0" w:num="1">
            <w:col w:w="11420"/>
          </w:cols>
          <w:pgMar w:left="240" w:top="443" w:right="239" w:bottom="1440" w:gutter="0" w:footer="0" w:header="0"/>
        </w:sectPr>
      </w:pP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Measure</w:t>
            </w:r>
          </w:p>
        </w:tc>
        <w:tc>
          <w:tcPr>
            <w:tcW w:w="120" w:type="dxa"/>
            <w:vAlign w:val="bottom"/>
          </w:tcPr>
          <w:p>
            <w:pPr>
              <w:spacing w:after="0"/>
              <w:rPr>
                <w:sz w:val="14"/>
                <w:szCs w:val="14"/>
                <w:color w:val="auto"/>
              </w:rPr>
            </w:pPr>
          </w:p>
        </w:tc>
        <w:tc>
          <w:tcPr>
            <w:tcW w:w="68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Definition/Adjustment to GAAP measure</w:t>
            </w:r>
          </w:p>
        </w:tc>
      </w:tr>
      <w:tr>
        <w:trPr>
          <w:trHeight w:val="188"/>
        </w:trPr>
        <w:tc>
          <w:tcPr>
            <w:tcW w:w="1160" w:type="dxa"/>
            <w:vAlign w:val="bottom"/>
            <w:gridSpan w:val="2"/>
          </w:tcPr>
          <w:p>
            <w:pPr>
              <w:spacing w:after="0" w:line="188" w:lineRule="exact"/>
              <w:rPr>
                <w:sz w:val="20"/>
                <w:szCs w:val="20"/>
                <w:color w:val="auto"/>
              </w:rPr>
            </w:pPr>
            <w:r>
              <w:rPr>
                <w:rFonts w:ascii="Arial" w:cs="Arial" w:eastAsia="Arial" w:hAnsi="Arial"/>
                <w:sz w:val="17"/>
                <w:szCs w:val="17"/>
                <w:color w:val="auto"/>
              </w:rPr>
              <w:t>Organic Net</w:t>
            </w:r>
          </w:p>
        </w:tc>
        <w:tc>
          <w:tcPr>
            <w:tcW w:w="6860" w:type="dxa"/>
            <w:vAlign w:val="bottom"/>
          </w:tcPr>
          <w:p>
            <w:pPr>
              <w:spacing w:after="0" w:line="188" w:lineRule="exact"/>
              <w:rPr>
                <w:sz w:val="20"/>
                <w:szCs w:val="20"/>
                <w:color w:val="auto"/>
              </w:rPr>
            </w:pPr>
            <w:r>
              <w:rPr>
                <w:rFonts w:ascii="Arial" w:cs="Arial" w:eastAsia="Arial" w:hAnsi="Arial"/>
                <w:sz w:val="17"/>
                <w:szCs w:val="17"/>
                <w:color w:val="auto"/>
              </w:rPr>
              <w:t>Net revenues, excluding the impact of acquisitions, divestitures, accounting calendar</w:t>
            </w:r>
          </w:p>
        </w:tc>
      </w:tr>
      <w:tr>
        <w:trPr>
          <w:trHeight w:val="192"/>
        </w:trPr>
        <w:tc>
          <w:tcPr>
            <w:tcW w:w="1160" w:type="dxa"/>
            <w:vAlign w:val="bottom"/>
            <w:gridSpan w:val="2"/>
          </w:tcPr>
          <w:p>
            <w:pPr>
              <w:spacing w:after="0" w:line="192" w:lineRule="exact"/>
              <w:rPr>
                <w:sz w:val="20"/>
                <w:szCs w:val="20"/>
                <w:color w:val="auto"/>
              </w:rPr>
            </w:pPr>
            <w:r>
              <w:rPr>
                <w:rFonts w:ascii="Arial" w:cs="Arial" w:eastAsia="Arial" w:hAnsi="Arial"/>
                <w:sz w:val="17"/>
                <w:szCs w:val="17"/>
                <w:color w:val="auto"/>
              </w:rPr>
              <w:t>Revenue</w:t>
            </w:r>
          </w:p>
        </w:tc>
        <w:tc>
          <w:tcPr>
            <w:tcW w:w="6860" w:type="dxa"/>
            <w:vAlign w:val="bottom"/>
          </w:tcPr>
          <w:p>
            <w:pPr>
              <w:spacing w:after="0" w:line="192" w:lineRule="exact"/>
              <w:rPr>
                <w:sz w:val="20"/>
                <w:szCs w:val="20"/>
                <w:color w:val="auto"/>
              </w:rPr>
            </w:pPr>
            <w:r>
              <w:rPr>
                <w:rFonts w:ascii="Arial" w:cs="Arial" w:eastAsia="Arial" w:hAnsi="Arial"/>
                <w:sz w:val="17"/>
                <w:szCs w:val="17"/>
                <w:color w:val="auto"/>
              </w:rPr>
              <w:t>changes, Integration Program costs and currency rate fluctuations (Integration Program</w:t>
            </w:r>
          </w:p>
        </w:tc>
      </w:tr>
      <w:tr>
        <w:trPr>
          <w:trHeight w:val="192"/>
        </w:trPr>
        <w:tc>
          <w:tcPr>
            <w:tcW w:w="1160" w:type="dxa"/>
            <w:vAlign w:val="bottom"/>
            <w:gridSpan w:val="2"/>
          </w:tcPr>
          <w:p>
            <w:pPr>
              <w:spacing w:after="0" w:line="192" w:lineRule="exact"/>
              <w:rPr>
                <w:sz w:val="20"/>
                <w:szCs w:val="20"/>
                <w:color w:val="auto"/>
              </w:rPr>
            </w:pPr>
            <w:r>
              <w:rPr>
                <w:rFonts w:ascii="Arial" w:cs="Arial" w:eastAsia="Arial" w:hAnsi="Arial"/>
                <w:sz w:val="17"/>
                <w:szCs w:val="17"/>
                <w:color w:val="auto"/>
              </w:rPr>
              <w:t>Growth</w:t>
            </w:r>
            <w:r>
              <w:rPr>
                <w:rFonts w:ascii="Arial" w:cs="Arial" w:eastAsia="Arial" w:hAnsi="Arial"/>
                <w:sz w:val="10"/>
                <w:szCs w:val="10"/>
                <w:color w:val="auto"/>
              </w:rPr>
              <w:t>(1)</w:t>
            </w:r>
          </w:p>
        </w:tc>
        <w:tc>
          <w:tcPr>
            <w:tcW w:w="6860" w:type="dxa"/>
            <w:vAlign w:val="bottom"/>
          </w:tcPr>
          <w:p>
            <w:pPr>
              <w:spacing w:after="0" w:line="192" w:lineRule="exact"/>
              <w:rPr>
                <w:sz w:val="20"/>
                <w:szCs w:val="20"/>
                <w:color w:val="auto"/>
              </w:rPr>
            </w:pPr>
            <w:r>
              <w:rPr>
                <w:rFonts w:ascii="Arial" w:cs="Arial" w:eastAsia="Arial" w:hAnsi="Arial"/>
                <w:sz w:val="17"/>
                <w:szCs w:val="17"/>
                <w:color w:val="auto"/>
              </w:rPr>
              <w:t>costs are defined as the costs associated with combining the Kraft Foods and Cadbury</w:t>
            </w:r>
          </w:p>
        </w:tc>
      </w:tr>
      <w:tr>
        <w:trPr>
          <w:trHeight w:val="200"/>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60" w:type="dxa"/>
            <w:vAlign w:val="bottom"/>
          </w:tcPr>
          <w:p>
            <w:pPr>
              <w:spacing w:after="0"/>
              <w:rPr>
                <w:sz w:val="20"/>
                <w:szCs w:val="20"/>
                <w:color w:val="auto"/>
              </w:rPr>
            </w:pPr>
            <w:r>
              <w:rPr>
                <w:rFonts w:ascii="Arial" w:cs="Arial" w:eastAsia="Arial" w:hAnsi="Arial"/>
                <w:sz w:val="17"/>
                <w:szCs w:val="17"/>
                <w:color w:val="auto"/>
              </w:rPr>
              <w:t>businesses, and are separate from those costs associated with the acquisition)</w:t>
            </w:r>
          </w:p>
        </w:tc>
      </w:tr>
    </w:tbl>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2095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95500" cy="8255"/>
                    </a:xfrm>
                    <a:prstGeom prst="rect">
                      <a:avLst/>
                    </a:prstGeom>
                    <a:noFill/>
                  </pic:spPr>
                </pic:pic>
              </a:graphicData>
            </a:graphic>
          </wp:anchor>
        </w:drawing>
      </w:r>
    </w:p>
    <w:p>
      <w:pPr>
        <w:spacing w:after="0" w:line="16"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Reflects the growth rates for Kraft Foods’ base business by eliminating the impact of certain disclosed one-time factors, facilitating comparisons to prior year(s)</w:t>
      </w:r>
    </w:p>
    <w:p>
      <w:pPr>
        <w:spacing w:after="0" w:line="141" w:lineRule="exact"/>
        <w:rPr>
          <w:sz w:val="20"/>
          <w:szCs w:val="20"/>
          <w:color w:val="auto"/>
        </w:rPr>
      </w:pPr>
    </w:p>
    <w:p>
      <w:pPr>
        <w:sectPr>
          <w:pgSz w:w="11900" w:h="16838" w:orient="portrait"/>
          <w:cols w:equalWidth="0" w:num="2">
            <w:col w:w="8020" w:space="100"/>
            <w:col w:w="3300"/>
          </w:cols>
          <w:pgMar w:left="240" w:top="443"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940" w:type="dxa"/>
            <w:vAlign w:val="bottom"/>
            <w:vMerge w:val="restart"/>
            <w:shd w:val="clear" w:color="auto" w:fill="D8D8D8"/>
          </w:tcPr>
          <w:p>
            <w:pPr>
              <w:spacing w:after="0"/>
              <w:rPr>
                <w:sz w:val="20"/>
                <w:szCs w:val="20"/>
                <w:color w:val="auto"/>
              </w:rPr>
            </w:pPr>
            <w:r>
              <w:rPr>
                <w:rFonts w:ascii="Arial" w:cs="Arial" w:eastAsia="Arial" w:hAnsi="Arial"/>
                <w:sz w:val="17"/>
                <w:szCs w:val="17"/>
                <w:color w:val="auto"/>
              </w:rPr>
              <w:t>Adjusted</w:t>
            </w:r>
          </w:p>
        </w:tc>
        <w:tc>
          <w:tcPr>
            <w:tcW w:w="7120" w:type="dxa"/>
            <w:vAlign w:val="bottom"/>
            <w:vMerge w:val="restart"/>
            <w:shd w:val="clear" w:color="auto" w:fill="D8D8D8"/>
          </w:tcPr>
          <w:p>
            <w:pPr>
              <w:ind w:left="220"/>
              <w:spacing w:after="0"/>
              <w:rPr>
                <w:sz w:val="20"/>
                <w:szCs w:val="20"/>
                <w:color w:val="auto"/>
              </w:rPr>
            </w:pPr>
            <w:r>
              <w:rPr>
                <w:rFonts w:ascii="Arial" w:cs="Arial" w:eastAsia="Arial" w:hAnsi="Arial"/>
                <w:sz w:val="17"/>
                <w:szCs w:val="17"/>
                <w:color w:val="auto"/>
                <w:w w:val="98"/>
              </w:rPr>
              <w:t>Operating income, excluding the impact of divestitures, currency rate fluctuations, Integration</w:t>
            </w:r>
          </w:p>
        </w:tc>
        <w:tc>
          <w:tcPr>
            <w:tcW w:w="3360" w:type="dxa"/>
            <w:vAlign w:val="bottom"/>
            <w:shd w:val="clear" w:color="auto" w:fill="D8D8D8"/>
          </w:tcPr>
          <w:p>
            <w:pPr>
              <w:ind w:left="60"/>
              <w:spacing w:after="0"/>
              <w:rPr>
                <w:sz w:val="20"/>
                <w:szCs w:val="20"/>
                <w:color w:val="auto"/>
              </w:rPr>
            </w:pPr>
            <w:r>
              <w:rPr>
                <w:rFonts w:ascii="Arial" w:cs="Arial" w:eastAsia="Arial" w:hAnsi="Arial"/>
                <w:sz w:val="17"/>
                <w:szCs w:val="17"/>
                <w:color w:val="auto"/>
              </w:rPr>
              <w:t>Indicator of overall business trends and</w:t>
            </w:r>
          </w:p>
        </w:tc>
        <w:tc>
          <w:tcPr>
            <w:tcW w:w="0" w:type="dxa"/>
            <w:vAlign w:val="bottom"/>
          </w:tcPr>
          <w:p>
            <w:pPr>
              <w:spacing w:after="0"/>
              <w:rPr>
                <w:sz w:val="1"/>
                <w:szCs w:val="1"/>
                <w:color w:val="auto"/>
              </w:rPr>
            </w:pPr>
          </w:p>
        </w:tc>
      </w:tr>
      <w:tr>
        <w:trPr>
          <w:trHeight w:val="154"/>
        </w:trPr>
        <w:tc>
          <w:tcPr>
            <w:tcW w:w="940" w:type="dxa"/>
            <w:vAlign w:val="bottom"/>
            <w:vMerge w:val="continue"/>
            <w:shd w:val="clear" w:color="auto" w:fill="D8D8D8"/>
          </w:tcPr>
          <w:p>
            <w:pPr>
              <w:spacing w:after="0"/>
              <w:rPr>
                <w:sz w:val="13"/>
                <w:szCs w:val="13"/>
                <w:color w:val="auto"/>
              </w:rPr>
            </w:pPr>
          </w:p>
        </w:tc>
        <w:tc>
          <w:tcPr>
            <w:tcW w:w="7120" w:type="dxa"/>
            <w:vAlign w:val="bottom"/>
            <w:vMerge w:val="continue"/>
            <w:shd w:val="clear" w:color="auto" w:fill="D8D8D8"/>
          </w:tcPr>
          <w:p>
            <w:pPr>
              <w:spacing w:after="0"/>
              <w:rPr>
                <w:sz w:val="13"/>
                <w:szCs w:val="13"/>
                <w:color w:val="auto"/>
              </w:rPr>
            </w:pPr>
          </w:p>
        </w:tc>
        <w:tc>
          <w:tcPr>
            <w:tcW w:w="3360" w:type="dxa"/>
            <w:vAlign w:val="bottom"/>
            <w:shd w:val="clear" w:color="auto" w:fill="D8D8D8"/>
          </w:tcPr>
          <w:p>
            <w:pPr>
              <w:ind w:left="60"/>
              <w:spacing w:after="0" w:line="154" w:lineRule="exact"/>
              <w:rPr>
                <w:sz w:val="20"/>
                <w:szCs w:val="20"/>
                <w:color w:val="auto"/>
              </w:rPr>
            </w:pPr>
            <w:r>
              <w:rPr>
                <w:rFonts w:ascii="Arial" w:cs="Arial" w:eastAsia="Arial" w:hAnsi="Arial"/>
                <w:sz w:val="17"/>
                <w:szCs w:val="17"/>
                <w:color w:val="auto"/>
              </w:rPr>
              <w:t>performance, based on what business</w:t>
            </w:r>
          </w:p>
        </w:tc>
        <w:tc>
          <w:tcPr>
            <w:tcW w:w="0" w:type="dxa"/>
            <w:vAlign w:val="bottom"/>
          </w:tcPr>
          <w:p>
            <w:pPr>
              <w:spacing w:after="0"/>
              <w:rPr>
                <w:sz w:val="1"/>
                <w:szCs w:val="1"/>
                <w:color w:val="auto"/>
              </w:rPr>
            </w:pPr>
          </w:p>
        </w:tc>
      </w:tr>
      <w:tr>
        <w:trPr>
          <w:trHeight w:val="192"/>
        </w:trPr>
        <w:tc>
          <w:tcPr>
            <w:tcW w:w="94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Operating</w:t>
            </w:r>
          </w:p>
        </w:tc>
        <w:tc>
          <w:tcPr>
            <w:tcW w:w="7120" w:type="dxa"/>
            <w:vAlign w:val="bottom"/>
            <w:shd w:val="clear" w:color="auto" w:fill="D8D8D8"/>
          </w:tcPr>
          <w:p>
            <w:pPr>
              <w:ind w:left="220"/>
              <w:spacing w:after="0" w:line="192" w:lineRule="exact"/>
              <w:rPr>
                <w:sz w:val="20"/>
                <w:szCs w:val="20"/>
                <w:color w:val="auto"/>
              </w:rPr>
            </w:pPr>
            <w:r>
              <w:rPr>
                <w:rFonts w:ascii="Arial" w:cs="Arial" w:eastAsia="Arial" w:hAnsi="Arial"/>
                <w:sz w:val="17"/>
                <w:szCs w:val="17"/>
                <w:color w:val="auto"/>
              </w:rPr>
              <w:t>Program costs, acquisition-related costs and costs associated with the Spin-off</w:t>
            </w:r>
          </w:p>
        </w:tc>
        <w:tc>
          <w:tcPr>
            <w:tcW w:w="3360" w:type="dxa"/>
            <w:vAlign w:val="bottom"/>
            <w:shd w:val="clear" w:color="auto" w:fill="D8D8D8"/>
          </w:tcPr>
          <w:p>
            <w:pPr>
              <w:ind w:left="60"/>
              <w:spacing w:after="0" w:line="192" w:lineRule="exact"/>
              <w:rPr>
                <w:sz w:val="20"/>
                <w:szCs w:val="20"/>
                <w:color w:val="auto"/>
              </w:rPr>
            </w:pPr>
            <w:r>
              <w:rPr>
                <w:rFonts w:ascii="Arial" w:cs="Arial" w:eastAsia="Arial" w:hAnsi="Arial"/>
                <w:sz w:val="17"/>
                <w:szCs w:val="17"/>
                <w:color w:val="auto"/>
              </w:rPr>
              <w:t>leaders can control</w:t>
            </w:r>
          </w:p>
        </w:tc>
        <w:tc>
          <w:tcPr>
            <w:tcW w:w="0" w:type="dxa"/>
            <w:vAlign w:val="bottom"/>
          </w:tcPr>
          <w:p>
            <w:pPr>
              <w:spacing w:after="0"/>
              <w:rPr>
                <w:sz w:val="1"/>
                <w:szCs w:val="1"/>
                <w:color w:val="auto"/>
              </w:rPr>
            </w:pPr>
          </w:p>
        </w:tc>
      </w:tr>
      <w:tr>
        <w:trPr>
          <w:trHeight w:val="202"/>
        </w:trPr>
        <w:tc>
          <w:tcPr>
            <w:tcW w:w="940" w:type="dxa"/>
            <w:vAlign w:val="bottom"/>
            <w:shd w:val="clear" w:color="auto" w:fill="D8D8D8"/>
          </w:tcPr>
          <w:p>
            <w:pPr>
              <w:spacing w:after="0"/>
              <w:rPr>
                <w:sz w:val="20"/>
                <w:szCs w:val="20"/>
                <w:color w:val="auto"/>
              </w:rPr>
            </w:pPr>
            <w:r>
              <w:rPr>
                <w:rFonts w:ascii="Arial" w:cs="Arial" w:eastAsia="Arial" w:hAnsi="Arial"/>
                <w:sz w:val="17"/>
                <w:szCs w:val="17"/>
                <w:color w:val="auto"/>
              </w:rPr>
              <w:t>Income</w:t>
            </w:r>
          </w:p>
        </w:tc>
        <w:tc>
          <w:tcPr>
            <w:tcW w:w="7120" w:type="dxa"/>
            <w:vAlign w:val="bottom"/>
            <w:shd w:val="clear" w:color="auto" w:fill="D8D8D8"/>
          </w:tcPr>
          <w:p>
            <w:pPr>
              <w:spacing w:after="0"/>
              <w:rPr>
                <w:sz w:val="17"/>
                <w:szCs w:val="17"/>
                <w:color w:val="auto"/>
              </w:rPr>
            </w:pPr>
          </w:p>
        </w:tc>
        <w:tc>
          <w:tcPr>
            <w:tcW w:w="336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ectPr>
          <w:pgSz w:w="11900" w:h="16838" w:orient="portrait"/>
          <w:cols w:equalWidth="0" w:num="1">
            <w:col w:w="11420"/>
          </w:cols>
          <w:pgMar w:left="240" w:top="443" w:right="239" w:bottom="1440" w:gutter="0" w:footer="0" w:header="0"/>
          <w:type w:val="continuous"/>
        </w:sectPr>
      </w:pPr>
    </w:p>
    <w:p>
      <w:pPr>
        <w:spacing w:after="0" w:line="4"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Adjusted Segment Operating Income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Free</w:t>
      </w:r>
    </w:p>
    <w:p>
      <w:pPr>
        <w:spacing w:after="0"/>
        <w:rPr>
          <w:sz w:val="20"/>
          <w:szCs w:val="20"/>
          <w:color w:val="auto"/>
        </w:rPr>
      </w:pPr>
      <w:r>
        <w:rPr>
          <w:rFonts w:ascii="Arial" w:cs="Arial" w:eastAsia="Arial" w:hAnsi="Arial"/>
          <w:sz w:val="16"/>
          <w:szCs w:val="16"/>
          <w:color w:val="auto"/>
        </w:rPr>
        <w:t>Cash Flow</w:t>
      </w:r>
    </w:p>
    <w:p>
      <w:pPr>
        <w:spacing w:after="0" w:line="20" w:lineRule="exact"/>
        <w:rPr>
          <w:sz w:val="20"/>
          <w:szCs w:val="20"/>
          <w:color w:val="auto"/>
        </w:rPr>
      </w:pPr>
      <w:r>
        <w:rPr>
          <w:sz w:val="20"/>
          <w:szCs w:val="20"/>
          <w:color w:val="auto"/>
        </w:rPr>
        <w:br w:type="column"/>
      </w:r>
    </w:p>
    <w:p>
      <w:pPr>
        <w:spacing w:after="0"/>
        <w:tabs>
          <w:tab w:leader="none" w:pos="6940" w:val="left"/>
        </w:tabs>
        <w:rPr>
          <w:sz w:val="20"/>
          <w:szCs w:val="20"/>
          <w:color w:val="auto"/>
        </w:rPr>
      </w:pPr>
      <w:r>
        <w:rPr>
          <w:rFonts w:ascii="Arial" w:cs="Arial" w:eastAsia="Arial" w:hAnsi="Arial"/>
          <w:sz w:val="17"/>
          <w:szCs w:val="17"/>
          <w:color w:val="auto"/>
        </w:rPr>
        <w:t>Segment operating income,</w:t>
      </w:r>
      <w:r>
        <w:rPr>
          <w:rFonts w:ascii="Arial" w:cs="Arial" w:eastAsia="Arial" w:hAnsi="Arial"/>
          <w:sz w:val="10"/>
          <w:szCs w:val="10"/>
          <w:color w:val="auto"/>
        </w:rPr>
        <w:t>(2)</w:t>
      </w:r>
      <w:r>
        <w:rPr>
          <w:rFonts w:ascii="Arial" w:cs="Arial" w:eastAsia="Arial" w:hAnsi="Arial"/>
          <w:sz w:val="17"/>
          <w:szCs w:val="17"/>
          <w:color w:val="auto"/>
        </w:rPr>
        <w:t xml:space="preserve"> excluding the impact of divestitures, currency rate fluctuations,</w:t>
      </w:r>
      <w:r>
        <w:rPr>
          <w:sz w:val="20"/>
          <w:szCs w:val="20"/>
          <w:color w:val="auto"/>
        </w:rPr>
        <w:tab/>
      </w:r>
      <w:r>
        <w:rPr>
          <w:rFonts w:ascii="Arial" w:cs="Arial" w:eastAsia="Arial" w:hAnsi="Arial"/>
          <w:sz w:val="16"/>
          <w:szCs w:val="16"/>
          <w:color w:val="auto"/>
        </w:rPr>
        <w:t>Indicator of trends and performance for</w:t>
      </w:r>
    </w:p>
    <w:p>
      <w:pPr>
        <w:spacing w:after="0"/>
        <w:tabs>
          <w:tab w:leader="none" w:pos="6940" w:val="left"/>
        </w:tabs>
        <w:rPr>
          <w:sz w:val="20"/>
          <w:szCs w:val="20"/>
          <w:color w:val="auto"/>
        </w:rPr>
      </w:pPr>
      <w:r>
        <w:rPr>
          <w:rFonts w:ascii="Arial" w:cs="Arial" w:eastAsia="Arial" w:hAnsi="Arial"/>
          <w:sz w:val="17"/>
          <w:szCs w:val="17"/>
          <w:color w:val="auto"/>
        </w:rPr>
        <w:t>Integration Program costs, acquisition-related costs and costs associated with the Spin-off</w:t>
      </w:r>
      <w:r>
        <w:rPr>
          <w:sz w:val="20"/>
          <w:szCs w:val="20"/>
          <w:color w:val="auto"/>
        </w:rPr>
        <w:tab/>
      </w:r>
      <w:r>
        <w:rPr>
          <w:rFonts w:ascii="Arial" w:cs="Arial" w:eastAsia="Arial" w:hAnsi="Arial"/>
          <w:sz w:val="16"/>
          <w:szCs w:val="16"/>
          <w:color w:val="auto"/>
        </w:rPr>
        <w:t>business segments, based on what business</w:t>
      </w:r>
    </w:p>
    <w:p>
      <w:pPr>
        <w:ind w:left="6960"/>
        <w:spacing w:after="0"/>
        <w:rPr>
          <w:sz w:val="20"/>
          <w:szCs w:val="20"/>
          <w:color w:val="auto"/>
        </w:rPr>
      </w:pPr>
      <w:r>
        <w:rPr>
          <w:rFonts w:ascii="Arial" w:cs="Arial" w:eastAsia="Arial" w:hAnsi="Arial"/>
          <w:sz w:val="17"/>
          <w:szCs w:val="17"/>
          <w:color w:val="auto"/>
        </w:rPr>
        <w:t>units can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215265</wp:posOffset>
            </wp:positionV>
            <wp:extent cx="7253605" cy="4387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438785"/>
                    </a:xfrm>
                    <a:prstGeom prst="rect">
                      <a:avLst/>
                    </a:prstGeom>
                    <a:noFill/>
                  </pic:spPr>
                </pic:pic>
              </a:graphicData>
            </a:graphic>
          </wp:anchor>
        </w:drawing>
      </w:r>
    </w:p>
    <w:p>
      <w:pPr>
        <w:spacing w:after="0" w:line="369" w:lineRule="exact"/>
        <w:rPr>
          <w:sz w:val="20"/>
          <w:szCs w:val="20"/>
          <w:color w:val="auto"/>
        </w:rPr>
      </w:pPr>
    </w:p>
    <w:p>
      <w:pPr>
        <w:ind w:left="6960"/>
        <w:spacing w:after="0"/>
        <w:rPr>
          <w:sz w:val="20"/>
          <w:szCs w:val="20"/>
          <w:color w:val="auto"/>
        </w:rPr>
      </w:pPr>
      <w:r>
        <w:rPr>
          <w:rFonts w:ascii="Arial" w:cs="Arial" w:eastAsia="Arial" w:hAnsi="Arial"/>
          <w:sz w:val="17"/>
          <w:szCs w:val="17"/>
          <w:color w:val="auto"/>
        </w:rPr>
        <w:t>Reflects Kraft Foods’ financial liquidity,</w:t>
      </w:r>
    </w:p>
    <w:p>
      <w:pPr>
        <w:spacing w:after="0"/>
        <w:tabs>
          <w:tab w:leader="none" w:pos="6940" w:val="left"/>
        </w:tabs>
        <w:rPr>
          <w:sz w:val="20"/>
          <w:szCs w:val="20"/>
          <w:color w:val="auto"/>
        </w:rPr>
      </w:pPr>
      <w:r>
        <w:rPr>
          <w:rFonts w:ascii="Arial" w:cs="Arial" w:eastAsia="Arial" w:hAnsi="Arial"/>
          <w:sz w:val="17"/>
          <w:szCs w:val="17"/>
          <w:color w:val="auto"/>
        </w:rPr>
        <w:t>Cash flow from operations less capital expenditures</w:t>
      </w:r>
      <w:r>
        <w:rPr>
          <w:sz w:val="20"/>
          <w:szCs w:val="20"/>
          <w:color w:val="auto"/>
        </w:rPr>
        <w:tab/>
      </w:r>
      <w:r>
        <w:rPr>
          <w:rFonts w:ascii="Arial" w:cs="Arial" w:eastAsia="Arial" w:hAnsi="Arial"/>
          <w:sz w:val="16"/>
          <w:szCs w:val="16"/>
          <w:color w:val="auto"/>
        </w:rPr>
        <w:t>working capital efficiency and financial</w:t>
      </w:r>
    </w:p>
    <w:p>
      <w:pPr>
        <w:ind w:left="6960"/>
        <w:spacing w:after="0"/>
        <w:rPr>
          <w:sz w:val="20"/>
          <w:szCs w:val="20"/>
          <w:color w:val="auto"/>
        </w:rPr>
      </w:pPr>
      <w:r>
        <w:rPr>
          <w:rFonts w:ascii="Arial" w:cs="Arial" w:eastAsia="Arial" w:hAnsi="Arial"/>
          <w:sz w:val="17"/>
          <w:szCs w:val="17"/>
          <w:color w:val="auto"/>
        </w:rPr>
        <w:t>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133985</wp:posOffset>
            </wp:positionV>
            <wp:extent cx="7226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 w:space="380"/>
            <w:col w:w="10260"/>
          </w:cols>
          <w:pgMar w:left="240" w:top="443" w:right="239" w:bottom="1440" w:gutter="0" w:footer="0" w:header="0"/>
          <w:type w:val="continuous"/>
        </w:sectPr>
      </w:pPr>
    </w:p>
    <w:p>
      <w:pPr>
        <w:spacing w:after="0" w:line="52" w:lineRule="exact"/>
        <w:rPr>
          <w:sz w:val="20"/>
          <w:szCs w:val="20"/>
          <w:color w:val="auto"/>
        </w:rPr>
      </w:pPr>
    </w:p>
    <w:p>
      <w:pPr>
        <w:ind w:left="1240" w:right="440" w:hanging="560"/>
        <w:spacing w:after="0" w:line="241" w:lineRule="auto"/>
        <w:tabs>
          <w:tab w:leader="none" w:pos="12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For Kraft Foods Developing Markets, we measure Combined Organic Net Revenue Growth, which differs from Organic Net Revenue Growth in that it includes the impact of significant acquisitions.</w:t>
      </w:r>
    </w:p>
    <w:p>
      <w:pPr>
        <w:spacing w:after="0" w:line="67" w:lineRule="exact"/>
        <w:rPr>
          <w:rFonts w:ascii="Arial" w:cs="Arial" w:eastAsia="Arial" w:hAnsi="Arial"/>
          <w:sz w:val="17"/>
          <w:szCs w:val="17"/>
          <w:color w:val="auto"/>
        </w:rPr>
      </w:pPr>
    </w:p>
    <w:p>
      <w:pPr>
        <w:ind w:left="1240" w:right="20" w:hanging="560"/>
        <w:spacing w:after="0" w:line="238" w:lineRule="auto"/>
        <w:tabs>
          <w:tab w:leader="none" w:pos="12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Segment operating income is a measure of Operating Income by Segment and excludes unrealized gains and losses on hedging activities (which are a component of cost of sales), certain components of our U.S. pension plan cost (which are a component of cost of sales and selling, general and administrative expenses), general corporate expenses (which are a component of selling, general and administrative expenses) and amortization of intangibles for all periods presented.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443" w:right="239" w:bottom="1440" w:gutter="0" w:footer="0" w:header="0"/>
          <w:type w:val="continuous"/>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Long-Term Incentives</w:t>
      </w:r>
    </w:p>
    <w:p>
      <w:pPr>
        <w:spacing w:after="0" w:line="150" w:lineRule="exact"/>
        <w:rPr>
          <w:sz w:val="20"/>
          <w:szCs w:val="20"/>
          <w:color w:val="auto"/>
        </w:rPr>
      </w:pPr>
    </w:p>
    <w:p>
      <w:pPr>
        <w:ind w:right="500"/>
        <w:spacing w:after="0" w:line="238" w:lineRule="auto"/>
        <w:rPr>
          <w:sz w:val="20"/>
          <w:szCs w:val="20"/>
          <w:color w:val="auto"/>
        </w:rPr>
      </w:pPr>
      <w:r>
        <w:rPr>
          <w:rFonts w:ascii="Arial" w:cs="Arial" w:eastAsia="Arial" w:hAnsi="Arial"/>
          <w:sz w:val="17"/>
          <w:szCs w:val="17"/>
          <w:color w:val="auto"/>
        </w:rPr>
        <w:t>Long-term incentive equity award grants are awarded to align the interests of our executive officers with those of our shareholders. For 2011, the Committee determined that the appropriate mix of grants in our long-term incentive program for senior management, including our Named Executive Officers, was 50% performance shares, 25% stock options and 25% restricted stock. This mix places greater emphasis on performance-based compensation – performance shares and stock options – and less emphasis on restricted stock than in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212725</wp:posOffset>
            </wp:positionV>
            <wp:extent cx="5020310" cy="32245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020310"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Awards – Stock Options and Restricted Stock</w:t>
      </w:r>
    </w:p>
    <w:p>
      <w:pPr>
        <w:spacing w:after="0" w:line="16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grant non-qualified stock options and restricted stock on an annual basis. In 2011, we intended that the value delivered in the form of restricted stock be equal to the value delivered as stock options. To maintain this balance, we continued to use a ratio of restricted stock to stock options of one to six in 2011. The Committee maintained this equity mix because it balances the retention value of restricted stock with the performance aspect of stock options. We are committed to growing shareholder value, and our incentive plans support this objective. To support the retention aspects of the program, restricted stock awards do not vest until three years after the grant date. The stock options vest one-third each year over three years. For non-U.S. employees, we grant deferred stock units instead of restricted stock, which have the same vesting schedule as restricted stock. Dividends are paid on unvested restricted stock and dividend equivalents are paid on deferred stock units at the same time and rate as dividends are paid on Kraft Foods common stock.</w:t>
      </w:r>
    </w:p>
    <w:p>
      <w:pPr>
        <w:spacing w:after="0" w:line="13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Award ranges are based on an analysis of competitive market practice, with the midpoint of the equity award ranges, plus the value of the target performance shares, approximately equal to the size-adjusted total long-term incentive median of the Compensation Survey Group. An equity award above or below the midpoint of the range is based on a qualitative review of an executive officer’s sustained individual performance and an evaluation of each executive officer’s potential to assume roles with greater responsibility. In all cases, awards are between 50% and 150% of the midpoint.</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380"/>
          </w:cols>
          <w:pgMar w:left="240" w:top="443" w:right="27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The range of award opportunities, expressed in terms of grant value, for our Named Executive Officers as of February 23, 2011, the date of Kraft Foods’ 2011 annual equity award grant, are shown in the table below.</w:t>
      </w:r>
    </w:p>
    <w:p>
      <w:pPr>
        <w:spacing w:after="0" w:line="152" w:lineRule="exact"/>
        <w:rPr>
          <w:sz w:val="20"/>
          <w:szCs w:val="20"/>
          <w:color w:val="auto"/>
        </w:rPr>
      </w:pPr>
    </w:p>
    <w:p>
      <w:pPr>
        <w:jc w:val="center"/>
        <w:ind w:left="3020"/>
        <w:spacing w:after="0"/>
        <w:rPr>
          <w:sz w:val="20"/>
          <w:szCs w:val="20"/>
          <w:color w:val="auto"/>
        </w:rPr>
      </w:pPr>
      <w:r>
        <w:rPr>
          <w:rFonts w:ascii="Arial" w:cs="Arial" w:eastAsia="Arial" w:hAnsi="Arial"/>
          <w:sz w:val="13"/>
          <w:szCs w:val="13"/>
          <w:b w:val="1"/>
          <w:bCs w:val="1"/>
          <w:color w:val="auto"/>
        </w:rPr>
        <w:t>Grant Value</w:t>
      </w:r>
    </w:p>
    <w:p>
      <w:pPr>
        <w:jc w:val="center"/>
        <w:ind w:left="3020"/>
        <w:spacing w:after="0" w:line="185" w:lineRule="auto"/>
        <w:rPr>
          <w:sz w:val="20"/>
          <w:szCs w:val="20"/>
          <w:color w:val="auto"/>
        </w:rPr>
      </w:pPr>
      <w:r>
        <w:rPr>
          <w:rFonts w:ascii="Arial" w:cs="Arial" w:eastAsia="Arial" w:hAnsi="Arial"/>
          <w:sz w:val="11"/>
          <w:szCs w:val="11"/>
          <w:b w:val="1"/>
          <w:bCs w:val="1"/>
          <w:color w:val="auto"/>
        </w:rPr>
        <w:t>Award Range</w:t>
      </w:r>
      <w:r>
        <w:rPr>
          <w:rFonts w:ascii="Arial" w:cs="Arial" w:eastAsia="Arial" w:hAnsi="Arial"/>
          <w:sz w:val="18"/>
          <w:szCs w:val="18"/>
          <w:b w:val="1"/>
          <w:bCs w:val="1"/>
          <w:color w:val="auto"/>
          <w:vertAlign w:val="superscript"/>
        </w:rPr>
        <w:t>(1)</w:t>
      </w:r>
    </w:p>
    <w:p>
      <w:pPr>
        <w:spacing w:after="0" w:line="1" w:lineRule="exact"/>
        <w:rPr>
          <w:sz w:val="20"/>
          <w:szCs w:val="20"/>
          <w:color w:val="auto"/>
        </w:rPr>
      </w:pPr>
    </w:p>
    <w:tbl>
      <w:tblPr>
        <w:tblLayout w:type="fixed"/>
        <w:tblInd w:w="1840" w:type="dxa"/>
        <w:tblCellMar>
          <w:top w:w="0" w:type="dxa"/>
          <w:left w:w="0" w:type="dxa"/>
          <w:bottom w:w="0" w:type="dxa"/>
          <w:right w:w="0" w:type="dxa"/>
        </w:tblCellMar>
      </w:tblPr>
      <w:tr>
        <w:trPr>
          <w:trHeight w:val="117"/>
        </w:trPr>
        <w:tc>
          <w:tcPr>
            <w:tcW w:w="42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2600" w:type="dxa"/>
            <w:vAlign w:val="bottom"/>
            <w:vMerge w:val="restart"/>
          </w:tcPr>
          <w:p>
            <w:pPr>
              <w:spacing w:after="0"/>
              <w:rPr>
                <w:sz w:val="10"/>
                <w:szCs w:val="10"/>
                <w:color w:val="auto"/>
              </w:rPr>
            </w:pPr>
          </w:p>
        </w:tc>
        <w:tc>
          <w:tcPr>
            <w:tcW w:w="1840" w:type="dxa"/>
            <w:vAlign w:val="bottom"/>
            <w:tcBorders>
              <w:top w:val="single" w:sz="8" w:color="auto"/>
            </w:tcBorders>
            <w:gridSpan w:val="2"/>
          </w:tcPr>
          <w:p>
            <w:pPr>
              <w:ind w:left="180"/>
              <w:spacing w:after="0" w:line="117" w:lineRule="exact"/>
              <w:rPr>
                <w:sz w:val="20"/>
                <w:szCs w:val="20"/>
                <w:color w:val="auto"/>
              </w:rPr>
            </w:pPr>
            <w:r>
              <w:rPr>
                <w:rFonts w:ascii="Arial" w:cs="Arial" w:eastAsia="Arial" w:hAnsi="Arial"/>
                <w:sz w:val="13"/>
                <w:szCs w:val="13"/>
                <w:b w:val="1"/>
                <w:bCs w:val="1"/>
                <w:color w:val="auto"/>
              </w:rPr>
              <w:t>Threshold</w:t>
            </w:r>
          </w:p>
        </w:tc>
        <w:tc>
          <w:tcPr>
            <w:tcW w:w="1880" w:type="dxa"/>
            <w:vAlign w:val="bottom"/>
            <w:tcBorders>
              <w:top w:val="single" w:sz="8" w:color="auto"/>
            </w:tcBorders>
            <w:gridSpan w:val="2"/>
          </w:tcPr>
          <w:p>
            <w:pPr>
              <w:ind w:left="260"/>
              <w:spacing w:after="0" w:line="117" w:lineRule="exact"/>
              <w:rPr>
                <w:sz w:val="20"/>
                <w:szCs w:val="20"/>
                <w:color w:val="auto"/>
              </w:rPr>
            </w:pPr>
            <w:r>
              <w:rPr>
                <w:rFonts w:ascii="Arial" w:cs="Arial" w:eastAsia="Arial" w:hAnsi="Arial"/>
                <w:sz w:val="13"/>
                <w:szCs w:val="13"/>
                <w:b w:val="1"/>
                <w:bCs w:val="1"/>
                <w:color w:val="auto"/>
              </w:rPr>
              <w:t>Midpoint</w:t>
            </w:r>
          </w:p>
        </w:tc>
        <w:tc>
          <w:tcPr>
            <w:tcW w:w="1020" w:type="dxa"/>
            <w:vAlign w:val="bottom"/>
            <w:tcBorders>
              <w:top w:val="single" w:sz="8" w:color="auto"/>
            </w:tcBorders>
          </w:tcPr>
          <w:p>
            <w:pPr>
              <w:jc w:val="right"/>
              <w:ind w:right="142"/>
              <w:spacing w:after="0" w:line="117" w:lineRule="exact"/>
              <w:rPr>
                <w:sz w:val="20"/>
                <w:szCs w:val="20"/>
                <w:color w:val="auto"/>
              </w:rPr>
            </w:pPr>
            <w:r>
              <w:rPr>
                <w:rFonts w:ascii="Arial" w:cs="Arial" w:eastAsia="Arial" w:hAnsi="Arial"/>
                <w:sz w:val="13"/>
                <w:szCs w:val="13"/>
                <w:b w:val="1"/>
                <w:bCs w:val="1"/>
                <w:color w:val="auto"/>
              </w:rPr>
              <w:t>Maximum</w:t>
            </w:r>
          </w:p>
        </w:tc>
        <w:tc>
          <w:tcPr>
            <w:tcW w:w="0" w:type="dxa"/>
            <w:vAlign w:val="bottom"/>
          </w:tcPr>
          <w:p>
            <w:pPr>
              <w:spacing w:after="0"/>
              <w:rPr>
                <w:sz w:val="1"/>
                <w:szCs w:val="1"/>
                <w:color w:val="auto"/>
              </w:rPr>
            </w:pPr>
          </w:p>
        </w:tc>
      </w:tr>
      <w:tr>
        <w:trPr>
          <w:trHeight w:val="165"/>
        </w:trPr>
        <w:tc>
          <w:tcPr>
            <w:tcW w:w="420" w:type="dxa"/>
            <w:vAlign w:val="bottom"/>
            <w:tcBorders>
              <w:bottom w:val="single" w:sz="8" w:color="auto"/>
            </w:tcBorders>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1000" w:type="dxa"/>
            <w:vAlign w:val="bottom"/>
            <w:tcBorders>
              <w:bottom w:val="single" w:sz="8" w:color="auto"/>
            </w:tcBorders>
          </w:tcPr>
          <w:p>
            <w:pPr>
              <w:jc w:val="right"/>
              <w:ind w:right="342"/>
              <w:spacing w:after="0" w:line="145" w:lineRule="exact"/>
              <w:rPr>
                <w:sz w:val="20"/>
                <w:szCs w:val="20"/>
                <w:color w:val="auto"/>
              </w:rPr>
            </w:pPr>
            <w:r>
              <w:rPr>
                <w:rFonts w:ascii="Arial" w:cs="Arial" w:eastAsia="Arial" w:hAnsi="Arial"/>
                <w:sz w:val="13"/>
                <w:szCs w:val="13"/>
                <w:b w:val="1"/>
                <w:bCs w:val="1"/>
                <w:color w:val="auto"/>
              </w:rPr>
              <w:t>($)</w:t>
            </w:r>
          </w:p>
        </w:tc>
        <w:tc>
          <w:tcPr>
            <w:tcW w:w="840" w:type="dxa"/>
            <w:vAlign w:val="bottom"/>
          </w:tcPr>
          <w:p>
            <w:pPr>
              <w:spacing w:after="0"/>
              <w:rPr>
                <w:sz w:val="14"/>
                <w:szCs w:val="14"/>
                <w:color w:val="auto"/>
              </w:rPr>
            </w:pPr>
          </w:p>
        </w:tc>
        <w:tc>
          <w:tcPr>
            <w:tcW w:w="1020" w:type="dxa"/>
            <w:vAlign w:val="bottom"/>
            <w:tcBorders>
              <w:bottom w:val="single" w:sz="8" w:color="auto"/>
            </w:tcBorders>
          </w:tcPr>
          <w:p>
            <w:pPr>
              <w:jc w:val="right"/>
              <w:ind w:right="342"/>
              <w:spacing w:after="0" w:line="145" w:lineRule="exact"/>
              <w:rPr>
                <w:sz w:val="20"/>
                <w:szCs w:val="20"/>
                <w:color w:val="auto"/>
              </w:rPr>
            </w:pPr>
            <w:r>
              <w:rPr>
                <w:rFonts w:ascii="Arial" w:cs="Arial" w:eastAsia="Arial" w:hAnsi="Arial"/>
                <w:sz w:val="13"/>
                <w:szCs w:val="13"/>
                <w:b w:val="1"/>
                <w:bCs w:val="1"/>
                <w:color w:val="auto"/>
              </w:rPr>
              <w:t>($)</w:t>
            </w:r>
          </w:p>
        </w:tc>
        <w:tc>
          <w:tcPr>
            <w:tcW w:w="860" w:type="dxa"/>
            <w:vAlign w:val="bottom"/>
          </w:tcPr>
          <w:p>
            <w:pPr>
              <w:spacing w:after="0"/>
              <w:rPr>
                <w:sz w:val="14"/>
                <w:szCs w:val="14"/>
                <w:color w:val="auto"/>
              </w:rPr>
            </w:pPr>
          </w:p>
        </w:tc>
        <w:tc>
          <w:tcPr>
            <w:tcW w:w="1020" w:type="dxa"/>
            <w:vAlign w:val="bottom"/>
            <w:tcBorders>
              <w:bottom w:val="single" w:sz="8" w:color="auto"/>
            </w:tcBorders>
          </w:tcPr>
          <w:p>
            <w:pPr>
              <w:jc w:val="right"/>
              <w:ind w:right="362"/>
              <w:spacing w:after="0" w:line="145"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7"/>
        </w:trPr>
        <w:tc>
          <w:tcPr>
            <w:tcW w:w="3020" w:type="dxa"/>
            <w:vAlign w:val="bottom"/>
            <w:gridSpan w:val="2"/>
          </w:tcPr>
          <w:p>
            <w:pPr>
              <w:spacing w:after="0" w:line="177" w:lineRule="exact"/>
              <w:rPr>
                <w:sz w:val="20"/>
                <w:szCs w:val="20"/>
                <w:color w:val="auto"/>
              </w:rPr>
            </w:pPr>
            <w:r>
              <w:rPr>
                <w:rFonts w:ascii="Arial" w:cs="Arial" w:eastAsia="Arial" w:hAnsi="Arial"/>
                <w:sz w:val="17"/>
                <w:szCs w:val="17"/>
                <w:color w:val="auto"/>
              </w:rPr>
              <w:t>Ms. Rosenfeld</w:t>
            </w:r>
          </w:p>
        </w:tc>
        <w:tc>
          <w:tcPr>
            <w:tcW w:w="1000" w:type="dxa"/>
            <w:vAlign w:val="bottom"/>
          </w:tcPr>
          <w:p>
            <w:pPr>
              <w:jc w:val="right"/>
              <w:ind w:right="62"/>
              <w:spacing w:after="0" w:line="177" w:lineRule="exact"/>
              <w:rPr>
                <w:sz w:val="20"/>
                <w:szCs w:val="20"/>
                <w:color w:val="auto"/>
              </w:rPr>
            </w:pPr>
            <w:r>
              <w:rPr>
                <w:rFonts w:ascii="Arial" w:cs="Arial" w:eastAsia="Arial" w:hAnsi="Arial"/>
                <w:sz w:val="17"/>
                <w:szCs w:val="17"/>
                <w:color w:val="auto"/>
              </w:rPr>
              <w:t>2,428,500</w:t>
            </w:r>
          </w:p>
        </w:tc>
        <w:tc>
          <w:tcPr>
            <w:tcW w:w="840" w:type="dxa"/>
            <w:vAlign w:val="bottom"/>
          </w:tcPr>
          <w:p>
            <w:pPr>
              <w:spacing w:after="0"/>
              <w:rPr>
                <w:sz w:val="15"/>
                <w:szCs w:val="15"/>
                <w:color w:val="auto"/>
              </w:rPr>
            </w:pPr>
          </w:p>
        </w:tc>
        <w:tc>
          <w:tcPr>
            <w:tcW w:w="1020" w:type="dxa"/>
            <w:vAlign w:val="bottom"/>
          </w:tcPr>
          <w:p>
            <w:pPr>
              <w:jc w:val="right"/>
              <w:ind w:right="62"/>
              <w:spacing w:after="0" w:line="177" w:lineRule="exact"/>
              <w:rPr>
                <w:sz w:val="20"/>
                <w:szCs w:val="20"/>
                <w:color w:val="auto"/>
              </w:rPr>
            </w:pPr>
            <w:r>
              <w:rPr>
                <w:rFonts w:ascii="Arial" w:cs="Arial" w:eastAsia="Arial" w:hAnsi="Arial"/>
                <w:sz w:val="17"/>
                <w:szCs w:val="17"/>
                <w:color w:val="auto"/>
              </w:rPr>
              <w:t>4,857,000</w:t>
            </w:r>
          </w:p>
        </w:tc>
        <w:tc>
          <w:tcPr>
            <w:tcW w:w="860" w:type="dxa"/>
            <w:vAlign w:val="bottom"/>
          </w:tcPr>
          <w:p>
            <w:pPr>
              <w:spacing w:after="0"/>
              <w:rPr>
                <w:sz w:val="15"/>
                <w:szCs w:val="15"/>
                <w:color w:val="auto"/>
              </w:rPr>
            </w:pPr>
          </w:p>
        </w:tc>
        <w:tc>
          <w:tcPr>
            <w:tcW w:w="1020" w:type="dxa"/>
            <w:vAlign w:val="bottom"/>
          </w:tcPr>
          <w:p>
            <w:pPr>
              <w:jc w:val="right"/>
              <w:ind w:right="62"/>
              <w:spacing w:after="0" w:line="177" w:lineRule="exact"/>
              <w:rPr>
                <w:sz w:val="20"/>
                <w:szCs w:val="20"/>
                <w:color w:val="auto"/>
              </w:rPr>
            </w:pPr>
            <w:r>
              <w:rPr>
                <w:rFonts w:ascii="Arial" w:cs="Arial" w:eastAsia="Arial" w:hAnsi="Arial"/>
                <w:sz w:val="17"/>
                <w:szCs w:val="17"/>
                <w:color w:val="auto"/>
              </w:rPr>
              <w:t>7,285,500</w:t>
            </w:r>
          </w:p>
        </w:tc>
        <w:tc>
          <w:tcPr>
            <w:tcW w:w="0" w:type="dxa"/>
            <w:vAlign w:val="bottom"/>
          </w:tcPr>
          <w:p>
            <w:pPr>
              <w:spacing w:after="0"/>
              <w:rPr>
                <w:sz w:val="1"/>
                <w:szCs w:val="1"/>
                <w:color w:val="auto"/>
              </w:rPr>
            </w:pPr>
          </w:p>
        </w:tc>
      </w:tr>
      <w:tr>
        <w:trPr>
          <w:trHeight w:val="192"/>
        </w:trPr>
        <w:tc>
          <w:tcPr>
            <w:tcW w:w="30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Brearton</w:t>
            </w:r>
            <w:r>
              <w:rPr>
                <w:rFonts w:ascii="Arial" w:cs="Arial" w:eastAsia="Arial" w:hAnsi="Arial"/>
                <w:sz w:val="10"/>
                <w:szCs w:val="10"/>
                <w:color w:val="auto"/>
              </w:rPr>
              <w:t>(2)</w:t>
            </w:r>
          </w:p>
        </w:tc>
        <w:tc>
          <w:tcPr>
            <w:tcW w:w="1000" w:type="dxa"/>
            <w:vAlign w:val="bottom"/>
            <w:shd w:val="clear" w:color="auto" w:fill="D8D8D8"/>
          </w:tcPr>
          <w:p>
            <w:pPr>
              <w:jc w:val="right"/>
              <w:ind w:right="62"/>
              <w:spacing w:after="0" w:line="192" w:lineRule="exact"/>
              <w:rPr>
                <w:sz w:val="20"/>
                <w:szCs w:val="20"/>
                <w:color w:val="auto"/>
              </w:rPr>
            </w:pPr>
            <w:r>
              <w:rPr>
                <w:rFonts w:ascii="Arial" w:cs="Arial" w:eastAsia="Arial" w:hAnsi="Arial"/>
                <w:sz w:val="17"/>
                <w:szCs w:val="17"/>
                <w:color w:val="auto"/>
              </w:rPr>
              <w:t>175,000</w:t>
            </w:r>
          </w:p>
        </w:tc>
        <w:tc>
          <w:tcPr>
            <w:tcW w:w="840" w:type="dxa"/>
            <w:vAlign w:val="bottom"/>
            <w:shd w:val="clear" w:color="auto" w:fill="D8D8D8"/>
          </w:tcPr>
          <w:p>
            <w:pPr>
              <w:spacing w:after="0"/>
              <w:rPr>
                <w:sz w:val="16"/>
                <w:szCs w:val="16"/>
                <w:color w:val="auto"/>
              </w:rPr>
            </w:pPr>
          </w:p>
        </w:tc>
        <w:tc>
          <w:tcPr>
            <w:tcW w:w="1020" w:type="dxa"/>
            <w:vAlign w:val="bottom"/>
            <w:shd w:val="clear" w:color="auto" w:fill="D8D8D8"/>
          </w:tcPr>
          <w:p>
            <w:pPr>
              <w:jc w:val="right"/>
              <w:ind w:right="62"/>
              <w:spacing w:after="0" w:line="192" w:lineRule="exact"/>
              <w:rPr>
                <w:sz w:val="20"/>
                <w:szCs w:val="20"/>
                <w:color w:val="auto"/>
              </w:rPr>
            </w:pPr>
            <w:r>
              <w:rPr>
                <w:rFonts w:ascii="Arial" w:cs="Arial" w:eastAsia="Arial" w:hAnsi="Arial"/>
                <w:sz w:val="17"/>
                <w:szCs w:val="17"/>
                <w:color w:val="auto"/>
              </w:rPr>
              <w:t>350,000</w:t>
            </w:r>
          </w:p>
        </w:tc>
        <w:tc>
          <w:tcPr>
            <w:tcW w:w="860" w:type="dxa"/>
            <w:vAlign w:val="bottom"/>
            <w:shd w:val="clear" w:color="auto" w:fill="D8D8D8"/>
          </w:tcPr>
          <w:p>
            <w:pPr>
              <w:spacing w:after="0"/>
              <w:rPr>
                <w:sz w:val="16"/>
                <w:szCs w:val="16"/>
                <w:color w:val="auto"/>
              </w:rPr>
            </w:pPr>
          </w:p>
        </w:tc>
        <w:tc>
          <w:tcPr>
            <w:tcW w:w="1020" w:type="dxa"/>
            <w:vAlign w:val="bottom"/>
            <w:shd w:val="clear" w:color="auto" w:fill="D8D8D8"/>
          </w:tcPr>
          <w:p>
            <w:pPr>
              <w:jc w:val="right"/>
              <w:ind w:right="62"/>
              <w:spacing w:after="0" w:line="192" w:lineRule="exact"/>
              <w:rPr>
                <w:sz w:val="20"/>
                <w:szCs w:val="20"/>
                <w:color w:val="auto"/>
              </w:rPr>
            </w:pPr>
            <w:r>
              <w:rPr>
                <w:rFonts w:ascii="Arial" w:cs="Arial" w:eastAsia="Arial" w:hAnsi="Arial"/>
                <w:sz w:val="17"/>
                <w:szCs w:val="17"/>
                <w:color w:val="auto"/>
              </w:rPr>
              <w:t>525,000</w:t>
            </w:r>
          </w:p>
        </w:tc>
        <w:tc>
          <w:tcPr>
            <w:tcW w:w="0" w:type="dxa"/>
            <w:vAlign w:val="bottom"/>
          </w:tcPr>
          <w:p>
            <w:pPr>
              <w:spacing w:after="0"/>
              <w:rPr>
                <w:sz w:val="1"/>
                <w:szCs w:val="1"/>
                <w:color w:val="auto"/>
              </w:rPr>
            </w:pPr>
          </w:p>
        </w:tc>
      </w:tr>
      <w:tr>
        <w:trPr>
          <w:trHeight w:val="192"/>
        </w:trPr>
        <w:tc>
          <w:tcPr>
            <w:tcW w:w="3020" w:type="dxa"/>
            <w:vAlign w:val="bottom"/>
            <w:gridSpan w:val="2"/>
          </w:tcPr>
          <w:p>
            <w:pPr>
              <w:spacing w:after="0" w:line="192" w:lineRule="exact"/>
              <w:rPr>
                <w:sz w:val="20"/>
                <w:szCs w:val="20"/>
                <w:color w:val="auto"/>
              </w:rPr>
            </w:pPr>
            <w:r>
              <w:rPr>
                <w:rFonts w:ascii="Arial" w:cs="Arial" w:eastAsia="Arial" w:hAnsi="Arial"/>
                <w:sz w:val="17"/>
                <w:szCs w:val="17"/>
                <w:color w:val="auto"/>
              </w:rPr>
              <w:t>Mr. McLevish</w:t>
            </w:r>
          </w:p>
        </w:tc>
        <w:tc>
          <w:tcPr>
            <w:tcW w:w="1000" w:type="dxa"/>
            <w:vAlign w:val="bottom"/>
          </w:tcPr>
          <w:p>
            <w:pPr>
              <w:jc w:val="right"/>
              <w:ind w:right="62"/>
              <w:spacing w:after="0" w:line="192" w:lineRule="exact"/>
              <w:rPr>
                <w:sz w:val="20"/>
                <w:szCs w:val="20"/>
                <w:color w:val="auto"/>
              </w:rPr>
            </w:pPr>
            <w:r>
              <w:rPr>
                <w:rFonts w:ascii="Arial" w:cs="Arial" w:eastAsia="Arial" w:hAnsi="Arial"/>
                <w:sz w:val="17"/>
                <w:szCs w:val="17"/>
                <w:color w:val="auto"/>
              </w:rPr>
              <w:t>550,000</w:t>
            </w:r>
          </w:p>
        </w:tc>
        <w:tc>
          <w:tcPr>
            <w:tcW w:w="840" w:type="dxa"/>
            <w:vAlign w:val="bottom"/>
          </w:tcPr>
          <w:p>
            <w:pPr>
              <w:spacing w:after="0"/>
              <w:rPr>
                <w:sz w:val="16"/>
                <w:szCs w:val="16"/>
                <w:color w:val="auto"/>
              </w:rPr>
            </w:pPr>
          </w:p>
        </w:tc>
        <w:tc>
          <w:tcPr>
            <w:tcW w:w="1020" w:type="dxa"/>
            <w:vAlign w:val="bottom"/>
          </w:tcPr>
          <w:p>
            <w:pPr>
              <w:jc w:val="right"/>
              <w:ind w:right="62"/>
              <w:spacing w:after="0" w:line="192" w:lineRule="exact"/>
              <w:rPr>
                <w:sz w:val="20"/>
                <w:szCs w:val="20"/>
                <w:color w:val="auto"/>
              </w:rPr>
            </w:pPr>
            <w:r>
              <w:rPr>
                <w:rFonts w:ascii="Arial" w:cs="Arial" w:eastAsia="Arial" w:hAnsi="Arial"/>
                <w:sz w:val="17"/>
                <w:szCs w:val="17"/>
                <w:color w:val="auto"/>
              </w:rPr>
              <w:t>1,100,000</w:t>
            </w:r>
          </w:p>
        </w:tc>
        <w:tc>
          <w:tcPr>
            <w:tcW w:w="860" w:type="dxa"/>
            <w:vAlign w:val="bottom"/>
          </w:tcPr>
          <w:p>
            <w:pPr>
              <w:spacing w:after="0"/>
              <w:rPr>
                <w:sz w:val="16"/>
                <w:szCs w:val="16"/>
                <w:color w:val="auto"/>
              </w:rPr>
            </w:pPr>
          </w:p>
        </w:tc>
        <w:tc>
          <w:tcPr>
            <w:tcW w:w="1020" w:type="dxa"/>
            <w:vAlign w:val="bottom"/>
          </w:tcPr>
          <w:p>
            <w:pPr>
              <w:jc w:val="right"/>
              <w:ind w:right="62"/>
              <w:spacing w:after="0" w:line="192" w:lineRule="exact"/>
              <w:rPr>
                <w:sz w:val="20"/>
                <w:szCs w:val="20"/>
                <w:color w:val="auto"/>
              </w:rPr>
            </w:pPr>
            <w:r>
              <w:rPr>
                <w:rFonts w:ascii="Arial" w:cs="Arial" w:eastAsia="Arial" w:hAnsi="Arial"/>
                <w:sz w:val="17"/>
                <w:szCs w:val="17"/>
                <w:color w:val="auto"/>
              </w:rPr>
              <w:t>1,650,000</w:t>
            </w:r>
          </w:p>
        </w:tc>
        <w:tc>
          <w:tcPr>
            <w:tcW w:w="0" w:type="dxa"/>
            <w:vAlign w:val="bottom"/>
          </w:tcPr>
          <w:p>
            <w:pPr>
              <w:spacing w:after="0"/>
              <w:rPr>
                <w:sz w:val="1"/>
                <w:szCs w:val="1"/>
                <w:color w:val="auto"/>
              </w:rPr>
            </w:pPr>
          </w:p>
        </w:tc>
      </w:tr>
      <w:tr>
        <w:trPr>
          <w:trHeight w:val="192"/>
        </w:trPr>
        <w:tc>
          <w:tcPr>
            <w:tcW w:w="30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Khosla</w:t>
            </w:r>
          </w:p>
        </w:tc>
        <w:tc>
          <w:tcPr>
            <w:tcW w:w="1000" w:type="dxa"/>
            <w:vAlign w:val="bottom"/>
            <w:shd w:val="clear" w:color="auto" w:fill="D8D8D8"/>
          </w:tcPr>
          <w:p>
            <w:pPr>
              <w:jc w:val="right"/>
              <w:ind w:right="62"/>
              <w:spacing w:after="0" w:line="192" w:lineRule="exact"/>
              <w:rPr>
                <w:sz w:val="20"/>
                <w:szCs w:val="20"/>
                <w:color w:val="auto"/>
              </w:rPr>
            </w:pPr>
            <w:r>
              <w:rPr>
                <w:rFonts w:ascii="Arial" w:cs="Arial" w:eastAsia="Arial" w:hAnsi="Arial"/>
                <w:sz w:val="17"/>
                <w:szCs w:val="17"/>
                <w:color w:val="auto"/>
              </w:rPr>
              <w:t>350,000</w:t>
            </w:r>
          </w:p>
        </w:tc>
        <w:tc>
          <w:tcPr>
            <w:tcW w:w="840" w:type="dxa"/>
            <w:vAlign w:val="bottom"/>
            <w:shd w:val="clear" w:color="auto" w:fill="D8D8D8"/>
          </w:tcPr>
          <w:p>
            <w:pPr>
              <w:spacing w:after="0"/>
              <w:rPr>
                <w:sz w:val="16"/>
                <w:szCs w:val="16"/>
                <w:color w:val="auto"/>
              </w:rPr>
            </w:pPr>
          </w:p>
        </w:tc>
        <w:tc>
          <w:tcPr>
            <w:tcW w:w="1020" w:type="dxa"/>
            <w:vAlign w:val="bottom"/>
            <w:shd w:val="clear" w:color="auto" w:fill="D8D8D8"/>
          </w:tcPr>
          <w:p>
            <w:pPr>
              <w:jc w:val="right"/>
              <w:ind w:right="62"/>
              <w:spacing w:after="0" w:line="192" w:lineRule="exact"/>
              <w:rPr>
                <w:sz w:val="20"/>
                <w:szCs w:val="20"/>
                <w:color w:val="auto"/>
              </w:rPr>
            </w:pPr>
            <w:r>
              <w:rPr>
                <w:rFonts w:ascii="Arial" w:cs="Arial" w:eastAsia="Arial" w:hAnsi="Arial"/>
                <w:sz w:val="17"/>
                <w:szCs w:val="17"/>
                <w:color w:val="auto"/>
              </w:rPr>
              <w:t>700,000</w:t>
            </w:r>
          </w:p>
        </w:tc>
        <w:tc>
          <w:tcPr>
            <w:tcW w:w="860" w:type="dxa"/>
            <w:vAlign w:val="bottom"/>
            <w:shd w:val="clear" w:color="auto" w:fill="D8D8D8"/>
          </w:tcPr>
          <w:p>
            <w:pPr>
              <w:spacing w:after="0"/>
              <w:rPr>
                <w:sz w:val="16"/>
                <w:szCs w:val="16"/>
                <w:color w:val="auto"/>
              </w:rPr>
            </w:pPr>
          </w:p>
        </w:tc>
        <w:tc>
          <w:tcPr>
            <w:tcW w:w="1020" w:type="dxa"/>
            <w:vAlign w:val="bottom"/>
            <w:shd w:val="clear" w:color="auto" w:fill="D8D8D8"/>
          </w:tcPr>
          <w:p>
            <w:pPr>
              <w:jc w:val="right"/>
              <w:ind w:right="62"/>
              <w:spacing w:after="0" w:line="192" w:lineRule="exact"/>
              <w:rPr>
                <w:sz w:val="20"/>
                <w:szCs w:val="20"/>
                <w:color w:val="auto"/>
              </w:rPr>
            </w:pPr>
            <w:r>
              <w:rPr>
                <w:rFonts w:ascii="Arial" w:cs="Arial" w:eastAsia="Arial" w:hAnsi="Arial"/>
                <w:sz w:val="17"/>
                <w:szCs w:val="17"/>
                <w:color w:val="auto"/>
              </w:rPr>
              <w:t>1,050,000</w:t>
            </w:r>
          </w:p>
        </w:tc>
        <w:tc>
          <w:tcPr>
            <w:tcW w:w="0" w:type="dxa"/>
            <w:vAlign w:val="bottom"/>
          </w:tcPr>
          <w:p>
            <w:pPr>
              <w:spacing w:after="0"/>
              <w:rPr>
                <w:sz w:val="1"/>
                <w:szCs w:val="1"/>
                <w:color w:val="auto"/>
              </w:rPr>
            </w:pPr>
          </w:p>
        </w:tc>
      </w:tr>
      <w:tr>
        <w:trPr>
          <w:trHeight w:val="192"/>
        </w:trPr>
        <w:tc>
          <w:tcPr>
            <w:tcW w:w="3020" w:type="dxa"/>
            <w:vAlign w:val="bottom"/>
            <w:gridSpan w:val="2"/>
          </w:tcPr>
          <w:p>
            <w:pPr>
              <w:spacing w:after="0" w:line="192" w:lineRule="exact"/>
              <w:rPr>
                <w:sz w:val="20"/>
                <w:szCs w:val="20"/>
                <w:color w:val="auto"/>
              </w:rPr>
            </w:pPr>
            <w:r>
              <w:rPr>
                <w:rFonts w:ascii="Arial" w:cs="Arial" w:eastAsia="Arial" w:hAnsi="Arial"/>
                <w:sz w:val="17"/>
                <w:szCs w:val="17"/>
                <w:color w:val="auto"/>
              </w:rPr>
              <w:t>Mr. Vernon</w:t>
            </w:r>
          </w:p>
        </w:tc>
        <w:tc>
          <w:tcPr>
            <w:tcW w:w="1000" w:type="dxa"/>
            <w:vAlign w:val="bottom"/>
          </w:tcPr>
          <w:p>
            <w:pPr>
              <w:jc w:val="right"/>
              <w:ind w:right="62"/>
              <w:spacing w:after="0" w:line="192" w:lineRule="exact"/>
              <w:rPr>
                <w:sz w:val="20"/>
                <w:szCs w:val="20"/>
                <w:color w:val="auto"/>
              </w:rPr>
            </w:pPr>
            <w:r>
              <w:rPr>
                <w:rFonts w:ascii="Arial" w:cs="Arial" w:eastAsia="Arial" w:hAnsi="Arial"/>
                <w:sz w:val="17"/>
                <w:szCs w:val="17"/>
                <w:color w:val="auto"/>
              </w:rPr>
              <w:t>550,000</w:t>
            </w:r>
          </w:p>
        </w:tc>
        <w:tc>
          <w:tcPr>
            <w:tcW w:w="840" w:type="dxa"/>
            <w:vAlign w:val="bottom"/>
          </w:tcPr>
          <w:p>
            <w:pPr>
              <w:spacing w:after="0"/>
              <w:rPr>
                <w:sz w:val="16"/>
                <w:szCs w:val="16"/>
                <w:color w:val="auto"/>
              </w:rPr>
            </w:pPr>
          </w:p>
        </w:tc>
        <w:tc>
          <w:tcPr>
            <w:tcW w:w="1020" w:type="dxa"/>
            <w:vAlign w:val="bottom"/>
          </w:tcPr>
          <w:p>
            <w:pPr>
              <w:jc w:val="right"/>
              <w:ind w:right="62"/>
              <w:spacing w:after="0" w:line="192" w:lineRule="exact"/>
              <w:rPr>
                <w:sz w:val="20"/>
                <w:szCs w:val="20"/>
                <w:color w:val="auto"/>
              </w:rPr>
            </w:pPr>
            <w:r>
              <w:rPr>
                <w:rFonts w:ascii="Arial" w:cs="Arial" w:eastAsia="Arial" w:hAnsi="Arial"/>
                <w:sz w:val="17"/>
                <w:szCs w:val="17"/>
                <w:color w:val="auto"/>
              </w:rPr>
              <w:t>1,100,000</w:t>
            </w:r>
          </w:p>
        </w:tc>
        <w:tc>
          <w:tcPr>
            <w:tcW w:w="860" w:type="dxa"/>
            <w:vAlign w:val="bottom"/>
          </w:tcPr>
          <w:p>
            <w:pPr>
              <w:spacing w:after="0"/>
              <w:rPr>
                <w:sz w:val="16"/>
                <w:szCs w:val="16"/>
                <w:color w:val="auto"/>
              </w:rPr>
            </w:pPr>
          </w:p>
        </w:tc>
        <w:tc>
          <w:tcPr>
            <w:tcW w:w="1020" w:type="dxa"/>
            <w:vAlign w:val="bottom"/>
          </w:tcPr>
          <w:p>
            <w:pPr>
              <w:jc w:val="right"/>
              <w:ind w:right="62"/>
              <w:spacing w:after="0" w:line="192" w:lineRule="exact"/>
              <w:rPr>
                <w:sz w:val="20"/>
                <w:szCs w:val="20"/>
                <w:color w:val="auto"/>
              </w:rPr>
            </w:pPr>
            <w:r>
              <w:rPr>
                <w:rFonts w:ascii="Arial" w:cs="Arial" w:eastAsia="Arial" w:hAnsi="Arial"/>
                <w:sz w:val="17"/>
                <w:szCs w:val="17"/>
                <w:color w:val="auto"/>
              </w:rPr>
              <w:t>1,650,000</w:t>
            </w:r>
          </w:p>
        </w:tc>
        <w:tc>
          <w:tcPr>
            <w:tcW w:w="0" w:type="dxa"/>
            <w:vAlign w:val="bottom"/>
          </w:tcPr>
          <w:p>
            <w:pPr>
              <w:spacing w:after="0"/>
              <w:rPr>
                <w:sz w:val="1"/>
                <w:szCs w:val="1"/>
                <w:color w:val="auto"/>
              </w:rPr>
            </w:pPr>
          </w:p>
        </w:tc>
      </w:tr>
      <w:tr>
        <w:trPr>
          <w:trHeight w:val="192"/>
        </w:trPr>
        <w:tc>
          <w:tcPr>
            <w:tcW w:w="30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Ms. West</w:t>
            </w:r>
          </w:p>
        </w:tc>
        <w:tc>
          <w:tcPr>
            <w:tcW w:w="1000" w:type="dxa"/>
            <w:vAlign w:val="bottom"/>
            <w:shd w:val="clear" w:color="auto" w:fill="D8D8D8"/>
          </w:tcPr>
          <w:p>
            <w:pPr>
              <w:jc w:val="right"/>
              <w:ind w:right="62"/>
              <w:spacing w:after="0" w:line="192" w:lineRule="exact"/>
              <w:rPr>
                <w:sz w:val="20"/>
                <w:szCs w:val="20"/>
                <w:color w:val="auto"/>
              </w:rPr>
            </w:pPr>
            <w:r>
              <w:rPr>
                <w:rFonts w:ascii="Arial" w:cs="Arial" w:eastAsia="Arial" w:hAnsi="Arial"/>
                <w:sz w:val="17"/>
                <w:szCs w:val="17"/>
                <w:color w:val="auto"/>
              </w:rPr>
              <w:t>350,000</w:t>
            </w:r>
          </w:p>
        </w:tc>
        <w:tc>
          <w:tcPr>
            <w:tcW w:w="840" w:type="dxa"/>
            <w:vAlign w:val="bottom"/>
            <w:shd w:val="clear" w:color="auto" w:fill="D8D8D8"/>
          </w:tcPr>
          <w:p>
            <w:pPr>
              <w:spacing w:after="0"/>
              <w:rPr>
                <w:sz w:val="16"/>
                <w:szCs w:val="16"/>
                <w:color w:val="auto"/>
              </w:rPr>
            </w:pPr>
          </w:p>
        </w:tc>
        <w:tc>
          <w:tcPr>
            <w:tcW w:w="1020" w:type="dxa"/>
            <w:vAlign w:val="bottom"/>
            <w:shd w:val="clear" w:color="auto" w:fill="D8D8D8"/>
          </w:tcPr>
          <w:p>
            <w:pPr>
              <w:jc w:val="right"/>
              <w:ind w:right="62"/>
              <w:spacing w:after="0" w:line="192" w:lineRule="exact"/>
              <w:rPr>
                <w:sz w:val="20"/>
                <w:szCs w:val="20"/>
                <w:color w:val="auto"/>
              </w:rPr>
            </w:pPr>
            <w:r>
              <w:rPr>
                <w:rFonts w:ascii="Arial" w:cs="Arial" w:eastAsia="Arial" w:hAnsi="Arial"/>
                <w:sz w:val="17"/>
                <w:szCs w:val="17"/>
                <w:color w:val="auto"/>
              </w:rPr>
              <w:t>700,000</w:t>
            </w:r>
          </w:p>
        </w:tc>
        <w:tc>
          <w:tcPr>
            <w:tcW w:w="860" w:type="dxa"/>
            <w:vAlign w:val="bottom"/>
            <w:shd w:val="clear" w:color="auto" w:fill="D8D8D8"/>
          </w:tcPr>
          <w:p>
            <w:pPr>
              <w:spacing w:after="0"/>
              <w:rPr>
                <w:sz w:val="16"/>
                <w:szCs w:val="16"/>
                <w:color w:val="auto"/>
              </w:rPr>
            </w:pPr>
          </w:p>
        </w:tc>
        <w:tc>
          <w:tcPr>
            <w:tcW w:w="1020" w:type="dxa"/>
            <w:vAlign w:val="bottom"/>
            <w:shd w:val="clear" w:color="auto" w:fill="D8D8D8"/>
          </w:tcPr>
          <w:p>
            <w:pPr>
              <w:jc w:val="right"/>
              <w:ind w:right="62"/>
              <w:spacing w:after="0" w:line="192" w:lineRule="exact"/>
              <w:rPr>
                <w:sz w:val="20"/>
                <w:szCs w:val="20"/>
                <w:color w:val="auto"/>
              </w:rPr>
            </w:pPr>
            <w:r>
              <w:rPr>
                <w:rFonts w:ascii="Arial" w:cs="Arial" w:eastAsia="Arial" w:hAnsi="Arial"/>
                <w:sz w:val="17"/>
                <w:szCs w:val="17"/>
                <w:color w:val="auto"/>
              </w:rPr>
              <w:t>1,050,000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186690</wp:posOffset>
            </wp:positionV>
            <wp:extent cx="7308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0885" cy="8255"/>
                    </a:xfrm>
                    <a:prstGeom prst="rect">
                      <a:avLst/>
                    </a:prstGeom>
                    <a:noFill/>
                  </pic:spPr>
                </pic:pic>
              </a:graphicData>
            </a:graphic>
          </wp:anchor>
        </w:drawing>
      </w:r>
    </w:p>
    <w:p>
      <w:pPr>
        <w:spacing w:after="0" w:line="316" w:lineRule="exact"/>
        <w:rPr>
          <w:sz w:val="20"/>
          <w:szCs w:val="20"/>
          <w:color w:val="auto"/>
        </w:rPr>
      </w:pPr>
    </w:p>
    <w:p>
      <w:pPr>
        <w:ind w:left="1820" w:right="320" w:hanging="449"/>
        <w:spacing w:after="0" w:line="241" w:lineRule="auto"/>
        <w:tabs>
          <w:tab w:leader="none" w:pos="18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ranges above include threshold to maximum grant values for these positions. The Committee may also choose to grant an award below the threshold.</w:t>
      </w:r>
    </w:p>
    <w:p>
      <w:pPr>
        <w:spacing w:after="0" w:line="67" w:lineRule="exact"/>
        <w:rPr>
          <w:rFonts w:ascii="Arial" w:cs="Arial" w:eastAsia="Arial" w:hAnsi="Arial"/>
          <w:sz w:val="17"/>
          <w:szCs w:val="17"/>
          <w:color w:val="auto"/>
        </w:rPr>
      </w:pPr>
    </w:p>
    <w:p>
      <w:pPr>
        <w:ind w:left="1820" w:right="360" w:hanging="449"/>
        <w:spacing w:after="0" w:line="241" w:lineRule="auto"/>
        <w:tabs>
          <w:tab w:leader="none" w:pos="18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Mr. Brearton’s grant value award range reflected his prior role as Executive Vice President, Operations and Business Services before becoming Executive Vice President and Chief Financial Officer in May 2011.</w:t>
      </w:r>
    </w:p>
    <w:p>
      <w:pPr>
        <w:spacing w:after="0" w:line="145"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All equity awards approved by the Committee and granted to our Named Executive Officers in 2011 were within the respective ranges presented above. Actual equity award amounts in 2011 are presented in this Proxy Statement in the 2011 Grants of Plan-Based Awards Table under “Executive Compensation Tables.”</w:t>
      </w:r>
    </w:p>
    <w:p>
      <w:pPr>
        <w:spacing w:after="0" w:line="145"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date for annual restricted stock and stock option awards is pre-set on the scheduled date of the Committee meeting immediately following the release of our annual financial results. The exercise price for stock options is determined on the date the Committee approves the awards and is set as the average of the high and low trading prices on that date.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LTIP – Performance Shares (2011 – 2013 Performance Cycle)</w:t>
      </w:r>
    </w:p>
    <w:p>
      <w:pPr>
        <w:spacing w:after="0" w:line="168"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We designed the LTIP to motivate executive officers to achieve long-term financial goals and top-tier shareholder returns. The plan measures performance over a three-year period (2011 – 2013), and shares of Kraft Foods’ common stock are earned based on the actual performance against goals set at the beginning of the cycle. The number of shares earned by an executive officer depends on the achievement of key internal financial metrics and Total Shareholder Return results relative to the companies in our Performance Peer Group. No individual performance factor is used in the calculation. No dividends or dividend equivalents are paid or earned on unvested performance shares.</w:t>
      </w:r>
    </w:p>
    <w:p>
      <w:pPr>
        <w:spacing w:after="0" w:line="148" w:lineRule="exact"/>
        <w:rPr>
          <w:sz w:val="20"/>
          <w:szCs w:val="20"/>
          <w:color w:val="auto"/>
        </w:rPr>
      </w:pPr>
    </w:p>
    <w:p>
      <w:pPr>
        <w:ind w:right="580"/>
        <w:spacing w:after="0" w:line="241" w:lineRule="auto"/>
        <w:rPr>
          <w:sz w:val="20"/>
          <w:szCs w:val="20"/>
          <w:color w:val="auto"/>
        </w:rPr>
      </w:pPr>
      <w:r>
        <w:rPr>
          <w:rFonts w:ascii="Arial" w:cs="Arial" w:eastAsia="Arial" w:hAnsi="Arial"/>
          <w:sz w:val="17"/>
          <w:szCs w:val="17"/>
          <w:color w:val="auto"/>
        </w:rPr>
        <w:t>The formula shown below is used to determine actual awards for participants, including our Named Executive Officers. Other than base salary, each element of this formula is discussed below.</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367"/>
        </w:trPr>
        <w:tc>
          <w:tcPr>
            <w:tcW w:w="3000" w:type="dxa"/>
            <w:vAlign w:val="bottom"/>
            <w:tcBorders>
              <w:top w:val="single" w:sz="8" w:color="auto"/>
              <w:left w:val="single" w:sz="8" w:color="auto"/>
              <w:righ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Target Incentive</w:t>
            </w:r>
          </w:p>
        </w:tc>
        <w:tc>
          <w:tcPr>
            <w:tcW w:w="240" w:type="dxa"/>
            <w:vAlign w:val="bottom"/>
            <w:tcBorders>
              <w:right w:val="single" w:sz="8" w:color="auto"/>
            </w:tcBorders>
          </w:tcPr>
          <w:p>
            <w:pPr>
              <w:spacing w:after="0"/>
              <w:rPr>
                <w:sz w:val="24"/>
                <w:szCs w:val="24"/>
                <w:color w:val="auto"/>
              </w:rPr>
            </w:pPr>
          </w:p>
        </w:tc>
        <w:tc>
          <w:tcPr>
            <w:tcW w:w="2260" w:type="dxa"/>
            <w:vAlign w:val="bottom"/>
            <w:tcBorders>
              <w:top w:val="single" w:sz="8" w:color="auto"/>
              <w:right w:val="single" w:sz="8" w:color="auto"/>
            </w:tcBorders>
            <w:vMerge w:val="restart"/>
          </w:tcPr>
          <w:p>
            <w:pPr>
              <w:jc w:val="center"/>
              <w:ind w:left="16"/>
              <w:spacing w:after="0"/>
              <w:rPr>
                <w:sz w:val="20"/>
                <w:szCs w:val="20"/>
                <w:color w:val="auto"/>
              </w:rPr>
            </w:pPr>
            <w:r>
              <w:rPr>
                <w:rFonts w:ascii="Arial" w:cs="Arial" w:eastAsia="Arial" w:hAnsi="Arial"/>
                <w:sz w:val="13"/>
                <w:szCs w:val="13"/>
                <w:b w:val="1"/>
                <w:bCs w:val="1"/>
                <w:color w:val="auto"/>
                <w:w w:val="97"/>
              </w:rPr>
              <w:t>Business Performance</w:t>
            </w:r>
          </w:p>
        </w:tc>
        <w:tc>
          <w:tcPr>
            <w:tcW w:w="260" w:type="dxa"/>
            <w:vAlign w:val="bottom"/>
            <w:tcBorders>
              <w:right w:val="single" w:sz="8" w:color="auto"/>
            </w:tcBorders>
          </w:tcPr>
          <w:p>
            <w:pPr>
              <w:spacing w:after="0"/>
              <w:rPr>
                <w:sz w:val="24"/>
                <w:szCs w:val="24"/>
                <w:color w:val="auto"/>
              </w:rPr>
            </w:pPr>
          </w:p>
        </w:tc>
        <w:tc>
          <w:tcPr>
            <w:tcW w:w="272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3000" w:type="dxa"/>
            <w:vAlign w:val="bottom"/>
            <w:tcBorders>
              <w:left w:val="single" w:sz="8" w:color="auto"/>
              <w:right w:val="single" w:sz="8" w:color="auto"/>
            </w:tcBorders>
            <w:vMerge w:val="restart"/>
          </w:tcPr>
          <w:p>
            <w:pPr>
              <w:jc w:val="center"/>
              <w:ind w:left="23"/>
              <w:spacing w:after="0" w:line="141" w:lineRule="exact"/>
              <w:rPr>
                <w:sz w:val="20"/>
                <w:szCs w:val="20"/>
                <w:color w:val="auto"/>
              </w:rPr>
            </w:pPr>
            <w:r>
              <w:rPr>
                <w:rFonts w:ascii="Arial" w:cs="Arial" w:eastAsia="Arial" w:hAnsi="Arial"/>
                <w:sz w:val="13"/>
                <w:szCs w:val="13"/>
                <w:b w:val="1"/>
                <w:bCs w:val="1"/>
                <w:color w:val="auto"/>
                <w:w w:val="98"/>
              </w:rPr>
              <w:t>Base Salary at</w:t>
            </w:r>
          </w:p>
        </w:tc>
        <w:tc>
          <w:tcPr>
            <w:tcW w:w="240" w:type="dxa"/>
            <w:vAlign w:val="bottom"/>
            <w:tcBorders>
              <w:right w:val="single" w:sz="8" w:color="auto"/>
            </w:tcBorders>
          </w:tcPr>
          <w:p>
            <w:pPr>
              <w:spacing w:after="0"/>
              <w:rPr>
                <w:sz w:val="5"/>
                <w:szCs w:val="5"/>
                <w:color w:val="auto"/>
              </w:rPr>
            </w:pPr>
          </w:p>
        </w:tc>
        <w:tc>
          <w:tcPr>
            <w:tcW w:w="272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3"/>
                <w:szCs w:val="13"/>
                <w:b w:val="1"/>
                <w:bCs w:val="1"/>
                <w:color w:val="auto"/>
                <w:w w:val="99"/>
              </w:rPr>
              <w:t>Opportunity</w:t>
            </w:r>
          </w:p>
        </w:tc>
        <w:tc>
          <w:tcPr>
            <w:tcW w:w="240" w:type="dxa"/>
            <w:vAlign w:val="bottom"/>
            <w:tcBorders>
              <w:right w:val="single" w:sz="8" w:color="auto"/>
            </w:tcBorders>
          </w:tcPr>
          <w:p>
            <w:pPr>
              <w:spacing w:after="0"/>
              <w:rPr>
                <w:sz w:val="5"/>
                <w:szCs w:val="5"/>
                <w:color w:val="auto"/>
              </w:rPr>
            </w:pPr>
          </w:p>
        </w:tc>
        <w:tc>
          <w:tcPr>
            <w:tcW w:w="2260" w:type="dxa"/>
            <w:vAlign w:val="bottom"/>
            <w:tcBorders>
              <w:right w:val="single" w:sz="8" w:color="auto"/>
            </w:tcBorders>
            <w:vMerge w:val="continue"/>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27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3000" w:type="dxa"/>
            <w:vAlign w:val="bottom"/>
            <w:tcBorders>
              <w:left w:val="single" w:sz="8" w:color="auto"/>
              <w:right w:val="single" w:sz="8" w:color="auto"/>
            </w:tcBorders>
            <w:vMerge w:val="continue"/>
          </w:tcPr>
          <w:p>
            <w:pPr>
              <w:spacing w:after="0"/>
              <w:rPr>
                <w:sz w:val="6"/>
                <w:szCs w:val="6"/>
                <w:color w:val="auto"/>
              </w:rPr>
            </w:pPr>
          </w:p>
        </w:tc>
        <w:tc>
          <w:tcPr>
            <w:tcW w:w="2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b w:val="1"/>
                <w:bCs w:val="1"/>
                <w:color w:val="auto"/>
              </w:rPr>
              <w:t>x</w:t>
            </w:r>
          </w:p>
        </w:tc>
        <w:tc>
          <w:tcPr>
            <w:tcW w:w="2720" w:type="dxa"/>
            <w:vAlign w:val="bottom"/>
            <w:tcBorders>
              <w:right w:val="single" w:sz="8" w:color="auto"/>
            </w:tcBorders>
            <w:vMerge w:val="continue"/>
          </w:tcPr>
          <w:p>
            <w:pPr>
              <w:spacing w:after="0"/>
              <w:rPr>
                <w:sz w:val="6"/>
                <w:szCs w:val="6"/>
                <w:color w:val="auto"/>
              </w:rPr>
            </w:pPr>
          </w:p>
        </w:tc>
        <w:tc>
          <w:tcPr>
            <w:tcW w:w="2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b w:val="1"/>
                <w:bCs w:val="1"/>
                <w:color w:val="auto"/>
              </w:rPr>
              <w:t>x</w:t>
            </w:r>
          </w:p>
        </w:tc>
        <w:tc>
          <w:tcPr>
            <w:tcW w:w="226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3"/>
                <w:szCs w:val="13"/>
                <w:b w:val="1"/>
                <w:bCs w:val="1"/>
                <w:color w:val="auto"/>
                <w:w w:val="98"/>
              </w:rPr>
              <w:t>Rating</w:t>
            </w:r>
          </w:p>
        </w:tc>
        <w:tc>
          <w:tcPr>
            <w:tcW w:w="2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2720" w:type="dxa"/>
            <w:vAlign w:val="bottom"/>
            <w:tcBorders>
              <w:right w:val="single" w:sz="8" w:color="auto"/>
            </w:tcBorders>
            <w:vMerge w:val="restart"/>
          </w:tcPr>
          <w:p>
            <w:pPr>
              <w:jc w:val="center"/>
              <w:spacing w:after="0" w:line="141" w:lineRule="exact"/>
              <w:rPr>
                <w:sz w:val="20"/>
                <w:szCs w:val="20"/>
                <w:color w:val="auto"/>
              </w:rPr>
            </w:pPr>
            <w:r>
              <w:rPr>
                <w:rFonts w:ascii="Arial" w:cs="Arial" w:eastAsia="Arial" w:hAnsi="Arial"/>
                <w:sz w:val="13"/>
                <w:szCs w:val="13"/>
                <w:b w:val="1"/>
                <w:bCs w:val="1"/>
                <w:color w:val="auto"/>
                <w:w w:val="97"/>
              </w:rPr>
              <w:t>Actual LTIP Award</w:t>
            </w:r>
          </w:p>
        </w:tc>
        <w:tc>
          <w:tcPr>
            <w:tcW w:w="0" w:type="dxa"/>
            <w:vAlign w:val="bottom"/>
          </w:tcPr>
          <w:p>
            <w:pPr>
              <w:spacing w:after="0"/>
              <w:rPr>
                <w:sz w:val="1"/>
                <w:szCs w:val="1"/>
                <w:color w:val="auto"/>
              </w:rPr>
            </w:pPr>
          </w:p>
        </w:tc>
      </w:tr>
      <w:tr>
        <w:trPr>
          <w:trHeight w:val="64"/>
        </w:trPr>
        <w:tc>
          <w:tcPr>
            <w:tcW w:w="3000" w:type="dxa"/>
            <w:vAlign w:val="bottom"/>
            <w:tcBorders>
              <w:left w:val="single" w:sz="8" w:color="auto"/>
              <w:right w:val="single" w:sz="8" w:color="auto"/>
            </w:tcBorders>
            <w:vMerge w:val="restart"/>
          </w:tcPr>
          <w:p>
            <w:pPr>
              <w:jc w:val="center"/>
              <w:ind w:left="43"/>
              <w:spacing w:after="0"/>
              <w:rPr>
                <w:sz w:val="20"/>
                <w:szCs w:val="20"/>
                <w:color w:val="auto"/>
              </w:rPr>
            </w:pPr>
            <w:r>
              <w:rPr>
                <w:rFonts w:ascii="Arial" w:cs="Arial" w:eastAsia="Arial" w:hAnsi="Arial"/>
                <w:sz w:val="13"/>
                <w:szCs w:val="13"/>
                <w:b w:val="1"/>
                <w:bCs w:val="1"/>
                <w:color w:val="auto"/>
                <w:w w:val="98"/>
              </w:rPr>
              <w:t>Beginning of</w:t>
            </w:r>
          </w:p>
        </w:tc>
        <w:tc>
          <w:tcPr>
            <w:tcW w:w="240" w:type="dxa"/>
            <w:vAlign w:val="bottom"/>
            <w:tcBorders>
              <w:right w:val="single" w:sz="8" w:color="auto"/>
            </w:tcBorders>
            <w:vMerge w:val="continue"/>
          </w:tcPr>
          <w:p>
            <w:pPr>
              <w:spacing w:after="0"/>
              <w:rPr>
                <w:sz w:val="5"/>
                <w:szCs w:val="5"/>
                <w:color w:val="auto"/>
              </w:rPr>
            </w:pP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 of Base Salary)</w:t>
            </w:r>
          </w:p>
        </w:tc>
        <w:tc>
          <w:tcPr>
            <w:tcW w:w="240" w:type="dxa"/>
            <w:vAlign w:val="bottom"/>
            <w:tcBorders>
              <w:right w:val="single" w:sz="8" w:color="auto"/>
            </w:tcBorders>
            <w:vMerge w:val="continue"/>
          </w:tcPr>
          <w:p>
            <w:pPr>
              <w:spacing w:after="0"/>
              <w:rPr>
                <w:sz w:val="5"/>
                <w:szCs w:val="5"/>
                <w:color w:val="auto"/>
              </w:rPr>
            </w:pPr>
          </w:p>
        </w:tc>
        <w:tc>
          <w:tcPr>
            <w:tcW w:w="2260" w:type="dxa"/>
            <w:vAlign w:val="bottom"/>
            <w:tcBorders>
              <w:right w:val="single" w:sz="8" w:color="auto"/>
            </w:tcBorders>
            <w:vMerge w:val="continue"/>
          </w:tcPr>
          <w:p>
            <w:pPr>
              <w:spacing w:after="0"/>
              <w:rPr>
                <w:sz w:val="5"/>
                <w:szCs w:val="5"/>
                <w:color w:val="auto"/>
              </w:rPr>
            </w:pPr>
          </w:p>
        </w:tc>
        <w:tc>
          <w:tcPr>
            <w:tcW w:w="260" w:type="dxa"/>
            <w:vAlign w:val="bottom"/>
            <w:tcBorders>
              <w:right w:val="single" w:sz="8" w:color="auto"/>
            </w:tcBorders>
            <w:vMerge w:val="continue"/>
          </w:tcPr>
          <w:p>
            <w:pPr>
              <w:spacing w:after="0"/>
              <w:rPr>
                <w:sz w:val="5"/>
                <w:szCs w:val="5"/>
                <w:color w:val="auto"/>
              </w:rPr>
            </w:pPr>
          </w:p>
        </w:tc>
        <w:tc>
          <w:tcPr>
            <w:tcW w:w="27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3000" w:type="dxa"/>
            <w:vAlign w:val="bottom"/>
            <w:tcBorders>
              <w:left w:val="single" w:sz="8" w:color="auto"/>
              <w:right w:val="single" w:sz="8" w:color="auto"/>
            </w:tcBorders>
            <w:vMerge w:val="continue"/>
          </w:tcPr>
          <w:p>
            <w:pPr>
              <w:spacing w:after="0"/>
              <w:rPr>
                <w:sz w:val="11"/>
                <w:szCs w:val="11"/>
                <w:color w:val="auto"/>
              </w:rPr>
            </w:pPr>
          </w:p>
        </w:tc>
        <w:tc>
          <w:tcPr>
            <w:tcW w:w="240" w:type="dxa"/>
            <w:vAlign w:val="bottom"/>
            <w:tcBorders>
              <w:right w:val="single" w:sz="8" w:color="auto"/>
            </w:tcBorders>
            <w:vMerge w:val="continue"/>
          </w:tcPr>
          <w:p>
            <w:pPr>
              <w:spacing w:after="0"/>
              <w:rPr>
                <w:sz w:val="11"/>
                <w:szCs w:val="11"/>
                <w:color w:val="auto"/>
              </w:rPr>
            </w:pPr>
          </w:p>
        </w:tc>
        <w:tc>
          <w:tcPr>
            <w:tcW w:w="2720" w:type="dxa"/>
            <w:vAlign w:val="bottom"/>
            <w:tcBorders>
              <w:right w:val="single" w:sz="8" w:color="auto"/>
            </w:tcBorders>
            <w:vMerge w:val="continue"/>
          </w:tcPr>
          <w:p>
            <w:pPr>
              <w:spacing w:after="0"/>
              <w:rPr>
                <w:sz w:val="11"/>
                <w:szCs w:val="11"/>
                <w:color w:val="auto"/>
              </w:rPr>
            </w:pPr>
          </w:p>
        </w:tc>
        <w:tc>
          <w:tcPr>
            <w:tcW w:w="240" w:type="dxa"/>
            <w:vAlign w:val="bottom"/>
            <w:tcBorders>
              <w:right w:val="single" w:sz="8" w:color="auto"/>
            </w:tcBorders>
            <w:vMerge w:val="continue"/>
          </w:tcPr>
          <w:p>
            <w:pPr>
              <w:spacing w:after="0"/>
              <w:rPr>
                <w:sz w:val="11"/>
                <w:szCs w:val="11"/>
                <w:color w:val="auto"/>
              </w:rPr>
            </w:pPr>
          </w:p>
        </w:tc>
        <w:tc>
          <w:tcPr>
            <w:tcW w:w="2260" w:type="dxa"/>
            <w:vAlign w:val="bottom"/>
            <w:tcBorders>
              <w:right w:val="single" w:sz="8" w:color="auto"/>
            </w:tcBorders>
          </w:tcPr>
          <w:p>
            <w:pPr>
              <w:jc w:val="center"/>
              <w:ind w:left="16"/>
              <w:spacing w:after="0" w:line="132" w:lineRule="exact"/>
              <w:rPr>
                <w:sz w:val="20"/>
                <w:szCs w:val="20"/>
                <w:color w:val="auto"/>
              </w:rPr>
            </w:pPr>
            <w:r>
              <w:rPr>
                <w:rFonts w:ascii="Arial" w:cs="Arial" w:eastAsia="Arial" w:hAnsi="Arial"/>
                <w:sz w:val="13"/>
                <w:szCs w:val="13"/>
                <w:b w:val="1"/>
                <w:bCs w:val="1"/>
                <w:color w:val="auto"/>
                <w:w w:val="99"/>
              </w:rPr>
              <w:t>(0% – 200% of</w:t>
            </w:r>
          </w:p>
        </w:tc>
        <w:tc>
          <w:tcPr>
            <w:tcW w:w="260" w:type="dxa"/>
            <w:vAlign w:val="bottom"/>
            <w:tcBorders>
              <w:right w:val="single" w:sz="8" w:color="auto"/>
            </w:tcBorders>
            <w:vMerge w:val="continue"/>
          </w:tcPr>
          <w:p>
            <w:pPr>
              <w:spacing w:after="0"/>
              <w:rPr>
                <w:sz w:val="11"/>
                <w:szCs w:val="11"/>
                <w:color w:val="auto"/>
              </w:rPr>
            </w:pPr>
          </w:p>
        </w:tc>
        <w:tc>
          <w:tcPr>
            <w:tcW w:w="2720" w:type="dxa"/>
            <w:vAlign w:val="bottom"/>
            <w:tcBorders>
              <w:right w:val="single" w:sz="8" w:color="auto"/>
            </w:tcBorders>
          </w:tcPr>
          <w:p>
            <w:pPr>
              <w:jc w:val="center"/>
              <w:spacing w:after="0" w:line="132" w:lineRule="exact"/>
              <w:rPr>
                <w:sz w:val="20"/>
                <w:szCs w:val="20"/>
                <w:color w:val="auto"/>
              </w:rPr>
            </w:pPr>
            <w:r>
              <w:rPr>
                <w:rFonts w:ascii="Arial" w:cs="Arial" w:eastAsia="Arial" w:hAnsi="Arial"/>
                <w:sz w:val="13"/>
                <w:szCs w:val="13"/>
                <w:b w:val="1"/>
                <w:bCs w:val="1"/>
                <w:color w:val="auto"/>
                <w:w w:val="97"/>
              </w:rPr>
              <w:t>(in shares)</w:t>
            </w:r>
          </w:p>
        </w:tc>
        <w:tc>
          <w:tcPr>
            <w:tcW w:w="0" w:type="dxa"/>
            <w:vAlign w:val="bottom"/>
          </w:tcPr>
          <w:p>
            <w:pPr>
              <w:spacing w:after="0"/>
              <w:rPr>
                <w:sz w:val="1"/>
                <w:szCs w:val="1"/>
                <w:color w:val="auto"/>
              </w:rPr>
            </w:pPr>
          </w:p>
        </w:tc>
      </w:tr>
      <w:tr>
        <w:trPr>
          <w:trHeight w:val="86"/>
        </w:trPr>
        <w:tc>
          <w:tcPr>
            <w:tcW w:w="3000" w:type="dxa"/>
            <w:vAlign w:val="bottom"/>
            <w:tcBorders>
              <w:left w:val="single" w:sz="8" w:color="auto"/>
              <w:right w:val="single" w:sz="8" w:color="auto"/>
            </w:tcBorders>
          </w:tcPr>
          <w:p>
            <w:pPr>
              <w:jc w:val="center"/>
              <w:ind w:left="23"/>
              <w:spacing w:after="0" w:line="86" w:lineRule="exact"/>
              <w:rPr>
                <w:sz w:val="20"/>
                <w:szCs w:val="20"/>
                <w:color w:val="auto"/>
              </w:rPr>
            </w:pPr>
            <w:r>
              <w:rPr>
                <w:rFonts w:ascii="Arial" w:cs="Arial" w:eastAsia="Arial" w:hAnsi="Arial"/>
                <w:sz w:val="9"/>
                <w:szCs w:val="9"/>
                <w:b w:val="1"/>
                <w:bCs w:val="1"/>
                <w:color w:val="auto"/>
              </w:rPr>
              <w:t>Performance Cycle</w:t>
            </w:r>
          </w:p>
        </w:tc>
        <w:tc>
          <w:tcPr>
            <w:tcW w:w="240" w:type="dxa"/>
            <w:vAlign w:val="bottom"/>
            <w:tcBorders>
              <w:right w:val="single" w:sz="8" w:color="auto"/>
            </w:tcBorders>
          </w:tcPr>
          <w:p>
            <w:pPr>
              <w:spacing w:after="0"/>
              <w:rPr>
                <w:sz w:val="7"/>
                <w:szCs w:val="7"/>
                <w:color w:val="auto"/>
              </w:rPr>
            </w:pPr>
          </w:p>
        </w:tc>
        <w:tc>
          <w:tcPr>
            <w:tcW w:w="2720" w:type="dxa"/>
            <w:vAlign w:val="bottom"/>
            <w:tcBorders>
              <w:right w:val="single" w:sz="8" w:color="auto"/>
            </w:tcBorders>
          </w:tcPr>
          <w:p>
            <w:pPr>
              <w:jc w:val="center"/>
              <w:spacing w:after="0" w:line="86" w:lineRule="exact"/>
              <w:rPr>
                <w:sz w:val="20"/>
                <w:szCs w:val="20"/>
                <w:color w:val="auto"/>
              </w:rPr>
            </w:pPr>
            <w:r>
              <w:rPr>
                <w:rFonts w:ascii="Arial" w:cs="Arial" w:eastAsia="Arial" w:hAnsi="Arial"/>
                <w:sz w:val="9"/>
                <w:szCs w:val="9"/>
                <w:b w:val="1"/>
                <w:bCs w:val="1"/>
                <w:color w:val="auto"/>
              </w:rPr>
              <w:t>(Target number of</w:t>
            </w:r>
          </w:p>
        </w:tc>
        <w:tc>
          <w:tcPr>
            <w:tcW w:w="24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target shares)</w:t>
            </w:r>
          </w:p>
        </w:tc>
        <w:tc>
          <w:tcPr>
            <w:tcW w:w="260" w:type="dxa"/>
            <w:vAlign w:val="bottom"/>
            <w:tcBorders>
              <w:right w:val="single" w:sz="8" w:color="auto"/>
            </w:tcBorders>
          </w:tcPr>
          <w:p>
            <w:pPr>
              <w:spacing w:after="0"/>
              <w:rPr>
                <w:sz w:val="7"/>
                <w:szCs w:val="7"/>
                <w:color w:val="auto"/>
              </w:rPr>
            </w:pPr>
          </w:p>
        </w:tc>
        <w:tc>
          <w:tcPr>
            <w:tcW w:w="2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000" w:type="dxa"/>
            <w:vAlign w:val="bottom"/>
            <w:tcBorders>
              <w:left w:val="single" w:sz="8" w:color="auto"/>
              <w:right w:val="single" w:sz="8" w:color="auto"/>
            </w:tcBorders>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8"/>
              </w:rPr>
              <w:t>shares established)</w:t>
            </w:r>
          </w:p>
        </w:tc>
        <w:tc>
          <w:tcPr>
            <w:tcW w:w="24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000" w:type="dxa"/>
            <w:vAlign w:val="bottom"/>
            <w:tcBorders>
              <w:left w:val="single" w:sz="8" w:color="auto"/>
              <w:bottom w:val="single" w:sz="8" w:color="auto"/>
              <w:right w:val="single" w:sz="8" w:color="auto"/>
            </w:tcBorders>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2720" w:type="dxa"/>
            <w:vAlign w:val="bottom"/>
            <w:tcBorders>
              <w:bottom w:val="single" w:sz="8" w:color="auto"/>
              <w:right w:val="single" w:sz="8" w:color="auto"/>
            </w:tcBorders>
            <w:vMerge w:val="continue"/>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27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40"/>
          </w:cols>
          <w:pgMar w:left="240" w:top="443" w:right="21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60"/>
          </w:cols>
          <w:pgMar w:left="240" w:top="444" w:right="199" w:bottom="1440" w:gutter="0" w:footer="0" w:header="0"/>
        </w:sectPr>
      </w:pPr>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Award Formula</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Explanation of Key Provisions</w:t>
      </w:r>
    </w:p>
    <w:p>
      <w:pPr>
        <w:spacing w:after="0" w:line="31" w:lineRule="exact"/>
        <w:rPr>
          <w:sz w:val="20"/>
          <w:szCs w:val="20"/>
          <w:color w:val="auto"/>
        </w:rPr>
      </w:pPr>
    </w:p>
    <w:p>
      <w:pPr>
        <w:sectPr>
          <w:pgSz w:w="11900" w:h="16838" w:orient="portrait"/>
          <w:cols w:equalWidth="0" w:num="2">
            <w:col w:w="5280" w:space="720"/>
            <w:col w:w="5460"/>
          </w:cols>
          <w:pgMar w:left="240" w:top="444" w:right="19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118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7"/>
                <w:szCs w:val="17"/>
                <w:color w:val="auto"/>
                <w:w w:val="95"/>
              </w:rPr>
              <w:t>Target Incentive</w:t>
            </w:r>
          </w:p>
        </w:tc>
        <w:tc>
          <w:tcPr>
            <w:tcW w:w="1220" w:type="dxa"/>
            <w:vAlign w:val="bottom"/>
            <w:gridSpan w:val="2"/>
          </w:tcPr>
          <w:p>
            <w:pPr>
              <w:spacing w:after="0"/>
              <w:rPr>
                <w:sz w:val="15"/>
                <w:szCs w:val="15"/>
                <w:color w:val="auto"/>
              </w:rPr>
            </w:pPr>
          </w:p>
        </w:tc>
        <w:tc>
          <w:tcPr>
            <w:tcW w:w="9020" w:type="dxa"/>
            <w:vAlign w:val="bottom"/>
            <w:tcBorders>
              <w:top w:val="single" w:sz="8" w:color="auto"/>
            </w:tcBorders>
            <w:gridSpan w:val="11"/>
          </w:tcPr>
          <w:p>
            <w:pPr>
              <w:ind w:left="100"/>
              <w:spacing w:after="0" w:line="176" w:lineRule="exact"/>
              <w:rPr>
                <w:sz w:val="20"/>
                <w:szCs w:val="20"/>
                <w:color w:val="auto"/>
              </w:rPr>
            </w:pPr>
            <w:r>
              <w:rPr>
                <w:rFonts w:ascii="Arial" w:cs="Arial" w:eastAsia="Arial" w:hAnsi="Arial"/>
                <w:sz w:val="17"/>
                <w:szCs w:val="17"/>
                <w:color w:val="auto"/>
              </w:rPr>
              <w:t>•  Each participant in the plan is assigned a target award as a percentage of his or her base salary at the beginning of</w:t>
            </w:r>
          </w:p>
        </w:tc>
      </w:tr>
      <w:tr>
        <w:trPr>
          <w:trHeight w:val="213"/>
        </w:trPr>
        <w:tc>
          <w:tcPr>
            <w:tcW w:w="2400" w:type="dxa"/>
            <w:vAlign w:val="bottom"/>
            <w:gridSpan w:val="4"/>
          </w:tcPr>
          <w:p>
            <w:pPr>
              <w:spacing w:after="0"/>
              <w:rPr>
                <w:sz w:val="20"/>
                <w:szCs w:val="20"/>
                <w:color w:val="auto"/>
              </w:rPr>
            </w:pPr>
            <w:r>
              <w:rPr>
                <w:rFonts w:ascii="Arial" w:cs="Arial" w:eastAsia="Arial" w:hAnsi="Arial"/>
                <w:sz w:val="17"/>
                <w:szCs w:val="17"/>
                <w:color w:val="auto"/>
              </w:rPr>
              <w:t>Opportunity</w:t>
            </w:r>
          </w:p>
        </w:tc>
        <w:tc>
          <w:tcPr>
            <w:tcW w:w="9020" w:type="dxa"/>
            <w:vAlign w:val="bottom"/>
            <w:gridSpan w:val="11"/>
          </w:tcPr>
          <w:p>
            <w:pPr>
              <w:ind w:left="420"/>
              <w:spacing w:after="0"/>
              <w:rPr>
                <w:sz w:val="20"/>
                <w:szCs w:val="20"/>
                <w:color w:val="auto"/>
              </w:rPr>
            </w:pPr>
            <w:r>
              <w:rPr>
                <w:rFonts w:ascii="Arial" w:cs="Arial" w:eastAsia="Arial" w:hAnsi="Arial"/>
                <w:sz w:val="17"/>
                <w:szCs w:val="17"/>
                <w:color w:val="auto"/>
              </w:rPr>
              <w:t>the performance cycle. Target award levels for the Named Executive Officers as of January 1, 2011 were:</w:t>
            </w:r>
          </w:p>
        </w:tc>
      </w:tr>
      <w:tr>
        <w:trPr>
          <w:trHeight w:val="341"/>
        </w:trPr>
        <w:tc>
          <w:tcPr>
            <w:tcW w:w="1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Ms. Rosenfeld</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Mr. Brearton</w:t>
            </w:r>
          </w:p>
        </w:tc>
        <w:tc>
          <w:tcPr>
            <w:tcW w:w="120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Mr. McLevish</w:t>
            </w:r>
          </w:p>
        </w:tc>
        <w:tc>
          <w:tcPr>
            <w:tcW w:w="68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Mr. Khosla</w:t>
            </w:r>
          </w:p>
        </w:tc>
        <w:tc>
          <w:tcPr>
            <w:tcW w:w="70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Mr. Vernon</w:t>
            </w:r>
          </w:p>
        </w:tc>
        <w:tc>
          <w:tcPr>
            <w:tcW w:w="680" w:type="dxa"/>
            <w:vAlign w:val="bottom"/>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Ms. West</w:t>
            </w:r>
          </w:p>
        </w:tc>
        <w:tc>
          <w:tcPr>
            <w:tcW w:w="560" w:type="dxa"/>
            <w:vAlign w:val="bottom"/>
          </w:tcPr>
          <w:p>
            <w:pPr>
              <w:spacing w:after="0"/>
              <w:rPr>
                <w:sz w:val="24"/>
                <w:szCs w:val="24"/>
                <w:color w:val="auto"/>
              </w:rPr>
            </w:pPr>
          </w:p>
        </w:tc>
      </w:tr>
      <w:tr>
        <w:trPr>
          <w:trHeight w:val="189"/>
        </w:trPr>
        <w:tc>
          <w:tcPr>
            <w:tcW w:w="2180" w:type="dxa"/>
            <w:vAlign w:val="bottom"/>
            <w:gridSpan w:val="3"/>
          </w:tcPr>
          <w:p>
            <w:pPr>
              <w:jc w:val="right"/>
              <w:ind w:right="236"/>
              <w:spacing w:after="0" w:line="189" w:lineRule="exact"/>
              <w:rPr>
                <w:sz w:val="20"/>
                <w:szCs w:val="20"/>
                <w:color w:val="auto"/>
              </w:rPr>
            </w:pPr>
            <w:r>
              <w:rPr>
                <w:rFonts w:ascii="Arial" w:cs="Arial" w:eastAsia="Arial" w:hAnsi="Arial"/>
                <w:sz w:val="17"/>
                <w:szCs w:val="17"/>
                <w:color w:val="auto"/>
              </w:rPr>
              <w:t>325%</w:t>
            </w:r>
          </w:p>
        </w:tc>
        <w:tc>
          <w:tcPr>
            <w:tcW w:w="220" w:type="dxa"/>
            <w:vAlign w:val="bottom"/>
          </w:tcPr>
          <w:p>
            <w:pPr>
              <w:spacing w:after="0"/>
              <w:rPr>
                <w:sz w:val="16"/>
                <w:szCs w:val="16"/>
                <w:color w:val="auto"/>
              </w:rPr>
            </w:pPr>
          </w:p>
        </w:tc>
        <w:tc>
          <w:tcPr>
            <w:tcW w:w="2500" w:type="dxa"/>
            <w:vAlign w:val="bottom"/>
            <w:gridSpan w:val="2"/>
          </w:tcPr>
          <w:p>
            <w:pPr>
              <w:jc w:val="right"/>
              <w:ind w:right="256"/>
              <w:spacing w:after="0" w:line="189" w:lineRule="exact"/>
              <w:rPr>
                <w:sz w:val="20"/>
                <w:szCs w:val="20"/>
                <w:color w:val="auto"/>
              </w:rPr>
            </w:pPr>
            <w:r>
              <w:rPr>
                <w:rFonts w:ascii="Arial" w:cs="Arial" w:eastAsia="Arial" w:hAnsi="Arial"/>
                <w:sz w:val="17"/>
                <w:szCs w:val="17"/>
                <w:color w:val="auto"/>
              </w:rPr>
              <w:t>85%</w:t>
            </w:r>
          </w:p>
        </w:tc>
        <w:tc>
          <w:tcPr>
            <w:tcW w:w="2000" w:type="dxa"/>
            <w:vAlign w:val="bottom"/>
            <w:gridSpan w:val="2"/>
          </w:tcPr>
          <w:p>
            <w:pPr>
              <w:jc w:val="right"/>
              <w:ind w:right="136"/>
              <w:spacing w:after="0" w:line="189" w:lineRule="exact"/>
              <w:rPr>
                <w:sz w:val="20"/>
                <w:szCs w:val="20"/>
                <w:color w:val="auto"/>
              </w:rPr>
            </w:pPr>
            <w:r>
              <w:rPr>
                <w:rFonts w:ascii="Arial" w:cs="Arial" w:eastAsia="Arial" w:hAnsi="Arial"/>
                <w:sz w:val="17"/>
                <w:szCs w:val="17"/>
                <w:color w:val="auto"/>
              </w:rPr>
              <w:t>170%</w:t>
            </w:r>
          </w:p>
        </w:tc>
        <w:tc>
          <w:tcPr>
            <w:tcW w:w="680" w:type="dxa"/>
            <w:vAlign w:val="bottom"/>
          </w:tcPr>
          <w:p>
            <w:pPr>
              <w:spacing w:after="0"/>
              <w:rPr>
                <w:sz w:val="16"/>
                <w:szCs w:val="16"/>
                <w:color w:val="auto"/>
              </w:rPr>
            </w:pPr>
          </w:p>
        </w:tc>
        <w:tc>
          <w:tcPr>
            <w:tcW w:w="660" w:type="dxa"/>
            <w:vAlign w:val="bottom"/>
          </w:tcPr>
          <w:p>
            <w:pPr>
              <w:jc w:val="right"/>
              <w:ind w:right="46"/>
              <w:spacing w:after="0" w:line="189" w:lineRule="exact"/>
              <w:rPr>
                <w:sz w:val="20"/>
                <w:szCs w:val="20"/>
                <w:color w:val="auto"/>
              </w:rPr>
            </w:pPr>
            <w:r>
              <w:rPr>
                <w:rFonts w:ascii="Arial" w:cs="Arial" w:eastAsia="Arial" w:hAnsi="Arial"/>
                <w:sz w:val="17"/>
                <w:szCs w:val="17"/>
                <w:color w:val="auto"/>
              </w:rPr>
              <w:t>130%</w:t>
            </w:r>
          </w:p>
        </w:tc>
        <w:tc>
          <w:tcPr>
            <w:tcW w:w="700" w:type="dxa"/>
            <w:vAlign w:val="bottom"/>
          </w:tcPr>
          <w:p>
            <w:pPr>
              <w:spacing w:after="0"/>
              <w:rPr>
                <w:sz w:val="16"/>
                <w:szCs w:val="16"/>
                <w:color w:val="auto"/>
              </w:rPr>
            </w:pPr>
          </w:p>
        </w:tc>
        <w:tc>
          <w:tcPr>
            <w:tcW w:w="660" w:type="dxa"/>
            <w:vAlign w:val="bottom"/>
          </w:tcPr>
          <w:p>
            <w:pPr>
              <w:jc w:val="right"/>
              <w:ind w:right="46"/>
              <w:spacing w:after="0" w:line="189" w:lineRule="exact"/>
              <w:rPr>
                <w:sz w:val="20"/>
                <w:szCs w:val="20"/>
                <w:color w:val="auto"/>
              </w:rPr>
            </w:pPr>
            <w:r>
              <w:rPr>
                <w:rFonts w:ascii="Arial" w:cs="Arial" w:eastAsia="Arial" w:hAnsi="Arial"/>
                <w:sz w:val="17"/>
                <w:szCs w:val="17"/>
                <w:color w:val="auto"/>
              </w:rPr>
              <w:t>170%</w:t>
            </w:r>
          </w:p>
        </w:tc>
        <w:tc>
          <w:tcPr>
            <w:tcW w:w="680" w:type="dxa"/>
            <w:vAlign w:val="bottom"/>
          </w:tcPr>
          <w:p>
            <w:pPr>
              <w:spacing w:after="0"/>
              <w:rPr>
                <w:sz w:val="16"/>
                <w:szCs w:val="16"/>
                <w:color w:val="auto"/>
              </w:rPr>
            </w:pPr>
          </w:p>
        </w:tc>
        <w:tc>
          <w:tcPr>
            <w:tcW w:w="580" w:type="dxa"/>
            <w:vAlign w:val="bottom"/>
          </w:tcPr>
          <w:p>
            <w:pPr>
              <w:jc w:val="right"/>
              <w:ind w:right="6"/>
              <w:spacing w:after="0" w:line="189" w:lineRule="exact"/>
              <w:rPr>
                <w:sz w:val="20"/>
                <w:szCs w:val="20"/>
                <w:color w:val="auto"/>
              </w:rPr>
            </w:pPr>
            <w:r>
              <w:rPr>
                <w:rFonts w:ascii="Arial" w:cs="Arial" w:eastAsia="Arial" w:hAnsi="Arial"/>
                <w:sz w:val="17"/>
                <w:szCs w:val="17"/>
                <w:color w:val="auto"/>
              </w:rPr>
              <w:t>130%</w:t>
            </w:r>
          </w:p>
        </w:tc>
        <w:tc>
          <w:tcPr>
            <w:tcW w:w="560" w:type="dxa"/>
            <w:vAlign w:val="bottom"/>
          </w:tcPr>
          <w:p>
            <w:pPr>
              <w:spacing w:after="0"/>
              <w:rPr>
                <w:sz w:val="16"/>
                <w:szCs w:val="16"/>
                <w:color w:val="auto"/>
              </w:rPr>
            </w:pPr>
          </w:p>
        </w:tc>
      </w:tr>
    </w:tbl>
    <w:p>
      <w:pPr>
        <w:spacing w:after="0" w:line="200" w:lineRule="exact"/>
        <w:rPr>
          <w:sz w:val="20"/>
          <w:szCs w:val="20"/>
          <w:color w:val="auto"/>
        </w:rPr>
      </w:pPr>
    </w:p>
    <w:p>
      <w:pPr>
        <w:spacing w:after="0" w:line="329" w:lineRule="exact"/>
        <w:rPr>
          <w:sz w:val="20"/>
          <w:szCs w:val="20"/>
          <w:color w:val="auto"/>
        </w:rPr>
      </w:pPr>
    </w:p>
    <w:p>
      <w:pPr>
        <w:ind w:left="2640" w:hanging="243"/>
        <w:spacing w:after="0"/>
        <w:tabs>
          <w:tab w:leader="none" w:pos="26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Target amounts are converted to a target number of shares at the beginning of the cycle.</w:t>
      </w:r>
    </w:p>
    <w:p>
      <w:pPr>
        <w:spacing w:after="0" w:line="149" w:lineRule="exact"/>
        <w:rPr>
          <w:rFonts w:ascii="Arial" w:cs="Arial" w:eastAsia="Arial" w:hAnsi="Arial"/>
          <w:sz w:val="17"/>
          <w:szCs w:val="17"/>
          <w:color w:val="auto"/>
        </w:rPr>
      </w:pPr>
    </w:p>
    <w:p>
      <w:pPr>
        <w:ind w:left="2700" w:right="240" w:hanging="303"/>
        <w:spacing w:after="0" w:line="241" w:lineRule="auto"/>
        <w:tabs>
          <w:tab w:leader="none" w:pos="2673" w:val="left"/>
        </w:tabs>
        <w:numPr>
          <w:ilvl w:val="0"/>
          <w:numId w:val="59"/>
        </w:numPr>
        <w:rPr>
          <w:rFonts w:ascii="Arial" w:cs="Arial" w:eastAsia="Arial" w:hAnsi="Arial"/>
          <w:sz w:val="17"/>
          <w:szCs w:val="17"/>
          <w:color w:val="auto"/>
        </w:rPr>
      </w:pPr>
      <w:r>
        <w:rPr>
          <w:rFonts w:ascii="Arial" w:cs="Arial" w:eastAsia="Arial" w:hAnsi="Arial"/>
          <w:sz w:val="17"/>
          <w:szCs w:val="17"/>
          <w:color w:val="auto"/>
        </w:rPr>
        <w:t>Actual shares earned can range from 0% to 200% of target shares at the end of the performance cycle based on the business performance rating.</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240" w:type="dxa"/>
            <w:vAlign w:val="bottom"/>
            <w:shd w:val="clear" w:color="auto" w:fill="D8D8D8"/>
          </w:tcPr>
          <w:p>
            <w:pPr>
              <w:spacing w:after="0"/>
              <w:rPr>
                <w:sz w:val="20"/>
                <w:szCs w:val="20"/>
                <w:color w:val="auto"/>
              </w:rPr>
            </w:pPr>
            <w:r>
              <w:rPr>
                <w:rFonts w:ascii="Arial" w:cs="Arial" w:eastAsia="Arial" w:hAnsi="Arial"/>
                <w:sz w:val="17"/>
                <w:szCs w:val="17"/>
                <w:color w:val="auto"/>
              </w:rPr>
              <w:t>Business Performance</w:t>
            </w:r>
          </w:p>
        </w:tc>
        <w:tc>
          <w:tcPr>
            <w:tcW w:w="260" w:type="dxa"/>
            <w:vAlign w:val="bottom"/>
            <w:gridSpan w:val="2"/>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5060" w:type="dxa"/>
            <w:vAlign w:val="bottom"/>
            <w:gridSpan w:val="2"/>
            <w:shd w:val="clear" w:color="auto" w:fill="D8D8D8"/>
          </w:tcPr>
          <w:p>
            <w:pPr>
              <w:ind w:left="80"/>
              <w:spacing w:after="0"/>
              <w:rPr>
                <w:sz w:val="20"/>
                <w:szCs w:val="20"/>
                <w:color w:val="auto"/>
              </w:rPr>
            </w:pPr>
            <w:r>
              <w:rPr>
                <w:rFonts w:ascii="Arial" w:cs="Arial" w:eastAsia="Arial" w:hAnsi="Arial"/>
                <w:sz w:val="17"/>
                <w:szCs w:val="17"/>
                <w:color w:val="auto"/>
              </w:rPr>
              <w:t>Rating can range from 0% to 200%.</w:t>
            </w:r>
          </w:p>
        </w:tc>
        <w:tc>
          <w:tcPr>
            <w:tcW w:w="2280" w:type="dxa"/>
            <w:vAlign w:val="bottom"/>
            <w:shd w:val="clear" w:color="auto" w:fill="D8D8D8"/>
          </w:tcPr>
          <w:p>
            <w:pPr>
              <w:spacing w:after="0"/>
              <w:rPr>
                <w:sz w:val="16"/>
                <w:szCs w:val="16"/>
                <w:color w:val="auto"/>
              </w:rPr>
            </w:pPr>
          </w:p>
        </w:tc>
        <w:tc>
          <w:tcPr>
            <w:tcW w:w="1580" w:type="dxa"/>
            <w:vAlign w:val="bottom"/>
            <w:shd w:val="clear" w:color="auto" w:fill="D8D8D8"/>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8D8D8"/>
          </w:tcPr>
          <w:p>
            <w:pPr>
              <w:spacing w:after="0"/>
              <w:rPr>
                <w:sz w:val="20"/>
                <w:szCs w:val="20"/>
                <w:color w:val="auto"/>
              </w:rPr>
            </w:pPr>
            <w:r>
              <w:rPr>
                <w:rFonts w:ascii="Arial" w:cs="Arial" w:eastAsia="Arial" w:hAnsi="Arial"/>
                <w:sz w:val="17"/>
                <w:szCs w:val="17"/>
                <w:color w:val="auto"/>
              </w:rPr>
              <w:t>Rating</w:t>
            </w:r>
          </w:p>
        </w:tc>
        <w:tc>
          <w:tcPr>
            <w:tcW w:w="260" w:type="dxa"/>
            <w:vAlign w:val="bottom"/>
            <w:gridSpan w:val="2"/>
            <w:vMerge w:val="restart"/>
            <w:shd w:val="clear" w:color="auto" w:fill="D8D8D8"/>
          </w:tcPr>
          <w:p>
            <w:pPr>
              <w:ind w:left="100"/>
              <w:spacing w:after="0"/>
              <w:rPr>
                <w:sz w:val="20"/>
                <w:szCs w:val="20"/>
                <w:color w:val="auto"/>
              </w:rPr>
            </w:pPr>
            <w:r>
              <w:rPr>
                <w:rFonts w:ascii="Arial" w:cs="Arial" w:eastAsia="Arial" w:hAnsi="Arial"/>
                <w:sz w:val="17"/>
                <w:szCs w:val="17"/>
                <w:color w:val="auto"/>
              </w:rPr>
              <w:t>•</w:t>
            </w:r>
          </w:p>
        </w:tc>
        <w:tc>
          <w:tcPr>
            <w:tcW w:w="5060" w:type="dxa"/>
            <w:vAlign w:val="bottom"/>
            <w:gridSpan w:val="2"/>
            <w:vMerge w:val="restart"/>
            <w:shd w:val="clear" w:color="auto" w:fill="D8D8D8"/>
          </w:tcPr>
          <w:p>
            <w:pPr>
              <w:ind w:left="80"/>
              <w:spacing w:after="0"/>
              <w:rPr>
                <w:sz w:val="20"/>
                <w:szCs w:val="20"/>
                <w:color w:val="auto"/>
              </w:rPr>
            </w:pPr>
            <w:r>
              <w:rPr>
                <w:rFonts w:ascii="Arial" w:cs="Arial" w:eastAsia="Arial" w:hAnsi="Arial"/>
                <w:sz w:val="17"/>
                <w:szCs w:val="17"/>
                <w:color w:val="auto"/>
              </w:rPr>
              <w:t>Performance metrics are:</w:t>
            </w:r>
          </w:p>
        </w:tc>
        <w:tc>
          <w:tcPr>
            <w:tcW w:w="2280" w:type="dxa"/>
            <w:vAlign w:val="bottom"/>
            <w:shd w:val="clear" w:color="auto" w:fill="D8D8D8"/>
          </w:tcPr>
          <w:p>
            <w:pPr>
              <w:spacing w:after="0"/>
              <w:rPr>
                <w:sz w:val="17"/>
                <w:szCs w:val="17"/>
                <w:color w:val="auto"/>
              </w:rPr>
            </w:pPr>
          </w:p>
        </w:tc>
        <w:tc>
          <w:tcPr>
            <w:tcW w:w="1580" w:type="dxa"/>
            <w:vAlign w:val="bottom"/>
            <w:shd w:val="clear" w:color="auto" w:fill="D8D8D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240" w:type="dxa"/>
            <w:vAlign w:val="bottom"/>
            <w:shd w:val="clear" w:color="auto" w:fill="D8D8D8"/>
          </w:tcPr>
          <w:p>
            <w:pPr>
              <w:spacing w:after="0"/>
              <w:rPr>
                <w:sz w:val="13"/>
                <w:szCs w:val="13"/>
                <w:color w:val="auto"/>
              </w:rPr>
            </w:pPr>
          </w:p>
        </w:tc>
        <w:tc>
          <w:tcPr>
            <w:tcW w:w="260" w:type="dxa"/>
            <w:vAlign w:val="bottom"/>
            <w:gridSpan w:val="2"/>
            <w:vMerge w:val="continue"/>
            <w:shd w:val="clear" w:color="auto" w:fill="D8D8D8"/>
          </w:tcPr>
          <w:p>
            <w:pPr>
              <w:spacing w:after="0"/>
              <w:rPr>
                <w:sz w:val="13"/>
                <w:szCs w:val="13"/>
                <w:color w:val="auto"/>
              </w:rPr>
            </w:pPr>
          </w:p>
        </w:tc>
        <w:tc>
          <w:tcPr>
            <w:tcW w:w="5060" w:type="dxa"/>
            <w:vAlign w:val="bottom"/>
            <w:gridSpan w:val="2"/>
            <w:vMerge w:val="continue"/>
            <w:shd w:val="clear" w:color="auto" w:fill="D8D8D8"/>
          </w:tcPr>
          <w:p>
            <w:pPr>
              <w:spacing w:after="0"/>
              <w:rPr>
                <w:sz w:val="13"/>
                <w:szCs w:val="13"/>
                <w:color w:val="auto"/>
              </w:rPr>
            </w:pPr>
          </w:p>
        </w:tc>
        <w:tc>
          <w:tcPr>
            <w:tcW w:w="2280" w:type="dxa"/>
            <w:vAlign w:val="bottom"/>
            <w:shd w:val="clear" w:color="auto" w:fill="D8D8D8"/>
          </w:tcPr>
          <w:p>
            <w:pPr>
              <w:spacing w:after="0"/>
              <w:rPr>
                <w:sz w:val="13"/>
                <w:szCs w:val="13"/>
                <w:color w:val="auto"/>
              </w:rPr>
            </w:pPr>
          </w:p>
        </w:tc>
        <w:tc>
          <w:tcPr>
            <w:tcW w:w="1580" w:type="dxa"/>
            <w:vAlign w:val="bottom"/>
            <w:shd w:val="clear" w:color="auto" w:fill="D8D8D8"/>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3"/>
        </w:trPr>
        <w:tc>
          <w:tcPr>
            <w:tcW w:w="2240" w:type="dxa"/>
            <w:vAlign w:val="bottom"/>
            <w:tcBorders>
              <w:bottom w:val="single" w:sz="8" w:color="D8D8D8"/>
            </w:tcBorders>
            <w:shd w:val="clear" w:color="auto" w:fill="D8D8D8"/>
          </w:tcPr>
          <w:p>
            <w:pPr>
              <w:spacing w:after="0"/>
              <w:rPr>
                <w:sz w:val="24"/>
                <w:szCs w:val="24"/>
                <w:color w:val="auto"/>
              </w:rPr>
            </w:pPr>
          </w:p>
        </w:tc>
        <w:tc>
          <w:tcPr>
            <w:tcW w:w="100" w:type="dxa"/>
            <w:vAlign w:val="bottom"/>
            <w:tcBorders>
              <w:bottom w:val="single" w:sz="8" w:color="D8D8D8"/>
            </w:tcBorders>
            <w:shd w:val="clear" w:color="auto" w:fill="D8D8D8"/>
          </w:tcPr>
          <w:p>
            <w:pPr>
              <w:spacing w:after="0"/>
              <w:rPr>
                <w:sz w:val="24"/>
                <w:szCs w:val="24"/>
                <w:color w:val="auto"/>
              </w:rPr>
            </w:pPr>
          </w:p>
        </w:tc>
        <w:tc>
          <w:tcPr>
            <w:tcW w:w="660" w:type="dxa"/>
            <w:vAlign w:val="bottom"/>
            <w:tcBorders>
              <w:bottom w:val="single" w:sz="8" w:color="auto"/>
            </w:tcBorders>
            <w:gridSpan w:val="2"/>
            <w:shd w:val="clear" w:color="auto" w:fill="D8D8D8"/>
          </w:tcPr>
          <w:p>
            <w:pPr>
              <w:spacing w:after="0"/>
              <w:rPr>
                <w:sz w:val="20"/>
                <w:szCs w:val="20"/>
                <w:color w:val="auto"/>
              </w:rPr>
            </w:pPr>
            <w:r>
              <w:rPr>
                <w:rFonts w:ascii="Arial" w:cs="Arial" w:eastAsia="Arial" w:hAnsi="Arial"/>
                <w:sz w:val="13"/>
                <w:szCs w:val="13"/>
                <w:b w:val="1"/>
                <w:bCs w:val="1"/>
                <w:color w:val="auto"/>
              </w:rPr>
              <w:t>Measure</w:t>
            </w:r>
          </w:p>
        </w:tc>
        <w:tc>
          <w:tcPr>
            <w:tcW w:w="4560" w:type="dxa"/>
            <w:vAlign w:val="bottom"/>
            <w:tcBorders>
              <w:bottom w:val="single" w:sz="8" w:color="D8D8D8"/>
            </w:tcBorders>
            <w:shd w:val="clear" w:color="auto" w:fill="D8D8D8"/>
          </w:tcPr>
          <w:p>
            <w:pPr>
              <w:spacing w:after="0"/>
              <w:rPr>
                <w:sz w:val="24"/>
                <w:szCs w:val="24"/>
                <w:color w:val="auto"/>
              </w:rPr>
            </w:pPr>
          </w:p>
        </w:tc>
        <w:tc>
          <w:tcPr>
            <w:tcW w:w="3860" w:type="dxa"/>
            <w:vAlign w:val="bottom"/>
            <w:tcBorders>
              <w:bottom w:val="single" w:sz="8" w:color="D8D8D8"/>
            </w:tcBorders>
            <w:gridSpan w:val="2"/>
            <w:shd w:val="clear" w:color="auto" w:fill="D8D8D8"/>
          </w:tcPr>
          <w:p>
            <w:pPr>
              <w:jc w:val="center"/>
              <w:ind w:right="1580"/>
              <w:spacing w:after="0"/>
              <w:rPr>
                <w:sz w:val="20"/>
                <w:szCs w:val="20"/>
                <w:color w:val="auto"/>
              </w:rPr>
            </w:pPr>
            <w:r>
              <w:rPr>
                <w:rFonts w:ascii="Arial" w:cs="Arial" w:eastAsia="Arial" w:hAnsi="Arial"/>
                <w:sz w:val="13"/>
                <w:szCs w:val="13"/>
                <w:b w:val="1"/>
                <w:bCs w:val="1"/>
                <w:color w:val="auto"/>
                <w:w w:val="95"/>
              </w:rPr>
              <w:t>Weighting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240" w:type="dxa"/>
            <w:vAlign w:val="bottom"/>
            <w:tcBorders>
              <w:top w:val="single" w:sz="8" w:color="D8D8D8"/>
            </w:tcBorders>
            <w:shd w:val="clear" w:color="auto" w:fill="D8D8D8"/>
          </w:tcPr>
          <w:p>
            <w:pPr>
              <w:spacing w:after="0"/>
              <w:rPr>
                <w:sz w:val="15"/>
                <w:szCs w:val="15"/>
                <w:color w:val="auto"/>
              </w:rPr>
            </w:pPr>
          </w:p>
        </w:tc>
        <w:tc>
          <w:tcPr>
            <w:tcW w:w="5320" w:type="dxa"/>
            <w:vAlign w:val="bottom"/>
            <w:tcBorders>
              <w:top w:val="single" w:sz="8" w:color="D8D8D8"/>
            </w:tcBorders>
            <w:gridSpan w:val="4"/>
            <w:shd w:val="clear" w:color="auto" w:fill="D8D8D8"/>
          </w:tcPr>
          <w:p>
            <w:pPr>
              <w:ind w:left="100"/>
              <w:spacing w:after="0" w:line="177" w:lineRule="exact"/>
              <w:rPr>
                <w:sz w:val="20"/>
                <w:szCs w:val="20"/>
                <w:color w:val="auto"/>
              </w:rPr>
            </w:pPr>
            <w:r>
              <w:rPr>
                <w:rFonts w:ascii="Arial" w:cs="Arial" w:eastAsia="Arial" w:hAnsi="Arial"/>
                <w:sz w:val="17"/>
                <w:szCs w:val="17"/>
                <w:color w:val="auto"/>
              </w:rPr>
              <w:t>Organic Net Revenue Growth</w:t>
            </w:r>
            <w:r>
              <w:rPr>
                <w:rFonts w:ascii="Arial" w:cs="Arial" w:eastAsia="Arial" w:hAnsi="Arial"/>
                <w:sz w:val="10"/>
                <w:szCs w:val="10"/>
                <w:color w:val="auto"/>
              </w:rPr>
              <w:t>(1)</w:t>
            </w:r>
          </w:p>
        </w:tc>
        <w:tc>
          <w:tcPr>
            <w:tcW w:w="2280" w:type="dxa"/>
            <w:vAlign w:val="bottom"/>
            <w:tcBorders>
              <w:top w:val="single" w:sz="8" w:color="auto"/>
            </w:tcBorders>
            <w:shd w:val="clear" w:color="auto" w:fill="D8D8D8"/>
          </w:tcPr>
          <w:p>
            <w:pPr>
              <w:jc w:val="center"/>
              <w:spacing w:after="0" w:line="177" w:lineRule="exact"/>
              <w:rPr>
                <w:sz w:val="20"/>
                <w:szCs w:val="20"/>
                <w:color w:val="auto"/>
              </w:rPr>
            </w:pPr>
            <w:r>
              <w:rPr>
                <w:rFonts w:ascii="Arial" w:cs="Arial" w:eastAsia="Arial" w:hAnsi="Arial"/>
                <w:sz w:val="17"/>
                <w:szCs w:val="17"/>
                <w:color w:val="auto"/>
                <w:w w:val="93"/>
              </w:rPr>
              <w:t>25%</w:t>
            </w:r>
          </w:p>
        </w:tc>
        <w:tc>
          <w:tcPr>
            <w:tcW w:w="1580" w:type="dxa"/>
            <w:vAlign w:val="bottom"/>
            <w:tcBorders>
              <w:top w:val="single" w:sz="8" w:color="D8D8D8"/>
            </w:tcBorders>
            <w:shd w:val="clear" w:color="auto" w:fill="D8D8D8"/>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D8D8D8"/>
          </w:tcPr>
          <w:p>
            <w:pPr>
              <w:spacing w:after="0"/>
              <w:rPr>
                <w:sz w:val="16"/>
                <w:szCs w:val="16"/>
                <w:color w:val="auto"/>
              </w:rPr>
            </w:pPr>
          </w:p>
        </w:tc>
        <w:tc>
          <w:tcPr>
            <w:tcW w:w="100" w:type="dxa"/>
            <w:vAlign w:val="bottom"/>
            <w:shd w:val="clear" w:color="auto" w:fill="D8D8D8"/>
          </w:tcPr>
          <w:p>
            <w:pPr>
              <w:spacing w:after="0"/>
              <w:rPr>
                <w:sz w:val="16"/>
                <w:szCs w:val="16"/>
                <w:color w:val="auto"/>
              </w:rPr>
            </w:pPr>
          </w:p>
        </w:tc>
        <w:tc>
          <w:tcPr>
            <w:tcW w:w="5220" w:type="dxa"/>
            <w:vAlign w:val="bottom"/>
            <w:gridSpan w:val="3"/>
            <w:shd w:val="clear" w:color="auto" w:fill="D8D8D8"/>
          </w:tcPr>
          <w:p>
            <w:pPr>
              <w:spacing w:after="0" w:line="192" w:lineRule="exact"/>
              <w:rPr>
                <w:sz w:val="20"/>
                <w:szCs w:val="20"/>
                <w:color w:val="auto"/>
              </w:rPr>
            </w:pPr>
            <w:r>
              <w:rPr>
                <w:rFonts w:ascii="Arial" w:cs="Arial" w:eastAsia="Arial" w:hAnsi="Arial"/>
                <w:sz w:val="17"/>
                <w:szCs w:val="17"/>
                <w:color w:val="auto"/>
              </w:rPr>
              <w:t>Operating EPS Growth</w:t>
            </w:r>
            <w:r>
              <w:rPr>
                <w:rFonts w:ascii="Arial" w:cs="Arial" w:eastAsia="Arial" w:hAnsi="Arial"/>
                <w:sz w:val="10"/>
                <w:szCs w:val="10"/>
                <w:color w:val="auto"/>
              </w:rPr>
              <w:t>(2)</w:t>
            </w:r>
          </w:p>
        </w:tc>
        <w:tc>
          <w:tcPr>
            <w:tcW w:w="228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3"/>
              </w:rPr>
              <w:t>25%</w:t>
            </w:r>
          </w:p>
        </w:tc>
        <w:tc>
          <w:tcPr>
            <w:tcW w:w="1580" w:type="dxa"/>
            <w:vAlign w:val="bottom"/>
            <w:shd w:val="clear" w:color="auto" w:fill="D8D8D8"/>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40" w:type="dxa"/>
            <w:vAlign w:val="bottom"/>
            <w:tcBorders>
              <w:bottom w:val="single" w:sz="8" w:color="D8D8D8"/>
            </w:tcBorders>
            <w:shd w:val="clear" w:color="auto" w:fill="D8D8D8"/>
          </w:tcPr>
          <w:p>
            <w:pPr>
              <w:spacing w:after="0"/>
              <w:rPr>
                <w:sz w:val="16"/>
                <w:szCs w:val="16"/>
                <w:color w:val="auto"/>
              </w:rPr>
            </w:pPr>
          </w:p>
        </w:tc>
        <w:tc>
          <w:tcPr>
            <w:tcW w:w="100" w:type="dxa"/>
            <w:vAlign w:val="bottom"/>
            <w:tcBorders>
              <w:bottom w:val="single" w:sz="8" w:color="D8D8D8"/>
            </w:tcBorders>
            <w:shd w:val="clear" w:color="auto" w:fill="D8D8D8"/>
          </w:tcPr>
          <w:p>
            <w:pPr>
              <w:spacing w:after="0"/>
              <w:rPr>
                <w:sz w:val="16"/>
                <w:szCs w:val="16"/>
                <w:color w:val="auto"/>
              </w:rPr>
            </w:pPr>
          </w:p>
        </w:tc>
        <w:tc>
          <w:tcPr>
            <w:tcW w:w="5220" w:type="dxa"/>
            <w:vAlign w:val="bottom"/>
            <w:tcBorders>
              <w:bottom w:val="single" w:sz="8" w:color="D8D8D8"/>
            </w:tcBorders>
            <w:gridSpan w:val="3"/>
            <w:shd w:val="clear" w:color="auto" w:fill="D8D8D8"/>
          </w:tcPr>
          <w:p>
            <w:pPr>
              <w:spacing w:after="0" w:line="189" w:lineRule="exact"/>
              <w:rPr>
                <w:sz w:val="20"/>
                <w:szCs w:val="20"/>
                <w:color w:val="auto"/>
              </w:rPr>
            </w:pPr>
            <w:r>
              <w:rPr>
                <w:rFonts w:ascii="Arial" w:cs="Arial" w:eastAsia="Arial" w:hAnsi="Arial"/>
                <w:sz w:val="17"/>
                <w:szCs w:val="17"/>
                <w:color w:val="auto"/>
              </w:rPr>
              <w:t>Annualized Relative Total Shareholder Return</w:t>
            </w:r>
            <w:r>
              <w:rPr>
                <w:rFonts w:ascii="Arial" w:cs="Arial" w:eastAsia="Arial" w:hAnsi="Arial"/>
                <w:sz w:val="10"/>
                <w:szCs w:val="10"/>
                <w:color w:val="auto"/>
              </w:rPr>
              <w:t>(3)</w:t>
            </w:r>
          </w:p>
        </w:tc>
        <w:tc>
          <w:tcPr>
            <w:tcW w:w="2280" w:type="dxa"/>
            <w:vAlign w:val="bottom"/>
            <w:tcBorders>
              <w:bottom w:val="single" w:sz="8" w:color="D8D8D8"/>
            </w:tcBorders>
            <w:shd w:val="clear" w:color="auto" w:fill="D8D8D8"/>
          </w:tcPr>
          <w:p>
            <w:pPr>
              <w:jc w:val="center"/>
              <w:spacing w:after="0" w:line="189" w:lineRule="exact"/>
              <w:rPr>
                <w:sz w:val="20"/>
                <w:szCs w:val="20"/>
                <w:color w:val="auto"/>
              </w:rPr>
            </w:pPr>
            <w:r>
              <w:rPr>
                <w:rFonts w:ascii="Arial" w:cs="Arial" w:eastAsia="Arial" w:hAnsi="Arial"/>
                <w:sz w:val="17"/>
                <w:szCs w:val="17"/>
                <w:color w:val="auto"/>
                <w:w w:val="93"/>
              </w:rPr>
              <w:t>50%</w:t>
            </w:r>
          </w:p>
        </w:tc>
        <w:tc>
          <w:tcPr>
            <w:tcW w:w="1580" w:type="dxa"/>
            <w:vAlign w:val="bottom"/>
            <w:tcBorders>
              <w:bottom w:val="single" w:sz="8" w:color="D8D8D8"/>
            </w:tcBorders>
            <w:shd w:val="clear" w:color="auto" w:fill="D8D8D8"/>
          </w:tcPr>
          <w:p>
            <w:pPr>
              <w:spacing w:after="0"/>
              <w:rPr>
                <w:sz w:val="16"/>
                <w:szCs w:val="16"/>
                <w:color w:val="auto"/>
              </w:rPr>
            </w:pPr>
          </w:p>
        </w:tc>
        <w:tc>
          <w:tcPr>
            <w:tcW w:w="40" w:type="dxa"/>
            <w:vAlign w:val="bottom"/>
            <w:tcBorders>
              <w:bottom w:val="single" w:sz="8" w:color="D8D8D8"/>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82815" cy="33267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2815" cy="3326765"/>
                    </a:xfrm>
                    <a:prstGeom prst="rect">
                      <a:avLst/>
                    </a:prstGeom>
                    <a:noFill/>
                  </pic:spPr>
                </pic:pic>
              </a:graphicData>
            </a:graphic>
          </wp:anchor>
        </w:drawing>
      </w:r>
    </w:p>
    <w:p>
      <w:pPr>
        <w:spacing w:after="0" w:line="338" w:lineRule="exact"/>
        <w:rPr>
          <w:sz w:val="20"/>
          <w:szCs w:val="20"/>
          <w:color w:val="auto"/>
        </w:rPr>
      </w:pPr>
    </w:p>
    <w:p>
      <w:pPr>
        <w:ind w:left="3660" w:right="280" w:hanging="443"/>
        <w:spacing w:after="0" w:line="241" w:lineRule="auto"/>
        <w:tabs>
          <w:tab w:leader="none" w:pos="36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Organic Net Revenue Growth is a non-GAAP financial measure and is equal to net revenue, excluding the impact of currency, acquisitions and divestitures.</w:t>
      </w:r>
    </w:p>
    <w:p>
      <w:pPr>
        <w:spacing w:after="0" w:line="67" w:lineRule="exact"/>
        <w:rPr>
          <w:rFonts w:ascii="Arial" w:cs="Arial" w:eastAsia="Arial" w:hAnsi="Arial"/>
          <w:sz w:val="17"/>
          <w:szCs w:val="17"/>
          <w:color w:val="auto"/>
        </w:rPr>
      </w:pPr>
    </w:p>
    <w:p>
      <w:pPr>
        <w:ind w:left="3660" w:right="40" w:hanging="443"/>
        <w:spacing w:after="0" w:line="241" w:lineRule="auto"/>
        <w:tabs>
          <w:tab w:leader="none" w:pos="36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Operating EPS Growth is a non-GAAP financial measure and is equal to EPS from continuing operations, excluding certain impacts related to acquisitions and other one-time impacts.</w:t>
      </w:r>
    </w:p>
    <w:p>
      <w:pPr>
        <w:spacing w:after="0" w:line="67" w:lineRule="exact"/>
        <w:rPr>
          <w:rFonts w:ascii="Arial" w:cs="Arial" w:eastAsia="Arial" w:hAnsi="Arial"/>
          <w:sz w:val="17"/>
          <w:szCs w:val="17"/>
          <w:color w:val="auto"/>
        </w:rPr>
      </w:pPr>
    </w:p>
    <w:p>
      <w:pPr>
        <w:ind w:left="3660" w:right="280" w:hanging="443"/>
        <w:spacing w:after="0" w:line="271" w:lineRule="auto"/>
        <w:tabs>
          <w:tab w:leader="none" w:pos="36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Annualized Relative Total Shareholder Return is a comparison relative to the Performance Peer Group during the performance cycle. Information on the Performance Peer Group is discussed below.</w:t>
      </w:r>
    </w:p>
    <w:p>
      <w:pPr>
        <w:spacing w:after="0" w:line="160" w:lineRule="exact"/>
        <w:rPr>
          <w:rFonts w:ascii="Arial" w:cs="Arial" w:eastAsia="Arial" w:hAnsi="Arial"/>
          <w:sz w:val="16"/>
          <w:szCs w:val="16"/>
          <w:color w:val="auto"/>
        </w:rPr>
      </w:pPr>
    </w:p>
    <w:p>
      <w:pPr>
        <w:ind w:left="3200" w:hanging="328"/>
        <w:spacing w:after="0"/>
        <w:tabs>
          <w:tab w:leader="none" w:pos="32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Financial metrics apply only to Kraft Foods Inc. organizational levels. There is no individual assessment.</w:t>
      </w:r>
    </w:p>
    <w:p>
      <w:pPr>
        <w:spacing w:after="0" w:line="73" w:lineRule="exact"/>
        <w:rPr>
          <w:rFonts w:ascii="Arial" w:cs="Arial" w:eastAsia="Arial" w:hAnsi="Arial"/>
          <w:sz w:val="17"/>
          <w:szCs w:val="17"/>
          <w:color w:val="auto"/>
        </w:rPr>
      </w:pPr>
    </w:p>
    <w:p>
      <w:pPr>
        <w:ind w:left="3200" w:right="120" w:hanging="328"/>
        <w:spacing w:after="0" w:line="239" w:lineRule="auto"/>
        <w:tabs>
          <w:tab w:leader="none" w:pos="32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target objective set for Annualized Relative Total Shareholder Return is the median of the Performance Peer Group from 2011 to 2013. The Organic Net Revenue Growth and Operating EPS Growth targets were set relative to historical and projected future results of the Performance Peer Group.</w:t>
      </w:r>
    </w:p>
    <w:p>
      <w:pPr>
        <w:spacing w:after="0" w:line="68" w:lineRule="exact"/>
        <w:rPr>
          <w:rFonts w:ascii="Arial" w:cs="Arial" w:eastAsia="Arial" w:hAnsi="Arial"/>
          <w:sz w:val="17"/>
          <w:szCs w:val="17"/>
          <w:color w:val="auto"/>
        </w:rPr>
      </w:pPr>
    </w:p>
    <w:p>
      <w:pPr>
        <w:ind w:left="3200" w:right="320" w:hanging="328"/>
        <w:spacing w:after="0" w:line="237" w:lineRule="auto"/>
        <w:tabs>
          <w:tab w:leader="none" w:pos="32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To address unforeseen or unintended consequences, the Committee retains discretion to adjust the final business performance rating (up or down) by as much as 25 percentage points, allowing the Committee to factor in a subjective review of quality of financial results, portfolio management, innovation and talent development. We will disclose any discretion applied by the Committee at the conclusion of the performance cycle.</w:t>
      </w:r>
    </w:p>
    <w:p>
      <w:pPr>
        <w:spacing w:after="0" w:line="71" w:lineRule="exact"/>
        <w:rPr>
          <w:rFonts w:ascii="Arial" w:cs="Arial" w:eastAsia="Arial" w:hAnsi="Arial"/>
          <w:sz w:val="17"/>
          <w:szCs w:val="17"/>
          <w:color w:val="auto"/>
        </w:rPr>
      </w:pPr>
    </w:p>
    <w:p>
      <w:pPr>
        <w:ind w:left="3200" w:right="120" w:hanging="328"/>
        <w:spacing w:after="0" w:line="237" w:lineRule="auto"/>
        <w:tabs>
          <w:tab w:leader="none" w:pos="32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We do not publicly disclose specific long-term incentive plan targets on a prospective basis due to potential competitive harm. Revealing specific objectives prospectively would provide competitors and other third parties with insights into our confidential planning process and strategies, thereby causing competitive harm. The performance goals are designed to be challenging, and there is a risk that payments will not be made at all or will be made at less than 100% of the target amount. The performance goals for Organic Net Revenue Growth and Operating EPS Growth are in line with median historical results for our Performance Peer Group. The degree of difficulty in achieving the internal measures is challenging.</w:t>
      </w:r>
    </w:p>
    <w:p>
      <w:pPr>
        <w:spacing w:after="0" w:line="19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60"/>
          </w:cols>
          <w:pgMar w:left="240" w:top="444" w:right="199" w:bottom="1440" w:gutter="0" w:footer="0" w:header="0"/>
          <w:type w:val="continuous"/>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20"/>
          </w:cols>
          <w:pgMar w:left="240" w:top="443" w:right="239" w:bottom="1440" w:gutter="0" w:footer="0" w:header="0"/>
        </w:sectPr>
      </w:pPr>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Award Formula</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7391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Explanation of Key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-3808095</wp:posOffset>
            </wp:positionH>
            <wp:positionV relativeFrom="paragraph">
              <wp:posOffset>20320</wp:posOffset>
            </wp:positionV>
            <wp:extent cx="7253605" cy="7150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715010"/>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5280" w:space="720"/>
            <w:col w:w="5420"/>
          </w:cols>
          <w:pgMar w:left="240" w:top="443" w:right="239" w:bottom="1440" w:gutter="0" w:footer="0" w:header="0"/>
          <w:type w:val="continuous"/>
        </w:sectPr>
      </w:pPr>
    </w:p>
    <w:p>
      <w:pPr>
        <w:ind w:left="2820" w:right="20" w:hanging="310"/>
        <w:spacing w:after="0" w:line="237" w:lineRule="auto"/>
        <w:tabs>
          <w:tab w:leader="none" w:pos="2756" w:val="left"/>
        </w:tabs>
        <w:numPr>
          <w:ilvl w:val="0"/>
          <w:numId w:val="61"/>
        </w:numPr>
        <w:rPr>
          <w:rFonts w:ascii="Arial" w:cs="Arial" w:eastAsia="Arial" w:hAnsi="Arial"/>
          <w:sz w:val="17"/>
          <w:szCs w:val="17"/>
          <w:color w:val="auto"/>
        </w:rPr>
      </w:pPr>
      <w:r>
        <w:rPr>
          <w:rFonts w:ascii="Arial" w:cs="Arial" w:eastAsia="Arial" w:hAnsi="Arial"/>
          <w:sz w:val="17"/>
          <w:szCs w:val="17"/>
          <w:color w:val="auto"/>
        </w:rPr>
        <w:t>Both our annual and long-term incentive plans use Organic Net Revenue Growth, but the benchmarks used to set targets for these plans are different. We believe the use of these measures focuses our employees on critical internal drivers, both in the short- and long-term. We set the short-term targets against our annual operating plan, whereas we set the long-term targets against the performance benchmarks of our peers. These metrics, when used together, have a high correlation with shareholder value.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LTIP – Performance Shares (2009 – 2011 Performance Cycle)</w:t>
      </w:r>
    </w:p>
    <w:p>
      <w:pPr>
        <w:spacing w:after="0" w:line="168"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All of our Named Executive Officers participated in the 2009 – 2011 LTIP. The plan measured Kraft Foods’ performance over a three-year period (2009 – 2011), and the Committee awarded shares based on actual performance against goals set at the beginning of the cycle.</w:t>
      </w:r>
    </w:p>
    <w:p>
      <w:pPr>
        <w:spacing w:after="0" w:line="12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i w:val="1"/>
          <w:iCs w:val="1"/>
          <w:color w:val="auto"/>
        </w:rPr>
        <w:t>Business Performance Rating and Payments</w:t>
      </w:r>
      <w:r>
        <w:rPr>
          <w:rFonts w:ascii="Arial" w:cs="Arial" w:eastAsia="Arial" w:hAnsi="Arial"/>
          <w:sz w:val="17"/>
          <w:szCs w:val="17"/>
          <w:color w:val="auto"/>
        </w:rPr>
        <w:t>. The Committee established the following weightings and target goals for the 2009 – 2011 LTIP and 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the resulting performance rating for determining the ultimate payout: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Kraft Foods Inc.</w:t>
            </w:r>
          </w:p>
        </w:tc>
        <w:tc>
          <w:tcPr>
            <w:tcW w:w="1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20" w:type="dxa"/>
            <w:vAlign w:val="bottom"/>
            <w:vMerge w:val="restart"/>
          </w:tcPr>
          <w:p>
            <w:pPr>
              <w:spacing w:after="0"/>
              <w:rPr>
                <w:sz w:val="20"/>
                <w:szCs w:val="20"/>
                <w:color w:val="auto"/>
              </w:rPr>
            </w:pPr>
            <w:r>
              <w:rPr>
                <w:rFonts w:ascii="Arial" w:cs="Arial" w:eastAsia="Arial" w:hAnsi="Arial"/>
                <w:sz w:val="13"/>
                <w:szCs w:val="13"/>
                <w:b w:val="1"/>
                <w:bCs w:val="1"/>
                <w:color w:val="auto"/>
              </w:rPr>
              <w:t>Key Financial Metrics</w:t>
            </w:r>
          </w:p>
        </w:tc>
        <w:tc>
          <w:tcPr>
            <w:tcW w:w="2600" w:type="dxa"/>
            <w:vAlign w:val="bottom"/>
            <w:vMerge w:val="restart"/>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jc w:val="center"/>
              <w:ind w:right="240"/>
              <w:spacing w:after="0" w:line="117" w:lineRule="exact"/>
              <w:rPr>
                <w:sz w:val="20"/>
                <w:szCs w:val="20"/>
                <w:color w:val="auto"/>
              </w:rPr>
            </w:pPr>
            <w:r>
              <w:rPr>
                <w:rFonts w:ascii="Arial" w:cs="Arial" w:eastAsia="Arial" w:hAnsi="Arial"/>
                <w:sz w:val="13"/>
                <w:szCs w:val="13"/>
                <w:b w:val="1"/>
                <w:bCs w:val="1"/>
                <w:color w:val="auto"/>
                <w:w w:val="99"/>
              </w:rPr>
              <w:t>2009 – 2011</w:t>
            </w:r>
          </w:p>
        </w:tc>
        <w:tc>
          <w:tcPr>
            <w:tcW w:w="54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rPr>
              <w:t>Perf.</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vMerge w:val="continue"/>
          </w:tcPr>
          <w:p>
            <w:pPr>
              <w:spacing w:after="0"/>
              <w:rPr>
                <w:sz w:val="14"/>
                <w:szCs w:val="14"/>
                <w:color w:val="auto"/>
              </w:rPr>
            </w:pPr>
          </w:p>
        </w:tc>
        <w:tc>
          <w:tcPr>
            <w:tcW w:w="2600" w:type="dxa"/>
            <w:vAlign w:val="bottom"/>
            <w:vMerge w:val="continue"/>
          </w:tcPr>
          <w:p>
            <w:pPr>
              <w:spacing w:after="0"/>
              <w:rPr>
                <w:sz w:val="14"/>
                <w:szCs w:val="14"/>
                <w:color w:val="auto"/>
              </w:rPr>
            </w:pPr>
          </w:p>
        </w:tc>
        <w:tc>
          <w:tcPr>
            <w:tcW w:w="78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95"/>
              </w:rPr>
              <w:t>Weighting</w:t>
            </w:r>
          </w:p>
        </w:tc>
        <w:tc>
          <w:tcPr>
            <w:tcW w:w="200" w:type="dxa"/>
            <w:vAlign w:val="bottom"/>
          </w:tcPr>
          <w:p>
            <w:pPr>
              <w:spacing w:after="0"/>
              <w:rPr>
                <w:sz w:val="14"/>
                <w:szCs w:val="14"/>
                <w:color w:val="auto"/>
              </w:rPr>
            </w:pPr>
          </w:p>
        </w:tc>
        <w:tc>
          <w:tcPr>
            <w:tcW w:w="136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95"/>
              </w:rPr>
              <w:t>Threshold</w:t>
            </w: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95"/>
              </w:rPr>
              <w:t>Target</w:t>
            </w:r>
          </w:p>
        </w:tc>
        <w:tc>
          <w:tcPr>
            <w:tcW w:w="220" w:type="dxa"/>
            <w:vAlign w:val="bottom"/>
          </w:tcPr>
          <w:p>
            <w:pPr>
              <w:spacing w:after="0"/>
              <w:rPr>
                <w:sz w:val="14"/>
                <w:szCs w:val="14"/>
                <w:color w:val="auto"/>
              </w:rPr>
            </w:pPr>
          </w:p>
        </w:tc>
        <w:tc>
          <w:tcPr>
            <w:tcW w:w="122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96"/>
              </w:rPr>
              <w:t>Maximum</w:t>
            </w:r>
          </w:p>
        </w:tc>
        <w:tc>
          <w:tcPr>
            <w:tcW w:w="220" w:type="dxa"/>
            <w:vAlign w:val="bottom"/>
          </w:tcPr>
          <w:p>
            <w:pPr>
              <w:spacing w:after="0"/>
              <w:rPr>
                <w:sz w:val="14"/>
                <w:szCs w:val="14"/>
                <w:color w:val="auto"/>
              </w:rPr>
            </w:pPr>
          </w:p>
        </w:tc>
        <w:tc>
          <w:tcPr>
            <w:tcW w:w="122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rPr>
              <w:t>Actual</w:t>
            </w:r>
          </w:p>
        </w:tc>
        <w:tc>
          <w:tcPr>
            <w:tcW w:w="220" w:type="dxa"/>
            <w:vAlign w:val="bottom"/>
          </w:tcPr>
          <w:p>
            <w:pPr>
              <w:spacing w:after="0"/>
              <w:rPr>
                <w:sz w:val="14"/>
                <w:szCs w:val="14"/>
                <w:color w:val="auto"/>
              </w:rPr>
            </w:pPr>
          </w:p>
        </w:tc>
        <w:tc>
          <w:tcPr>
            <w:tcW w:w="54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93"/>
              </w:rPr>
              <w:t>Rating</w:t>
            </w:r>
          </w:p>
        </w:tc>
        <w:tc>
          <w:tcPr>
            <w:tcW w:w="0" w:type="dxa"/>
            <w:vAlign w:val="bottom"/>
          </w:tcPr>
          <w:p>
            <w:pPr>
              <w:spacing w:after="0"/>
              <w:rPr>
                <w:sz w:val="1"/>
                <w:szCs w:val="1"/>
                <w:color w:val="auto"/>
              </w:rPr>
            </w:pPr>
          </w:p>
        </w:tc>
      </w:tr>
      <w:tr>
        <w:trPr>
          <w:trHeight w:val="177"/>
        </w:trPr>
        <w:tc>
          <w:tcPr>
            <w:tcW w:w="4220" w:type="dxa"/>
            <w:vAlign w:val="bottom"/>
            <w:gridSpan w:val="2"/>
          </w:tcPr>
          <w:p>
            <w:pPr>
              <w:spacing w:after="0" w:line="177" w:lineRule="exact"/>
              <w:rPr>
                <w:sz w:val="20"/>
                <w:szCs w:val="20"/>
                <w:color w:val="auto"/>
              </w:rPr>
            </w:pPr>
            <w:r>
              <w:rPr>
                <w:rFonts w:ascii="Arial" w:cs="Arial" w:eastAsia="Arial" w:hAnsi="Arial"/>
                <w:sz w:val="17"/>
                <w:szCs w:val="17"/>
                <w:color w:val="auto"/>
              </w:rPr>
              <w:t>Organic Net Revenue Growth</w:t>
            </w:r>
            <w:r>
              <w:rPr>
                <w:rFonts w:ascii="Arial" w:cs="Arial" w:eastAsia="Arial" w:hAnsi="Arial"/>
                <w:sz w:val="10"/>
                <w:szCs w:val="10"/>
                <w:color w:val="auto"/>
              </w:rPr>
              <w:t>(1)</w:t>
            </w:r>
          </w:p>
        </w:tc>
        <w:tc>
          <w:tcPr>
            <w:tcW w:w="780" w:type="dxa"/>
            <w:vAlign w:val="bottom"/>
          </w:tcPr>
          <w:p>
            <w:pPr>
              <w:jc w:val="center"/>
              <w:spacing w:after="0" w:line="177" w:lineRule="exact"/>
              <w:rPr>
                <w:sz w:val="20"/>
                <w:szCs w:val="20"/>
                <w:color w:val="auto"/>
              </w:rPr>
            </w:pPr>
            <w:r>
              <w:rPr>
                <w:rFonts w:ascii="Arial" w:cs="Arial" w:eastAsia="Arial" w:hAnsi="Arial"/>
                <w:sz w:val="17"/>
                <w:szCs w:val="17"/>
                <w:color w:val="auto"/>
                <w:w w:val="93"/>
              </w:rPr>
              <w:t>30%</w:t>
            </w:r>
          </w:p>
        </w:tc>
        <w:tc>
          <w:tcPr>
            <w:tcW w:w="200" w:type="dxa"/>
            <w:vAlign w:val="bottom"/>
          </w:tcPr>
          <w:p>
            <w:pPr>
              <w:spacing w:after="0"/>
              <w:rPr>
                <w:sz w:val="15"/>
                <w:szCs w:val="15"/>
                <w:color w:val="auto"/>
              </w:rPr>
            </w:pPr>
          </w:p>
        </w:tc>
        <w:tc>
          <w:tcPr>
            <w:tcW w:w="1360" w:type="dxa"/>
            <w:vAlign w:val="bottom"/>
          </w:tcPr>
          <w:p>
            <w:pPr>
              <w:jc w:val="center"/>
              <w:spacing w:after="0" w:line="177" w:lineRule="exact"/>
              <w:rPr>
                <w:sz w:val="20"/>
                <w:szCs w:val="20"/>
                <w:color w:val="auto"/>
              </w:rPr>
            </w:pPr>
            <w:r>
              <w:rPr>
                <w:rFonts w:ascii="Arial" w:cs="Arial" w:eastAsia="Arial" w:hAnsi="Arial"/>
                <w:sz w:val="17"/>
                <w:szCs w:val="17"/>
                <w:color w:val="auto"/>
                <w:w w:val="92"/>
              </w:rPr>
              <w:t>3.0%</w:t>
            </w:r>
          </w:p>
        </w:tc>
        <w:tc>
          <w:tcPr>
            <w:tcW w:w="200" w:type="dxa"/>
            <w:vAlign w:val="bottom"/>
          </w:tcPr>
          <w:p>
            <w:pPr>
              <w:spacing w:after="0"/>
              <w:rPr>
                <w:sz w:val="15"/>
                <w:szCs w:val="15"/>
                <w:color w:val="auto"/>
              </w:rPr>
            </w:pPr>
          </w:p>
        </w:tc>
        <w:tc>
          <w:tcPr>
            <w:tcW w:w="1020" w:type="dxa"/>
            <w:vAlign w:val="bottom"/>
          </w:tcPr>
          <w:p>
            <w:pPr>
              <w:jc w:val="center"/>
              <w:spacing w:after="0" w:line="177" w:lineRule="exact"/>
              <w:rPr>
                <w:sz w:val="20"/>
                <w:szCs w:val="20"/>
                <w:color w:val="auto"/>
              </w:rPr>
            </w:pPr>
            <w:r>
              <w:rPr>
                <w:rFonts w:ascii="Arial" w:cs="Arial" w:eastAsia="Arial" w:hAnsi="Arial"/>
                <w:sz w:val="17"/>
                <w:szCs w:val="17"/>
                <w:color w:val="auto"/>
                <w:w w:val="97"/>
              </w:rPr>
              <w:t>4.0%</w:t>
            </w:r>
          </w:p>
        </w:tc>
        <w:tc>
          <w:tcPr>
            <w:tcW w:w="1440" w:type="dxa"/>
            <w:vAlign w:val="bottom"/>
            <w:gridSpan w:val="2"/>
          </w:tcPr>
          <w:p>
            <w:pPr>
              <w:jc w:val="right"/>
              <w:ind w:right="342"/>
              <w:spacing w:after="0" w:line="177" w:lineRule="exact"/>
              <w:rPr>
                <w:sz w:val="20"/>
                <w:szCs w:val="20"/>
                <w:color w:val="auto"/>
              </w:rPr>
            </w:pPr>
            <w:r>
              <w:rPr>
                <w:rFonts w:ascii="Arial" w:cs="Arial" w:eastAsia="Arial" w:hAnsi="Arial"/>
                <w:sz w:val="17"/>
                <w:szCs w:val="17"/>
                <w:color w:val="auto"/>
              </w:rPr>
              <w:t>8.0%</w:t>
            </w:r>
          </w:p>
        </w:tc>
        <w:tc>
          <w:tcPr>
            <w:tcW w:w="220" w:type="dxa"/>
            <w:vAlign w:val="bottom"/>
          </w:tcPr>
          <w:p>
            <w:pPr>
              <w:spacing w:after="0"/>
              <w:rPr>
                <w:sz w:val="15"/>
                <w:szCs w:val="15"/>
                <w:color w:val="auto"/>
              </w:rPr>
            </w:pPr>
          </w:p>
        </w:tc>
        <w:tc>
          <w:tcPr>
            <w:tcW w:w="1220" w:type="dxa"/>
            <w:vAlign w:val="bottom"/>
          </w:tcPr>
          <w:p>
            <w:pPr>
              <w:jc w:val="center"/>
              <w:spacing w:after="0" w:line="177" w:lineRule="exact"/>
              <w:rPr>
                <w:sz w:val="20"/>
                <w:szCs w:val="20"/>
                <w:color w:val="auto"/>
              </w:rPr>
            </w:pPr>
            <w:r>
              <w:rPr>
                <w:rFonts w:ascii="Arial" w:cs="Arial" w:eastAsia="Arial" w:hAnsi="Arial"/>
                <w:sz w:val="17"/>
                <w:szCs w:val="17"/>
                <w:i w:val="1"/>
                <w:iCs w:val="1"/>
                <w:color w:val="auto"/>
                <w:w w:val="97"/>
              </w:rPr>
              <w:t>3.9%</w:t>
            </w:r>
          </w:p>
        </w:tc>
        <w:tc>
          <w:tcPr>
            <w:tcW w:w="220" w:type="dxa"/>
            <w:vAlign w:val="bottom"/>
          </w:tcPr>
          <w:p>
            <w:pPr>
              <w:spacing w:after="0"/>
              <w:rPr>
                <w:sz w:val="15"/>
                <w:szCs w:val="15"/>
                <w:color w:val="auto"/>
              </w:rPr>
            </w:pPr>
          </w:p>
        </w:tc>
        <w:tc>
          <w:tcPr>
            <w:tcW w:w="540" w:type="dxa"/>
            <w:vAlign w:val="bottom"/>
          </w:tcPr>
          <w:p>
            <w:pPr>
              <w:jc w:val="center"/>
              <w:spacing w:after="0" w:line="177" w:lineRule="exact"/>
              <w:rPr>
                <w:sz w:val="20"/>
                <w:szCs w:val="20"/>
                <w:color w:val="auto"/>
              </w:rPr>
            </w:pPr>
            <w:r>
              <w:rPr>
                <w:rFonts w:ascii="Arial" w:cs="Arial" w:eastAsia="Arial" w:hAnsi="Arial"/>
                <w:sz w:val="17"/>
                <w:szCs w:val="17"/>
                <w:b w:val="1"/>
                <w:bCs w:val="1"/>
                <w:i w:val="1"/>
                <w:iCs w:val="1"/>
                <w:color w:val="auto"/>
                <w:w w:val="99"/>
              </w:rPr>
              <w:t>93%</w:t>
            </w:r>
          </w:p>
        </w:tc>
        <w:tc>
          <w:tcPr>
            <w:tcW w:w="0" w:type="dxa"/>
            <w:vAlign w:val="bottom"/>
          </w:tcPr>
          <w:p>
            <w:pPr>
              <w:spacing w:after="0"/>
              <w:rPr>
                <w:sz w:val="1"/>
                <w:szCs w:val="1"/>
                <w:color w:val="auto"/>
              </w:rPr>
            </w:pPr>
          </w:p>
        </w:tc>
      </w:tr>
      <w:tr>
        <w:trPr>
          <w:trHeight w:val="192"/>
        </w:trPr>
        <w:tc>
          <w:tcPr>
            <w:tcW w:w="42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Operating EPS Growth</w:t>
            </w:r>
            <w:r>
              <w:rPr>
                <w:rFonts w:ascii="Arial" w:cs="Arial" w:eastAsia="Arial" w:hAnsi="Arial"/>
                <w:sz w:val="10"/>
                <w:szCs w:val="10"/>
                <w:color w:val="auto"/>
              </w:rPr>
              <w:t>(2)</w:t>
            </w:r>
          </w:p>
        </w:tc>
        <w:tc>
          <w:tcPr>
            <w:tcW w:w="78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3"/>
              </w:rPr>
              <w:t>20%</w:t>
            </w:r>
          </w:p>
        </w:tc>
        <w:tc>
          <w:tcPr>
            <w:tcW w:w="200" w:type="dxa"/>
            <w:vAlign w:val="bottom"/>
            <w:shd w:val="clear" w:color="auto" w:fill="D8D8D8"/>
          </w:tcPr>
          <w:p>
            <w:pPr>
              <w:spacing w:after="0"/>
              <w:rPr>
                <w:sz w:val="16"/>
                <w:szCs w:val="16"/>
                <w:color w:val="auto"/>
              </w:rPr>
            </w:pPr>
          </w:p>
        </w:tc>
        <w:tc>
          <w:tcPr>
            <w:tcW w:w="136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2"/>
              </w:rPr>
              <w:t>4.0%</w:t>
            </w:r>
          </w:p>
        </w:tc>
        <w:tc>
          <w:tcPr>
            <w:tcW w:w="200" w:type="dxa"/>
            <w:vAlign w:val="bottom"/>
            <w:shd w:val="clear" w:color="auto" w:fill="D8D8D8"/>
          </w:tcPr>
          <w:p>
            <w:pPr>
              <w:spacing w:after="0"/>
              <w:rPr>
                <w:sz w:val="16"/>
                <w:szCs w:val="16"/>
                <w:color w:val="auto"/>
              </w:rPr>
            </w:pPr>
          </w:p>
        </w:tc>
        <w:tc>
          <w:tcPr>
            <w:tcW w:w="10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7"/>
              </w:rPr>
              <w:t>7.5%</w:t>
            </w:r>
          </w:p>
        </w:tc>
        <w:tc>
          <w:tcPr>
            <w:tcW w:w="1440" w:type="dxa"/>
            <w:vAlign w:val="bottom"/>
            <w:gridSpan w:val="2"/>
            <w:shd w:val="clear" w:color="auto" w:fill="D8D8D8"/>
          </w:tcPr>
          <w:p>
            <w:pPr>
              <w:jc w:val="right"/>
              <w:ind w:right="302"/>
              <w:spacing w:after="0" w:line="192" w:lineRule="exact"/>
              <w:rPr>
                <w:sz w:val="20"/>
                <w:szCs w:val="20"/>
                <w:color w:val="auto"/>
              </w:rPr>
            </w:pPr>
            <w:r>
              <w:rPr>
                <w:rFonts w:ascii="Arial" w:cs="Arial" w:eastAsia="Arial" w:hAnsi="Arial"/>
                <w:sz w:val="17"/>
                <w:szCs w:val="17"/>
                <w:color w:val="auto"/>
              </w:rPr>
              <w:t>10.5%</w:t>
            </w:r>
          </w:p>
        </w:tc>
        <w:tc>
          <w:tcPr>
            <w:tcW w:w="220" w:type="dxa"/>
            <w:vAlign w:val="bottom"/>
            <w:shd w:val="clear" w:color="auto" w:fill="D8D8D8"/>
          </w:tcPr>
          <w:p>
            <w:pPr>
              <w:spacing w:after="0"/>
              <w:rPr>
                <w:sz w:val="16"/>
                <w:szCs w:val="16"/>
                <w:color w:val="auto"/>
              </w:rPr>
            </w:pPr>
          </w:p>
        </w:tc>
        <w:tc>
          <w:tcPr>
            <w:tcW w:w="12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i w:val="1"/>
                <w:iCs w:val="1"/>
                <w:color w:val="auto"/>
                <w:w w:val="99"/>
              </w:rPr>
              <w:t>10.7%</w:t>
            </w:r>
          </w:p>
        </w:tc>
        <w:tc>
          <w:tcPr>
            <w:tcW w:w="220" w:type="dxa"/>
            <w:vAlign w:val="bottom"/>
            <w:shd w:val="clear" w:color="auto" w:fill="D8D8D8"/>
          </w:tcPr>
          <w:p>
            <w:pPr>
              <w:spacing w:after="0"/>
              <w:rPr>
                <w:sz w:val="16"/>
                <w:szCs w:val="16"/>
                <w:color w:val="auto"/>
              </w:rPr>
            </w:pPr>
          </w:p>
        </w:tc>
        <w:tc>
          <w:tcPr>
            <w:tcW w:w="54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b w:val="1"/>
                <w:bCs w:val="1"/>
                <w:i w:val="1"/>
                <w:iCs w:val="1"/>
                <w:color w:val="auto"/>
                <w:w w:val="96"/>
              </w:rPr>
              <w:t>200%</w:t>
            </w:r>
          </w:p>
        </w:tc>
        <w:tc>
          <w:tcPr>
            <w:tcW w:w="0" w:type="dxa"/>
            <w:vAlign w:val="bottom"/>
          </w:tcPr>
          <w:p>
            <w:pPr>
              <w:spacing w:after="0"/>
              <w:rPr>
                <w:sz w:val="1"/>
                <w:szCs w:val="1"/>
                <w:color w:val="auto"/>
              </w:rPr>
            </w:pPr>
          </w:p>
        </w:tc>
      </w:tr>
      <w:tr>
        <w:trPr>
          <w:trHeight w:val="192"/>
        </w:trPr>
        <w:tc>
          <w:tcPr>
            <w:tcW w:w="4220" w:type="dxa"/>
            <w:vAlign w:val="bottom"/>
            <w:gridSpan w:val="2"/>
          </w:tcPr>
          <w:p>
            <w:pPr>
              <w:spacing w:after="0" w:line="192" w:lineRule="exact"/>
              <w:rPr>
                <w:sz w:val="20"/>
                <w:szCs w:val="20"/>
                <w:color w:val="auto"/>
              </w:rPr>
            </w:pPr>
            <w:r>
              <w:rPr>
                <w:rFonts w:ascii="Arial" w:cs="Arial" w:eastAsia="Arial" w:hAnsi="Arial"/>
                <w:sz w:val="17"/>
                <w:szCs w:val="17"/>
                <w:color w:val="auto"/>
              </w:rPr>
              <w:t>Cumulative Adjusted Free Cash Flow</w:t>
            </w:r>
            <w:r>
              <w:rPr>
                <w:rFonts w:ascii="Arial" w:cs="Arial" w:eastAsia="Arial" w:hAnsi="Arial"/>
                <w:sz w:val="10"/>
                <w:szCs w:val="10"/>
                <w:color w:val="auto"/>
              </w:rPr>
              <w:t>(3)</w:t>
            </w:r>
          </w:p>
        </w:tc>
        <w:tc>
          <w:tcPr>
            <w:tcW w:w="780" w:type="dxa"/>
            <w:vAlign w:val="bottom"/>
          </w:tcPr>
          <w:p>
            <w:pPr>
              <w:jc w:val="center"/>
              <w:spacing w:after="0" w:line="192" w:lineRule="exact"/>
              <w:rPr>
                <w:sz w:val="20"/>
                <w:szCs w:val="20"/>
                <w:color w:val="auto"/>
              </w:rPr>
            </w:pPr>
            <w:r>
              <w:rPr>
                <w:rFonts w:ascii="Arial" w:cs="Arial" w:eastAsia="Arial" w:hAnsi="Arial"/>
                <w:sz w:val="17"/>
                <w:szCs w:val="17"/>
                <w:color w:val="auto"/>
                <w:w w:val="93"/>
              </w:rPr>
              <w:t>20%</w:t>
            </w:r>
          </w:p>
        </w:tc>
        <w:tc>
          <w:tcPr>
            <w:tcW w:w="200" w:type="dxa"/>
            <w:vAlign w:val="bottom"/>
          </w:tcPr>
          <w:p>
            <w:pPr>
              <w:spacing w:after="0"/>
              <w:rPr>
                <w:sz w:val="16"/>
                <w:szCs w:val="16"/>
                <w:color w:val="auto"/>
              </w:rPr>
            </w:pPr>
          </w:p>
        </w:tc>
        <w:tc>
          <w:tcPr>
            <w:tcW w:w="1560" w:type="dxa"/>
            <w:vAlign w:val="bottom"/>
            <w:gridSpan w:val="2"/>
          </w:tcPr>
          <w:p>
            <w:pPr>
              <w:jc w:val="center"/>
              <w:ind w:right="200"/>
              <w:spacing w:after="0" w:line="192" w:lineRule="exact"/>
              <w:rPr>
                <w:sz w:val="20"/>
                <w:szCs w:val="20"/>
                <w:color w:val="auto"/>
              </w:rPr>
            </w:pPr>
            <w:r>
              <w:rPr>
                <w:rFonts w:ascii="Arial" w:cs="Arial" w:eastAsia="Arial" w:hAnsi="Arial"/>
                <w:sz w:val="17"/>
                <w:szCs w:val="17"/>
                <w:color w:val="auto"/>
                <w:w w:val="98"/>
              </w:rPr>
              <w:t>$6.2 billion</w:t>
            </w:r>
          </w:p>
        </w:tc>
        <w:tc>
          <w:tcPr>
            <w:tcW w:w="1020" w:type="dxa"/>
            <w:vAlign w:val="bottom"/>
          </w:tcPr>
          <w:p>
            <w:pPr>
              <w:jc w:val="center"/>
              <w:spacing w:after="0" w:line="192" w:lineRule="exact"/>
              <w:rPr>
                <w:sz w:val="20"/>
                <w:szCs w:val="20"/>
                <w:color w:val="auto"/>
              </w:rPr>
            </w:pPr>
            <w:r>
              <w:rPr>
                <w:rFonts w:ascii="Arial" w:cs="Arial" w:eastAsia="Arial" w:hAnsi="Arial"/>
                <w:sz w:val="17"/>
                <w:szCs w:val="17"/>
                <w:color w:val="auto"/>
                <w:w w:val="98"/>
              </w:rPr>
              <w:t>$6.9 billion</w:t>
            </w:r>
          </w:p>
        </w:tc>
        <w:tc>
          <w:tcPr>
            <w:tcW w:w="220" w:type="dxa"/>
            <w:vAlign w:val="bottom"/>
          </w:tcPr>
          <w:p>
            <w:pPr>
              <w:spacing w:after="0"/>
              <w:rPr>
                <w:sz w:val="16"/>
                <w:szCs w:val="16"/>
                <w:color w:val="auto"/>
              </w:rPr>
            </w:pPr>
          </w:p>
        </w:tc>
        <w:tc>
          <w:tcPr>
            <w:tcW w:w="1440" w:type="dxa"/>
            <w:vAlign w:val="bottom"/>
            <w:gridSpan w:val="2"/>
          </w:tcPr>
          <w:p>
            <w:pPr>
              <w:jc w:val="center"/>
              <w:ind w:right="240"/>
              <w:spacing w:after="0" w:line="192" w:lineRule="exact"/>
              <w:rPr>
                <w:sz w:val="20"/>
                <w:szCs w:val="20"/>
                <w:color w:val="auto"/>
              </w:rPr>
            </w:pPr>
            <w:r>
              <w:rPr>
                <w:rFonts w:ascii="Arial" w:cs="Arial" w:eastAsia="Arial" w:hAnsi="Arial"/>
                <w:sz w:val="17"/>
                <w:szCs w:val="17"/>
                <w:color w:val="auto"/>
                <w:w w:val="98"/>
              </w:rPr>
              <w:t>$8.2 billion</w:t>
            </w:r>
          </w:p>
        </w:tc>
        <w:tc>
          <w:tcPr>
            <w:tcW w:w="1440" w:type="dxa"/>
            <w:vAlign w:val="bottom"/>
            <w:gridSpan w:val="2"/>
          </w:tcPr>
          <w:p>
            <w:pPr>
              <w:jc w:val="center"/>
              <w:ind w:right="240"/>
              <w:spacing w:after="0" w:line="192" w:lineRule="exact"/>
              <w:rPr>
                <w:sz w:val="20"/>
                <w:szCs w:val="20"/>
                <w:color w:val="auto"/>
              </w:rPr>
            </w:pPr>
            <w:r>
              <w:rPr>
                <w:rFonts w:ascii="Arial" w:cs="Arial" w:eastAsia="Arial" w:hAnsi="Arial"/>
                <w:sz w:val="17"/>
                <w:szCs w:val="17"/>
                <w:i w:val="1"/>
                <w:iCs w:val="1"/>
                <w:color w:val="auto"/>
                <w:w w:val="96"/>
              </w:rPr>
              <w:t>$10.2 billion</w:t>
            </w:r>
          </w:p>
        </w:tc>
        <w:tc>
          <w:tcPr>
            <w:tcW w:w="540" w:type="dxa"/>
            <w:vAlign w:val="bottom"/>
          </w:tcPr>
          <w:p>
            <w:pPr>
              <w:jc w:val="center"/>
              <w:spacing w:after="0" w:line="192" w:lineRule="exact"/>
              <w:rPr>
                <w:sz w:val="20"/>
                <w:szCs w:val="20"/>
                <w:color w:val="auto"/>
              </w:rPr>
            </w:pPr>
            <w:r>
              <w:rPr>
                <w:rFonts w:ascii="Arial" w:cs="Arial" w:eastAsia="Arial" w:hAnsi="Arial"/>
                <w:sz w:val="17"/>
                <w:szCs w:val="17"/>
                <w:b w:val="1"/>
                <w:bCs w:val="1"/>
                <w:i w:val="1"/>
                <w:iCs w:val="1"/>
                <w:color w:val="auto"/>
                <w:w w:val="96"/>
              </w:rPr>
              <w:t>200%</w:t>
            </w:r>
          </w:p>
        </w:tc>
        <w:tc>
          <w:tcPr>
            <w:tcW w:w="0" w:type="dxa"/>
            <w:vAlign w:val="bottom"/>
          </w:tcPr>
          <w:p>
            <w:pPr>
              <w:spacing w:after="0"/>
              <w:rPr>
                <w:sz w:val="1"/>
                <w:szCs w:val="1"/>
                <w:color w:val="auto"/>
              </w:rPr>
            </w:pPr>
          </w:p>
        </w:tc>
      </w:tr>
      <w:tr>
        <w:trPr>
          <w:trHeight w:val="177"/>
        </w:trPr>
        <w:tc>
          <w:tcPr>
            <w:tcW w:w="4220" w:type="dxa"/>
            <w:vAlign w:val="bottom"/>
            <w:gridSpan w:val="2"/>
            <w:shd w:val="clear" w:color="auto" w:fill="D8D8D8"/>
          </w:tcPr>
          <w:p>
            <w:pPr>
              <w:spacing w:after="0" w:line="177" w:lineRule="exact"/>
              <w:rPr>
                <w:sz w:val="20"/>
                <w:szCs w:val="20"/>
                <w:color w:val="auto"/>
              </w:rPr>
            </w:pPr>
            <w:r>
              <w:rPr>
                <w:rFonts w:ascii="Arial" w:cs="Arial" w:eastAsia="Arial" w:hAnsi="Arial"/>
                <w:sz w:val="17"/>
                <w:szCs w:val="17"/>
                <w:color w:val="auto"/>
              </w:rPr>
              <w:t>Annualized Relative Total Shareholder Return</w:t>
            </w:r>
            <w:r>
              <w:rPr>
                <w:rFonts w:ascii="Arial" w:cs="Arial" w:eastAsia="Arial" w:hAnsi="Arial"/>
                <w:sz w:val="10"/>
                <w:szCs w:val="10"/>
                <w:color w:val="auto"/>
              </w:rPr>
              <w:t>(4)</w:t>
            </w:r>
          </w:p>
        </w:tc>
        <w:tc>
          <w:tcPr>
            <w:tcW w:w="780" w:type="dxa"/>
            <w:vAlign w:val="bottom"/>
            <w:shd w:val="clear" w:color="auto" w:fill="D8D8D8"/>
          </w:tcPr>
          <w:p>
            <w:pPr>
              <w:jc w:val="center"/>
              <w:spacing w:after="0" w:line="177" w:lineRule="exact"/>
              <w:rPr>
                <w:sz w:val="20"/>
                <w:szCs w:val="20"/>
                <w:color w:val="auto"/>
              </w:rPr>
            </w:pPr>
            <w:r>
              <w:rPr>
                <w:rFonts w:ascii="Arial" w:cs="Arial" w:eastAsia="Arial" w:hAnsi="Arial"/>
                <w:sz w:val="17"/>
                <w:szCs w:val="17"/>
                <w:color w:val="auto"/>
                <w:w w:val="93"/>
              </w:rPr>
              <w:t>30%</w:t>
            </w:r>
          </w:p>
        </w:tc>
        <w:tc>
          <w:tcPr>
            <w:tcW w:w="200" w:type="dxa"/>
            <w:vAlign w:val="bottom"/>
            <w:shd w:val="clear" w:color="auto" w:fill="D8D8D8"/>
          </w:tcPr>
          <w:p>
            <w:pPr>
              <w:spacing w:after="0"/>
              <w:rPr>
                <w:sz w:val="15"/>
                <w:szCs w:val="15"/>
                <w:color w:val="auto"/>
              </w:rPr>
            </w:pPr>
          </w:p>
        </w:tc>
        <w:tc>
          <w:tcPr>
            <w:tcW w:w="1560" w:type="dxa"/>
            <w:vAlign w:val="bottom"/>
            <w:gridSpan w:val="2"/>
            <w:shd w:val="clear" w:color="auto" w:fill="D8D8D8"/>
          </w:tcPr>
          <w:p>
            <w:pPr>
              <w:jc w:val="center"/>
              <w:ind w:right="200"/>
              <w:spacing w:after="0" w:line="177" w:lineRule="exact"/>
              <w:rPr>
                <w:sz w:val="20"/>
                <w:szCs w:val="20"/>
                <w:color w:val="auto"/>
              </w:rPr>
            </w:pPr>
            <w:r>
              <w:rPr>
                <w:rFonts w:ascii="Arial" w:cs="Arial" w:eastAsia="Arial" w:hAnsi="Arial"/>
                <w:sz w:val="17"/>
                <w:szCs w:val="17"/>
                <w:color w:val="auto"/>
                <w:w w:val="99"/>
              </w:rPr>
              <w:t>4.0 pp</w:t>
            </w:r>
            <w:r>
              <w:rPr>
                <w:rFonts w:ascii="Arial" w:cs="Arial" w:eastAsia="Arial" w:hAnsi="Arial"/>
                <w:sz w:val="10"/>
                <w:szCs w:val="10"/>
                <w:color w:val="auto"/>
                <w:w w:val="99"/>
              </w:rPr>
              <w:t>(5)</w:t>
            </w:r>
            <w:r>
              <w:rPr>
                <w:rFonts w:ascii="Arial" w:cs="Arial" w:eastAsia="Arial" w:hAnsi="Arial"/>
                <w:sz w:val="17"/>
                <w:szCs w:val="17"/>
                <w:color w:val="auto"/>
                <w:w w:val="99"/>
              </w:rPr>
              <w:t xml:space="preserve"> below</w:t>
            </w:r>
          </w:p>
        </w:tc>
        <w:tc>
          <w:tcPr>
            <w:tcW w:w="1020" w:type="dxa"/>
            <w:vAlign w:val="bottom"/>
            <w:shd w:val="clear" w:color="auto" w:fill="D8D8D8"/>
          </w:tcPr>
          <w:p>
            <w:pPr>
              <w:jc w:val="center"/>
              <w:spacing w:after="0" w:line="177" w:lineRule="exact"/>
              <w:rPr>
                <w:sz w:val="20"/>
                <w:szCs w:val="20"/>
                <w:color w:val="auto"/>
              </w:rPr>
            </w:pPr>
            <w:r>
              <w:rPr>
                <w:rFonts w:ascii="Arial" w:cs="Arial" w:eastAsia="Arial" w:hAnsi="Arial"/>
                <w:sz w:val="17"/>
                <w:szCs w:val="17"/>
                <w:color w:val="auto"/>
                <w:w w:val="96"/>
              </w:rPr>
              <w:t>At median</w:t>
            </w:r>
          </w:p>
        </w:tc>
        <w:tc>
          <w:tcPr>
            <w:tcW w:w="220" w:type="dxa"/>
            <w:vAlign w:val="bottom"/>
            <w:shd w:val="clear" w:color="auto" w:fill="D8D8D8"/>
          </w:tcPr>
          <w:p>
            <w:pPr>
              <w:spacing w:after="0"/>
              <w:rPr>
                <w:sz w:val="15"/>
                <w:szCs w:val="15"/>
                <w:color w:val="auto"/>
              </w:rPr>
            </w:pPr>
          </w:p>
        </w:tc>
        <w:tc>
          <w:tcPr>
            <w:tcW w:w="1440" w:type="dxa"/>
            <w:vAlign w:val="bottom"/>
            <w:gridSpan w:val="2"/>
            <w:shd w:val="clear" w:color="auto" w:fill="D8D8D8"/>
          </w:tcPr>
          <w:p>
            <w:pPr>
              <w:jc w:val="center"/>
              <w:ind w:right="240"/>
              <w:spacing w:after="0" w:line="177" w:lineRule="exact"/>
              <w:rPr>
                <w:sz w:val="20"/>
                <w:szCs w:val="20"/>
                <w:color w:val="auto"/>
              </w:rPr>
            </w:pPr>
            <w:r>
              <w:rPr>
                <w:rFonts w:ascii="Arial" w:cs="Arial" w:eastAsia="Arial" w:hAnsi="Arial"/>
                <w:sz w:val="17"/>
                <w:szCs w:val="17"/>
                <w:color w:val="auto"/>
                <w:w w:val="97"/>
              </w:rPr>
              <w:t>8.0 pp above</w:t>
            </w:r>
          </w:p>
        </w:tc>
        <w:tc>
          <w:tcPr>
            <w:tcW w:w="1440" w:type="dxa"/>
            <w:vAlign w:val="bottom"/>
            <w:gridSpan w:val="2"/>
            <w:shd w:val="clear" w:color="auto" w:fill="D8D8D8"/>
          </w:tcPr>
          <w:p>
            <w:pPr>
              <w:jc w:val="center"/>
              <w:ind w:right="240"/>
              <w:spacing w:after="0" w:line="177" w:lineRule="exact"/>
              <w:rPr>
                <w:sz w:val="20"/>
                <w:szCs w:val="20"/>
                <w:color w:val="auto"/>
              </w:rPr>
            </w:pPr>
            <w:r>
              <w:rPr>
                <w:rFonts w:ascii="Arial" w:cs="Arial" w:eastAsia="Arial" w:hAnsi="Arial"/>
                <w:sz w:val="17"/>
                <w:szCs w:val="17"/>
                <w:i w:val="1"/>
                <w:iCs w:val="1"/>
                <w:color w:val="auto"/>
                <w:w w:val="97"/>
              </w:rPr>
              <w:t>0.8 pp above</w:t>
            </w:r>
          </w:p>
        </w:tc>
        <w:tc>
          <w:tcPr>
            <w:tcW w:w="540" w:type="dxa"/>
            <w:vAlign w:val="bottom"/>
            <w:vMerge w:val="restart"/>
            <w:shd w:val="clear" w:color="auto" w:fill="D8D8D8"/>
          </w:tcPr>
          <w:p>
            <w:pPr>
              <w:jc w:val="center"/>
              <w:spacing w:after="0"/>
              <w:rPr>
                <w:sz w:val="20"/>
                <w:szCs w:val="20"/>
                <w:color w:val="auto"/>
              </w:rPr>
            </w:pPr>
            <w:r>
              <w:rPr>
                <w:rFonts w:ascii="Arial" w:cs="Arial" w:eastAsia="Arial" w:hAnsi="Arial"/>
                <w:sz w:val="17"/>
                <w:szCs w:val="17"/>
                <w:b w:val="1"/>
                <w:bCs w:val="1"/>
                <w:i w:val="1"/>
                <w:iCs w:val="1"/>
                <w:color w:val="auto"/>
                <w:w w:val="96"/>
              </w:rPr>
              <w:t>110%</w:t>
            </w:r>
          </w:p>
        </w:tc>
        <w:tc>
          <w:tcPr>
            <w:tcW w:w="0" w:type="dxa"/>
            <w:vAlign w:val="bottom"/>
          </w:tcPr>
          <w:p>
            <w:pPr>
              <w:spacing w:after="0"/>
              <w:rPr>
                <w:sz w:val="1"/>
                <w:szCs w:val="1"/>
                <w:color w:val="auto"/>
              </w:rPr>
            </w:pPr>
          </w:p>
        </w:tc>
      </w:tr>
      <w:tr>
        <w:trPr>
          <w:trHeight w:val="207"/>
        </w:trPr>
        <w:tc>
          <w:tcPr>
            <w:tcW w:w="1620" w:type="dxa"/>
            <w:vAlign w:val="bottom"/>
            <w:shd w:val="clear" w:color="auto" w:fill="D8D8D8"/>
          </w:tcPr>
          <w:p>
            <w:pPr>
              <w:spacing w:after="0"/>
              <w:rPr>
                <w:sz w:val="17"/>
                <w:szCs w:val="17"/>
                <w:color w:val="auto"/>
              </w:rPr>
            </w:pPr>
          </w:p>
        </w:tc>
        <w:tc>
          <w:tcPr>
            <w:tcW w:w="2600" w:type="dxa"/>
            <w:vAlign w:val="bottom"/>
            <w:shd w:val="clear" w:color="auto" w:fill="D8D8D8"/>
          </w:tcPr>
          <w:p>
            <w:pPr>
              <w:spacing w:after="0"/>
              <w:rPr>
                <w:sz w:val="17"/>
                <w:szCs w:val="17"/>
                <w:color w:val="auto"/>
              </w:rPr>
            </w:pPr>
          </w:p>
        </w:tc>
        <w:tc>
          <w:tcPr>
            <w:tcW w:w="780" w:type="dxa"/>
            <w:vAlign w:val="bottom"/>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1560" w:type="dxa"/>
            <w:vAlign w:val="bottom"/>
            <w:gridSpan w:val="2"/>
            <w:shd w:val="clear" w:color="auto" w:fill="D8D8D8"/>
          </w:tcPr>
          <w:p>
            <w:pPr>
              <w:jc w:val="center"/>
              <w:ind w:right="200"/>
              <w:spacing w:after="0"/>
              <w:rPr>
                <w:sz w:val="20"/>
                <w:szCs w:val="20"/>
                <w:color w:val="auto"/>
              </w:rPr>
            </w:pPr>
            <w:r>
              <w:rPr>
                <w:rFonts w:ascii="Arial" w:cs="Arial" w:eastAsia="Arial" w:hAnsi="Arial"/>
                <w:sz w:val="17"/>
                <w:szCs w:val="17"/>
                <w:color w:val="auto"/>
              </w:rPr>
              <w:t>median</w:t>
            </w:r>
          </w:p>
        </w:tc>
        <w:tc>
          <w:tcPr>
            <w:tcW w:w="102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1440" w:type="dxa"/>
            <w:vAlign w:val="bottom"/>
            <w:gridSpan w:val="2"/>
            <w:shd w:val="clear" w:color="auto" w:fill="D8D8D8"/>
          </w:tcPr>
          <w:p>
            <w:pPr>
              <w:jc w:val="center"/>
              <w:ind w:right="220"/>
              <w:spacing w:after="0"/>
              <w:rPr>
                <w:sz w:val="20"/>
                <w:szCs w:val="20"/>
                <w:color w:val="auto"/>
              </w:rPr>
            </w:pPr>
            <w:r>
              <w:rPr>
                <w:rFonts w:ascii="Arial" w:cs="Arial" w:eastAsia="Arial" w:hAnsi="Arial"/>
                <w:sz w:val="17"/>
                <w:szCs w:val="17"/>
                <w:color w:val="auto"/>
                <w:w w:val="96"/>
              </w:rPr>
              <w:t>median</w:t>
            </w:r>
          </w:p>
        </w:tc>
        <w:tc>
          <w:tcPr>
            <w:tcW w:w="1440" w:type="dxa"/>
            <w:vAlign w:val="bottom"/>
            <w:gridSpan w:val="2"/>
            <w:shd w:val="clear" w:color="auto" w:fill="D8D8D8"/>
          </w:tcPr>
          <w:p>
            <w:pPr>
              <w:jc w:val="center"/>
              <w:ind w:right="220"/>
              <w:spacing w:after="0"/>
              <w:rPr>
                <w:sz w:val="20"/>
                <w:szCs w:val="20"/>
                <w:color w:val="auto"/>
              </w:rPr>
            </w:pPr>
            <w:r>
              <w:rPr>
                <w:rFonts w:ascii="Arial" w:cs="Arial" w:eastAsia="Arial" w:hAnsi="Arial"/>
                <w:sz w:val="17"/>
                <w:szCs w:val="17"/>
                <w:i w:val="1"/>
                <w:iCs w:val="1"/>
                <w:color w:val="auto"/>
                <w:w w:val="96"/>
              </w:rPr>
              <w:t>median</w:t>
            </w:r>
          </w:p>
        </w:tc>
        <w:tc>
          <w:tcPr>
            <w:tcW w:w="540" w:type="dxa"/>
            <w:vAlign w:val="bottom"/>
            <w:vMerge w:val="continue"/>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220" w:type="dxa"/>
            <w:vAlign w:val="bottom"/>
            <w:gridSpan w:val="2"/>
          </w:tcPr>
          <w:p>
            <w:pPr>
              <w:ind w:left="420"/>
              <w:spacing w:after="0"/>
              <w:rPr>
                <w:sz w:val="20"/>
                <w:szCs w:val="20"/>
                <w:color w:val="auto"/>
              </w:rPr>
            </w:pPr>
            <w:r>
              <w:rPr>
                <w:rFonts w:ascii="Arial" w:cs="Arial" w:eastAsia="Arial" w:hAnsi="Arial"/>
                <w:sz w:val="17"/>
                <w:szCs w:val="17"/>
                <w:b w:val="1"/>
                <w:bCs w:val="1"/>
                <w:color w:val="auto"/>
              </w:rPr>
              <w:t>Actual Business Performance Rating</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7"/>
                <w:szCs w:val="17"/>
                <w:b w:val="1"/>
                <w:bCs w:val="1"/>
                <w:i w:val="1"/>
                <w:iCs w:val="1"/>
                <w:color w:val="auto"/>
                <w:w w:val="96"/>
              </w:rPr>
              <w:t>141%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46990</wp:posOffset>
            </wp:positionV>
            <wp:extent cx="7226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95" w:lineRule="exact"/>
        <w:rPr>
          <w:sz w:val="20"/>
          <w:szCs w:val="20"/>
          <w:color w:val="auto"/>
        </w:rPr>
      </w:pPr>
    </w:p>
    <w:p>
      <w:pPr>
        <w:ind w:left="1240" w:right="120" w:hanging="445"/>
        <w:spacing w:after="0" w:line="241" w:lineRule="auto"/>
        <w:tabs>
          <w:tab w:leader="none" w:pos="12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For 2009 and 2011, we used Organic Net Revenue Growth. For 2010, we used Combined Organic Net Revenue Growth (which captured the impact of the Cadbury acquisition).</w:t>
      </w:r>
    </w:p>
    <w:p>
      <w:pPr>
        <w:spacing w:after="0" w:line="55" w:lineRule="exact"/>
        <w:rPr>
          <w:rFonts w:ascii="Arial" w:cs="Arial" w:eastAsia="Arial" w:hAnsi="Arial"/>
          <w:sz w:val="17"/>
          <w:szCs w:val="17"/>
          <w:color w:val="auto"/>
        </w:rPr>
      </w:pPr>
    </w:p>
    <w:p>
      <w:pPr>
        <w:ind w:left="1240" w:right="740" w:hanging="445"/>
        <w:spacing w:after="0" w:line="241" w:lineRule="auto"/>
        <w:tabs>
          <w:tab w:leader="none" w:pos="12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For 2010 and 2011, we modified the EPS Growth measure from Ongoing to Operating to align with Kraft Foods’ EPS benchmark communicated externally.</w:t>
      </w:r>
    </w:p>
    <w:p>
      <w:pPr>
        <w:spacing w:after="0" w:line="55" w:lineRule="exact"/>
        <w:rPr>
          <w:rFonts w:ascii="Arial" w:cs="Arial" w:eastAsia="Arial" w:hAnsi="Arial"/>
          <w:sz w:val="17"/>
          <w:szCs w:val="17"/>
          <w:color w:val="auto"/>
        </w:rPr>
      </w:pPr>
    </w:p>
    <w:p>
      <w:pPr>
        <w:ind w:left="1240" w:right="200" w:hanging="445"/>
        <w:spacing w:after="0" w:line="241" w:lineRule="auto"/>
        <w:tabs>
          <w:tab w:leader="none" w:pos="12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For 2009, we excluded $400 million of voluntary pension contributions and for 2010, we excluded $1.2 billion in taxes paid related to the sale of our North American frozen pizza business.</w:t>
      </w:r>
    </w:p>
    <w:p>
      <w:pPr>
        <w:spacing w:after="0" w:line="55" w:lineRule="exact"/>
        <w:rPr>
          <w:rFonts w:ascii="Arial" w:cs="Arial" w:eastAsia="Arial" w:hAnsi="Arial"/>
          <w:sz w:val="17"/>
          <w:szCs w:val="17"/>
          <w:color w:val="auto"/>
        </w:rPr>
      </w:pPr>
    </w:p>
    <w:p>
      <w:pPr>
        <w:ind w:left="1240" w:right="100" w:hanging="445"/>
        <w:spacing w:after="0" w:line="241" w:lineRule="auto"/>
        <w:tabs>
          <w:tab w:leader="none" w:pos="12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companies used in the Annualized Relative Total Shareholder Return are the Performance Peer Group companies established at the outset of the performance cycle.</w:t>
      </w:r>
    </w:p>
    <w:p>
      <w:pPr>
        <w:spacing w:after="0" w:line="55" w:lineRule="exact"/>
        <w:rPr>
          <w:rFonts w:ascii="Arial" w:cs="Arial" w:eastAsia="Arial" w:hAnsi="Arial"/>
          <w:sz w:val="17"/>
          <w:szCs w:val="17"/>
          <w:color w:val="auto"/>
        </w:rPr>
      </w:pPr>
    </w:p>
    <w:p>
      <w:pPr>
        <w:ind w:left="1240" w:hanging="445"/>
        <w:spacing w:after="0"/>
        <w:tabs>
          <w:tab w:leader="none" w:pos="12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“pp” represents percentage points.</w:t>
      </w:r>
    </w:p>
    <w:p>
      <w:pPr>
        <w:spacing w:after="0" w:line="150" w:lineRule="exact"/>
        <w:rPr>
          <w:sz w:val="20"/>
          <w:szCs w:val="20"/>
          <w:color w:val="auto"/>
        </w:rPr>
      </w:pPr>
    </w:p>
    <w:p>
      <w:pPr>
        <w:ind w:right="520"/>
        <w:spacing w:after="0" w:line="238" w:lineRule="auto"/>
        <w:rPr>
          <w:sz w:val="20"/>
          <w:szCs w:val="20"/>
          <w:color w:val="auto"/>
        </w:rPr>
      </w:pPr>
      <w:r>
        <w:rPr>
          <w:rFonts w:ascii="Arial" w:cs="Arial" w:eastAsia="Arial" w:hAnsi="Arial"/>
          <w:sz w:val="17"/>
          <w:szCs w:val="17"/>
          <w:color w:val="auto"/>
        </w:rPr>
        <w:t>There were no individual or business unit performance factors used in the calculation. Kraft Foods’ performance was significantly above target in Cumulative Adjusted Free Cash Flow and Operating EPS Growth. Organic Net Revenue Growth was slightly below target. Annualized Relative Total Shareholder Return was slightly above the median. The Committee believed the payout was appropriate given its overall evaluation of Kraft Foods’ performance and economic conditions, and therefore did not use its discretion to adjust the final business performance ratings.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443" w:right="239" w:bottom="1440" w:gutter="0" w:footer="0" w:header="0"/>
          <w:type w:val="continuous"/>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Based on target awards, as a percent of salary, and the business performance rating of 141% of target, the chart below shows the share payouts for each of our Named Executive Officers.</w:t>
      </w:r>
    </w:p>
    <w:p>
      <w:pPr>
        <w:spacing w:after="0" w:line="155" w:lineRule="exact"/>
        <w:rPr>
          <w:sz w:val="20"/>
          <w:szCs w:val="20"/>
          <w:color w:val="auto"/>
        </w:rPr>
      </w:pPr>
    </w:p>
    <w:tbl>
      <w:tblPr>
        <w:tblLayout w:type="fixed"/>
        <w:tblInd w:w="2300" w:type="dxa"/>
        <w:tblCellMar>
          <w:top w:w="0" w:type="dxa"/>
          <w:left w:w="0" w:type="dxa"/>
          <w:bottom w:w="0" w:type="dxa"/>
          <w:right w:w="0" w:type="dxa"/>
        </w:tblCellMar>
      </w:tblPr>
      <w:tr>
        <w:trPr>
          <w:trHeight w:val="149"/>
        </w:trPr>
        <w:tc>
          <w:tcPr>
            <w:tcW w:w="4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Award</w:t>
            </w:r>
          </w:p>
        </w:tc>
        <w:tc>
          <w:tcPr>
            <w:tcW w:w="0" w:type="dxa"/>
            <w:vAlign w:val="bottom"/>
          </w:tcPr>
          <w:p>
            <w:pPr>
              <w:spacing w:after="0"/>
              <w:rPr>
                <w:sz w:val="1"/>
                <w:szCs w:val="1"/>
                <w:color w:val="auto"/>
              </w:rPr>
            </w:pPr>
          </w:p>
        </w:tc>
      </w:tr>
      <w:tr>
        <w:trPr>
          <w:trHeight w:val="132"/>
        </w:trPr>
        <w:tc>
          <w:tcPr>
            <w:tcW w:w="4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96"/>
              </w:rPr>
              <w:t>Value At</w:t>
            </w:r>
          </w:p>
        </w:tc>
        <w:tc>
          <w:tcPr>
            <w:tcW w:w="0" w:type="dxa"/>
            <w:vAlign w:val="bottom"/>
          </w:tcPr>
          <w:p>
            <w:pPr>
              <w:spacing w:after="0"/>
              <w:rPr>
                <w:sz w:val="1"/>
                <w:szCs w:val="1"/>
                <w:color w:val="auto"/>
              </w:rPr>
            </w:pPr>
          </w:p>
        </w:tc>
      </w:tr>
      <w:tr>
        <w:trPr>
          <w:trHeight w:val="150"/>
        </w:trPr>
        <w:tc>
          <w:tcPr>
            <w:tcW w:w="42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2080" w:type="dxa"/>
            <w:vAlign w:val="bottom"/>
            <w:vMerge w:val="restart"/>
          </w:tcPr>
          <w:p>
            <w:pPr>
              <w:spacing w:after="0"/>
              <w:rPr>
                <w:sz w:val="13"/>
                <w:szCs w:val="13"/>
                <w:color w:val="auto"/>
              </w:rPr>
            </w:pPr>
          </w:p>
        </w:tc>
        <w:tc>
          <w:tcPr>
            <w:tcW w:w="1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gridSpan w:val="2"/>
          </w:tcPr>
          <w:p>
            <w:pPr>
              <w:spacing w:after="0"/>
              <w:rPr>
                <w:sz w:val="20"/>
                <w:szCs w:val="20"/>
                <w:color w:val="auto"/>
              </w:rPr>
            </w:pPr>
            <w:r>
              <w:rPr>
                <w:rFonts w:ascii="Arial" w:cs="Arial" w:eastAsia="Arial" w:hAnsi="Arial"/>
                <w:sz w:val="13"/>
                <w:szCs w:val="13"/>
                <w:b w:val="1"/>
                <w:bCs w:val="1"/>
                <w:color w:val="auto"/>
              </w:rPr>
              <w:t>Actual Award</w:t>
            </w:r>
          </w:p>
        </w:tc>
        <w:tc>
          <w:tcPr>
            <w:tcW w:w="900" w:type="dxa"/>
            <w:vAlign w:val="bottom"/>
            <w:gridSpan w:val="2"/>
          </w:tcPr>
          <w:p>
            <w:pPr>
              <w:jc w:val="center"/>
              <w:ind w:right="100"/>
              <w:spacing w:after="0" w:line="150" w:lineRule="exact"/>
              <w:rPr>
                <w:sz w:val="20"/>
                <w:szCs w:val="20"/>
                <w:color w:val="auto"/>
              </w:rPr>
            </w:pPr>
            <w:r>
              <w:rPr>
                <w:rFonts w:ascii="Arial" w:cs="Arial" w:eastAsia="Arial" w:hAnsi="Arial"/>
                <w:sz w:val="11"/>
                <w:szCs w:val="11"/>
                <w:b w:val="1"/>
                <w:bCs w:val="1"/>
                <w:color w:val="auto"/>
              </w:rPr>
              <w:t>Vest</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65"/>
        </w:trPr>
        <w:tc>
          <w:tcPr>
            <w:tcW w:w="420" w:type="dxa"/>
            <w:vAlign w:val="bottom"/>
            <w:tcBorders>
              <w:bottom w:val="single" w:sz="8" w:color="auto"/>
            </w:tcBorders>
            <w:vMerge w:val="continue"/>
          </w:tcPr>
          <w:p>
            <w:pPr>
              <w:spacing w:after="0"/>
              <w:rPr>
                <w:sz w:val="14"/>
                <w:szCs w:val="14"/>
                <w:color w:val="auto"/>
              </w:rPr>
            </w:pPr>
          </w:p>
        </w:tc>
        <w:tc>
          <w:tcPr>
            <w:tcW w:w="2080" w:type="dxa"/>
            <w:vAlign w:val="bottom"/>
            <w:vMerge w:val="continue"/>
          </w:tcPr>
          <w:p>
            <w:pPr>
              <w:spacing w:after="0"/>
              <w:rPr>
                <w:sz w:val="14"/>
                <w:szCs w:val="14"/>
                <w:color w:val="auto"/>
              </w:rPr>
            </w:pPr>
          </w:p>
        </w:tc>
        <w:tc>
          <w:tcPr>
            <w:tcW w:w="1160" w:type="dxa"/>
            <w:vAlign w:val="bottom"/>
            <w:tcBorders>
              <w:bottom w:val="single" w:sz="8" w:color="auto"/>
            </w:tcBorders>
          </w:tcPr>
          <w:p>
            <w:pPr>
              <w:jc w:val="right"/>
              <w:ind w:right="100"/>
              <w:spacing w:after="0" w:line="145" w:lineRule="exact"/>
              <w:rPr>
                <w:sz w:val="20"/>
                <w:szCs w:val="20"/>
                <w:color w:val="auto"/>
              </w:rPr>
            </w:pPr>
            <w:r>
              <w:rPr>
                <w:rFonts w:ascii="Arial" w:cs="Arial" w:eastAsia="Arial" w:hAnsi="Arial"/>
                <w:sz w:val="13"/>
                <w:szCs w:val="13"/>
                <w:b w:val="1"/>
                <w:bCs w:val="1"/>
                <w:color w:val="auto"/>
              </w:rPr>
              <w:t>Target Award</w:t>
            </w:r>
          </w:p>
        </w:tc>
        <w:tc>
          <w:tcPr>
            <w:tcW w:w="900" w:type="dxa"/>
            <w:vAlign w:val="bottom"/>
          </w:tcPr>
          <w:p>
            <w:pPr>
              <w:spacing w:after="0"/>
              <w:rPr>
                <w:sz w:val="14"/>
                <w:szCs w:val="14"/>
                <w:color w:val="auto"/>
              </w:rPr>
            </w:pPr>
          </w:p>
        </w:tc>
        <w:tc>
          <w:tcPr>
            <w:tcW w:w="820" w:type="dxa"/>
            <w:vAlign w:val="bottom"/>
            <w:tcBorders>
              <w:bottom w:val="single" w:sz="8" w:color="auto"/>
            </w:tcBorders>
          </w:tcPr>
          <w:p>
            <w:pPr>
              <w:jc w:val="right"/>
              <w:ind w:right="82"/>
              <w:spacing w:after="0" w:line="145" w:lineRule="exact"/>
              <w:rPr>
                <w:sz w:val="20"/>
                <w:szCs w:val="20"/>
                <w:color w:val="auto"/>
              </w:rPr>
            </w:pPr>
            <w:r>
              <w:rPr>
                <w:rFonts w:ascii="Arial" w:cs="Arial" w:eastAsia="Arial" w:hAnsi="Arial"/>
                <w:sz w:val="13"/>
                <w:szCs w:val="13"/>
                <w:b w:val="1"/>
                <w:bCs w:val="1"/>
                <w:color w:val="auto"/>
              </w:rPr>
              <w:t>(Shares)</w:t>
            </w:r>
          </w:p>
        </w:tc>
        <w:tc>
          <w:tcPr>
            <w:tcW w:w="560" w:type="dxa"/>
            <w:vAlign w:val="bottom"/>
          </w:tcPr>
          <w:p>
            <w:pPr>
              <w:spacing w:after="0"/>
              <w:rPr>
                <w:sz w:val="14"/>
                <w:szCs w:val="14"/>
                <w:color w:val="auto"/>
              </w:rPr>
            </w:pPr>
          </w:p>
        </w:tc>
        <w:tc>
          <w:tcPr>
            <w:tcW w:w="80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500" w:type="dxa"/>
            <w:vAlign w:val="bottom"/>
            <w:gridSpan w:val="2"/>
          </w:tcPr>
          <w:p>
            <w:pPr>
              <w:spacing w:after="0" w:line="177" w:lineRule="exact"/>
              <w:rPr>
                <w:sz w:val="20"/>
                <w:szCs w:val="20"/>
                <w:color w:val="auto"/>
              </w:rPr>
            </w:pPr>
            <w:r>
              <w:rPr>
                <w:rFonts w:ascii="Arial" w:cs="Arial" w:eastAsia="Arial" w:hAnsi="Arial"/>
                <w:sz w:val="17"/>
                <w:szCs w:val="17"/>
                <w:color w:val="auto"/>
              </w:rPr>
              <w:t>Ms. Rosenfeld</w:t>
            </w:r>
          </w:p>
        </w:tc>
        <w:tc>
          <w:tcPr>
            <w:tcW w:w="2060" w:type="dxa"/>
            <w:vAlign w:val="bottom"/>
            <w:gridSpan w:val="2"/>
          </w:tcPr>
          <w:p>
            <w:pPr>
              <w:jc w:val="right"/>
              <w:ind w:right="900"/>
              <w:spacing w:after="0" w:line="177" w:lineRule="exact"/>
              <w:rPr>
                <w:sz w:val="20"/>
                <w:szCs w:val="20"/>
                <w:color w:val="auto"/>
              </w:rPr>
            </w:pPr>
            <w:r>
              <w:rPr>
                <w:rFonts w:ascii="Arial" w:cs="Arial" w:eastAsia="Arial" w:hAnsi="Arial"/>
                <w:sz w:val="17"/>
                <w:szCs w:val="17"/>
                <w:color w:val="auto"/>
              </w:rPr>
              <w:t>250% of salary</w:t>
            </w:r>
          </w:p>
        </w:tc>
        <w:tc>
          <w:tcPr>
            <w:tcW w:w="820" w:type="dxa"/>
            <w:vAlign w:val="bottom"/>
          </w:tcPr>
          <w:p>
            <w:pPr>
              <w:jc w:val="right"/>
              <w:ind w:right="82"/>
              <w:spacing w:after="0" w:line="177" w:lineRule="exact"/>
              <w:rPr>
                <w:sz w:val="20"/>
                <w:szCs w:val="20"/>
                <w:color w:val="auto"/>
              </w:rPr>
            </w:pPr>
            <w:r>
              <w:rPr>
                <w:rFonts w:ascii="Arial" w:cs="Arial" w:eastAsia="Arial" w:hAnsi="Arial"/>
                <w:sz w:val="17"/>
                <w:szCs w:val="17"/>
                <w:color w:val="auto"/>
              </w:rPr>
              <w:t>191,930</w:t>
            </w:r>
          </w:p>
        </w:tc>
        <w:tc>
          <w:tcPr>
            <w:tcW w:w="560" w:type="dxa"/>
            <w:vAlign w:val="bottom"/>
          </w:tcPr>
          <w:p>
            <w:pPr>
              <w:spacing w:after="0"/>
              <w:rPr>
                <w:sz w:val="15"/>
                <w:szCs w:val="15"/>
                <w:color w:val="auto"/>
              </w:rPr>
            </w:pPr>
          </w:p>
        </w:tc>
        <w:tc>
          <w:tcPr>
            <w:tcW w:w="800" w:type="dxa"/>
            <w:vAlign w:val="bottom"/>
          </w:tcPr>
          <w:p>
            <w:pPr>
              <w:jc w:val="right"/>
              <w:spacing w:after="0" w:line="177" w:lineRule="exact"/>
              <w:rPr>
                <w:sz w:val="20"/>
                <w:szCs w:val="20"/>
                <w:color w:val="auto"/>
              </w:rPr>
            </w:pPr>
            <w:r>
              <w:rPr>
                <w:rFonts w:ascii="Arial" w:cs="Arial" w:eastAsia="Arial" w:hAnsi="Arial"/>
                <w:sz w:val="17"/>
                <w:szCs w:val="17"/>
                <w:color w:val="auto"/>
              </w:rPr>
              <w:t>7,289,501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50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Brearton</w:t>
            </w:r>
          </w:p>
        </w:tc>
        <w:tc>
          <w:tcPr>
            <w:tcW w:w="2060" w:type="dxa"/>
            <w:vAlign w:val="bottom"/>
            <w:gridSpan w:val="2"/>
            <w:shd w:val="clear" w:color="auto" w:fill="D8D8D8"/>
          </w:tcPr>
          <w:p>
            <w:pPr>
              <w:jc w:val="right"/>
              <w:ind w:right="900"/>
              <w:spacing w:after="0" w:line="192" w:lineRule="exact"/>
              <w:rPr>
                <w:sz w:val="20"/>
                <w:szCs w:val="20"/>
                <w:color w:val="auto"/>
              </w:rPr>
            </w:pPr>
            <w:r>
              <w:rPr>
                <w:rFonts w:ascii="Arial" w:cs="Arial" w:eastAsia="Arial" w:hAnsi="Arial"/>
                <w:sz w:val="17"/>
                <w:szCs w:val="17"/>
                <w:color w:val="auto"/>
              </w:rPr>
              <w:t>75% of salary</w:t>
            </w:r>
          </w:p>
        </w:tc>
        <w:tc>
          <w:tcPr>
            <w:tcW w:w="820" w:type="dxa"/>
            <w:vAlign w:val="bottom"/>
            <w:shd w:val="clear" w:color="auto" w:fill="D8D8D8"/>
          </w:tcPr>
          <w:p>
            <w:pPr>
              <w:jc w:val="right"/>
              <w:ind w:right="82"/>
              <w:spacing w:after="0" w:line="192" w:lineRule="exact"/>
              <w:rPr>
                <w:sz w:val="20"/>
                <w:szCs w:val="20"/>
                <w:color w:val="auto"/>
              </w:rPr>
            </w:pPr>
            <w:r>
              <w:rPr>
                <w:rFonts w:ascii="Arial" w:cs="Arial" w:eastAsia="Arial" w:hAnsi="Arial"/>
                <w:sz w:val="17"/>
                <w:szCs w:val="17"/>
                <w:color w:val="auto"/>
              </w:rPr>
              <w:t>19,205</w:t>
            </w:r>
          </w:p>
        </w:tc>
        <w:tc>
          <w:tcPr>
            <w:tcW w:w="560" w:type="dxa"/>
            <w:vAlign w:val="bottom"/>
            <w:shd w:val="clear" w:color="auto" w:fill="D8D8D8"/>
          </w:tcPr>
          <w:p>
            <w:pPr>
              <w:spacing w:after="0"/>
              <w:rPr>
                <w:sz w:val="16"/>
                <w:szCs w:val="16"/>
                <w:color w:val="auto"/>
              </w:rPr>
            </w:pPr>
          </w:p>
        </w:tc>
        <w:tc>
          <w:tcPr>
            <w:tcW w:w="900" w:type="dxa"/>
            <w:vAlign w:val="bottom"/>
            <w:gridSpan w:val="2"/>
            <w:shd w:val="clear" w:color="auto" w:fill="D8D8D8"/>
          </w:tcPr>
          <w:p>
            <w:pPr>
              <w:jc w:val="right"/>
              <w:ind w:right="100"/>
              <w:spacing w:after="0" w:line="192" w:lineRule="exact"/>
              <w:rPr>
                <w:sz w:val="20"/>
                <w:szCs w:val="20"/>
                <w:color w:val="auto"/>
              </w:rPr>
            </w:pPr>
            <w:r>
              <w:rPr>
                <w:rFonts w:ascii="Arial" w:cs="Arial" w:eastAsia="Arial" w:hAnsi="Arial"/>
                <w:sz w:val="17"/>
                <w:szCs w:val="17"/>
                <w:color w:val="auto"/>
              </w:rPr>
              <w:t>729,406</w:t>
            </w:r>
          </w:p>
        </w:tc>
        <w:tc>
          <w:tcPr>
            <w:tcW w:w="0" w:type="dxa"/>
            <w:vAlign w:val="bottom"/>
          </w:tcPr>
          <w:p>
            <w:pPr>
              <w:spacing w:after="0"/>
              <w:rPr>
                <w:sz w:val="1"/>
                <w:szCs w:val="1"/>
                <w:color w:val="auto"/>
              </w:rPr>
            </w:pPr>
          </w:p>
        </w:tc>
      </w:tr>
      <w:tr>
        <w:trPr>
          <w:trHeight w:val="192"/>
        </w:trPr>
        <w:tc>
          <w:tcPr>
            <w:tcW w:w="2500" w:type="dxa"/>
            <w:vAlign w:val="bottom"/>
            <w:gridSpan w:val="2"/>
          </w:tcPr>
          <w:p>
            <w:pPr>
              <w:spacing w:after="0" w:line="192" w:lineRule="exact"/>
              <w:rPr>
                <w:sz w:val="20"/>
                <w:szCs w:val="20"/>
                <w:color w:val="auto"/>
              </w:rPr>
            </w:pPr>
            <w:r>
              <w:rPr>
                <w:rFonts w:ascii="Arial" w:cs="Arial" w:eastAsia="Arial" w:hAnsi="Arial"/>
                <w:sz w:val="17"/>
                <w:szCs w:val="17"/>
                <w:color w:val="auto"/>
              </w:rPr>
              <w:t>Mr. McLevish</w:t>
            </w:r>
          </w:p>
        </w:tc>
        <w:tc>
          <w:tcPr>
            <w:tcW w:w="2060" w:type="dxa"/>
            <w:vAlign w:val="bottom"/>
            <w:gridSpan w:val="2"/>
          </w:tcPr>
          <w:p>
            <w:pPr>
              <w:jc w:val="right"/>
              <w:ind w:right="900"/>
              <w:spacing w:after="0" w:line="192" w:lineRule="exact"/>
              <w:rPr>
                <w:sz w:val="20"/>
                <w:szCs w:val="20"/>
                <w:color w:val="auto"/>
              </w:rPr>
            </w:pPr>
            <w:r>
              <w:rPr>
                <w:rFonts w:ascii="Arial" w:cs="Arial" w:eastAsia="Arial" w:hAnsi="Arial"/>
                <w:sz w:val="17"/>
                <w:szCs w:val="17"/>
                <w:color w:val="auto"/>
              </w:rPr>
              <w:t>150% of salary</w:t>
            </w:r>
          </w:p>
        </w:tc>
        <w:tc>
          <w:tcPr>
            <w:tcW w:w="820" w:type="dxa"/>
            <w:vAlign w:val="bottom"/>
          </w:tcPr>
          <w:p>
            <w:pPr>
              <w:jc w:val="right"/>
              <w:ind w:right="82"/>
              <w:spacing w:after="0" w:line="192" w:lineRule="exact"/>
              <w:rPr>
                <w:sz w:val="20"/>
                <w:szCs w:val="20"/>
                <w:color w:val="auto"/>
              </w:rPr>
            </w:pPr>
            <w:r>
              <w:rPr>
                <w:rFonts w:ascii="Arial" w:cs="Arial" w:eastAsia="Arial" w:hAnsi="Arial"/>
                <w:sz w:val="17"/>
                <w:szCs w:val="17"/>
                <w:color w:val="auto"/>
              </w:rPr>
              <w:t>54,835</w:t>
            </w:r>
          </w:p>
        </w:tc>
        <w:tc>
          <w:tcPr>
            <w:tcW w:w="560" w:type="dxa"/>
            <w:vAlign w:val="bottom"/>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7"/>
                <w:szCs w:val="17"/>
                <w:color w:val="auto"/>
              </w:rPr>
              <w:t>2,082,633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0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Khosla</w:t>
            </w:r>
          </w:p>
        </w:tc>
        <w:tc>
          <w:tcPr>
            <w:tcW w:w="2060" w:type="dxa"/>
            <w:vAlign w:val="bottom"/>
            <w:gridSpan w:val="2"/>
            <w:shd w:val="clear" w:color="auto" w:fill="D8D8D8"/>
          </w:tcPr>
          <w:p>
            <w:pPr>
              <w:jc w:val="right"/>
              <w:ind w:right="900"/>
              <w:spacing w:after="0" w:line="192" w:lineRule="exact"/>
              <w:rPr>
                <w:sz w:val="20"/>
                <w:szCs w:val="20"/>
                <w:color w:val="auto"/>
              </w:rPr>
            </w:pPr>
            <w:r>
              <w:rPr>
                <w:rFonts w:ascii="Arial" w:cs="Arial" w:eastAsia="Arial" w:hAnsi="Arial"/>
                <w:sz w:val="17"/>
                <w:szCs w:val="17"/>
                <w:color w:val="auto"/>
              </w:rPr>
              <w:t>125% of salary</w:t>
            </w:r>
          </w:p>
        </w:tc>
        <w:tc>
          <w:tcPr>
            <w:tcW w:w="820" w:type="dxa"/>
            <w:vAlign w:val="bottom"/>
            <w:shd w:val="clear" w:color="auto" w:fill="D8D8D8"/>
          </w:tcPr>
          <w:p>
            <w:pPr>
              <w:jc w:val="right"/>
              <w:ind w:right="82"/>
              <w:spacing w:after="0" w:line="192" w:lineRule="exact"/>
              <w:rPr>
                <w:sz w:val="20"/>
                <w:szCs w:val="20"/>
                <w:color w:val="auto"/>
              </w:rPr>
            </w:pPr>
            <w:r>
              <w:rPr>
                <w:rFonts w:ascii="Arial" w:cs="Arial" w:eastAsia="Arial" w:hAnsi="Arial"/>
                <w:sz w:val="17"/>
                <w:szCs w:val="17"/>
                <w:color w:val="auto"/>
              </w:rPr>
              <w:t>47,010</w:t>
            </w:r>
          </w:p>
        </w:tc>
        <w:tc>
          <w:tcPr>
            <w:tcW w:w="560" w:type="dxa"/>
            <w:vAlign w:val="bottom"/>
            <w:shd w:val="clear" w:color="auto" w:fill="D8D8D8"/>
          </w:tcPr>
          <w:p>
            <w:pPr>
              <w:spacing w:after="0"/>
              <w:rPr>
                <w:sz w:val="16"/>
                <w:szCs w:val="16"/>
                <w:color w:val="auto"/>
              </w:rPr>
            </w:pPr>
          </w:p>
        </w:tc>
        <w:tc>
          <w:tcPr>
            <w:tcW w:w="8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1,785,440</w:t>
            </w:r>
          </w:p>
        </w:tc>
        <w:tc>
          <w:tcPr>
            <w:tcW w:w="1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00" w:type="dxa"/>
            <w:vAlign w:val="bottom"/>
            <w:gridSpan w:val="2"/>
          </w:tcPr>
          <w:p>
            <w:pPr>
              <w:spacing w:after="0" w:line="192" w:lineRule="exact"/>
              <w:rPr>
                <w:sz w:val="20"/>
                <w:szCs w:val="20"/>
                <w:color w:val="auto"/>
              </w:rPr>
            </w:pPr>
            <w:r>
              <w:rPr>
                <w:rFonts w:ascii="Arial" w:cs="Arial" w:eastAsia="Arial" w:hAnsi="Arial"/>
                <w:sz w:val="17"/>
                <w:szCs w:val="17"/>
                <w:color w:val="auto"/>
              </w:rPr>
              <w:t>Mr. Vernon</w:t>
            </w:r>
          </w:p>
        </w:tc>
        <w:tc>
          <w:tcPr>
            <w:tcW w:w="2060" w:type="dxa"/>
            <w:vAlign w:val="bottom"/>
            <w:gridSpan w:val="2"/>
          </w:tcPr>
          <w:p>
            <w:pPr>
              <w:jc w:val="right"/>
              <w:ind w:right="900"/>
              <w:spacing w:after="0" w:line="192" w:lineRule="exact"/>
              <w:rPr>
                <w:sz w:val="20"/>
                <w:szCs w:val="20"/>
                <w:color w:val="auto"/>
              </w:rPr>
            </w:pPr>
            <w:r>
              <w:rPr>
                <w:rFonts w:ascii="Arial" w:cs="Arial" w:eastAsia="Arial" w:hAnsi="Arial"/>
                <w:sz w:val="17"/>
                <w:szCs w:val="17"/>
                <w:color w:val="auto"/>
              </w:rPr>
              <w:t>150% of salary</w:t>
            </w:r>
          </w:p>
        </w:tc>
        <w:tc>
          <w:tcPr>
            <w:tcW w:w="820" w:type="dxa"/>
            <w:vAlign w:val="bottom"/>
          </w:tcPr>
          <w:p>
            <w:pPr>
              <w:jc w:val="right"/>
              <w:ind w:right="82"/>
              <w:spacing w:after="0" w:line="192" w:lineRule="exact"/>
              <w:rPr>
                <w:sz w:val="20"/>
                <w:szCs w:val="20"/>
                <w:color w:val="auto"/>
              </w:rPr>
            </w:pPr>
            <w:r>
              <w:rPr>
                <w:rFonts w:ascii="Arial" w:cs="Arial" w:eastAsia="Arial" w:hAnsi="Arial"/>
                <w:sz w:val="17"/>
                <w:szCs w:val="17"/>
                <w:color w:val="auto"/>
              </w:rPr>
              <w:t>56,795</w:t>
            </w:r>
          </w:p>
        </w:tc>
        <w:tc>
          <w:tcPr>
            <w:tcW w:w="560" w:type="dxa"/>
            <w:vAlign w:val="bottom"/>
          </w:tcPr>
          <w:p>
            <w:pPr>
              <w:spacing w:after="0"/>
              <w:rPr>
                <w:sz w:val="16"/>
                <w:szCs w:val="16"/>
                <w:color w:val="auto"/>
              </w:rPr>
            </w:pPr>
          </w:p>
        </w:tc>
        <w:tc>
          <w:tcPr>
            <w:tcW w:w="800" w:type="dxa"/>
            <w:vAlign w:val="bottom"/>
          </w:tcPr>
          <w:p>
            <w:pPr>
              <w:jc w:val="right"/>
              <w:spacing w:after="0" w:line="192" w:lineRule="exact"/>
              <w:rPr>
                <w:sz w:val="20"/>
                <w:szCs w:val="20"/>
                <w:color w:val="auto"/>
              </w:rPr>
            </w:pPr>
            <w:r>
              <w:rPr>
                <w:rFonts w:ascii="Arial" w:cs="Arial" w:eastAsia="Arial" w:hAnsi="Arial"/>
                <w:sz w:val="17"/>
                <w:szCs w:val="17"/>
                <w:color w:val="auto"/>
              </w:rPr>
              <w:t>2,157,074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0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Ms. West</w:t>
            </w:r>
          </w:p>
        </w:tc>
        <w:tc>
          <w:tcPr>
            <w:tcW w:w="2060" w:type="dxa"/>
            <w:vAlign w:val="bottom"/>
            <w:gridSpan w:val="2"/>
            <w:shd w:val="clear" w:color="auto" w:fill="D8D8D8"/>
          </w:tcPr>
          <w:p>
            <w:pPr>
              <w:jc w:val="right"/>
              <w:ind w:right="900"/>
              <w:spacing w:after="0" w:line="192" w:lineRule="exact"/>
              <w:rPr>
                <w:sz w:val="20"/>
                <w:szCs w:val="20"/>
                <w:color w:val="auto"/>
              </w:rPr>
            </w:pPr>
            <w:r>
              <w:rPr>
                <w:rFonts w:ascii="Arial" w:cs="Arial" w:eastAsia="Arial" w:hAnsi="Arial"/>
                <w:sz w:val="17"/>
                <w:szCs w:val="17"/>
                <w:color w:val="auto"/>
              </w:rPr>
              <w:t>75% of salary</w:t>
            </w:r>
          </w:p>
        </w:tc>
        <w:tc>
          <w:tcPr>
            <w:tcW w:w="820" w:type="dxa"/>
            <w:vAlign w:val="bottom"/>
            <w:shd w:val="clear" w:color="auto" w:fill="D8D8D8"/>
          </w:tcPr>
          <w:p>
            <w:pPr>
              <w:jc w:val="right"/>
              <w:ind w:right="82"/>
              <w:spacing w:after="0" w:line="192" w:lineRule="exact"/>
              <w:rPr>
                <w:sz w:val="20"/>
                <w:szCs w:val="20"/>
                <w:color w:val="auto"/>
              </w:rPr>
            </w:pPr>
            <w:r>
              <w:rPr>
                <w:rFonts w:ascii="Arial" w:cs="Arial" w:eastAsia="Arial" w:hAnsi="Arial"/>
                <w:sz w:val="17"/>
                <w:szCs w:val="17"/>
                <w:color w:val="auto"/>
              </w:rPr>
              <w:t>17,625</w:t>
            </w:r>
          </w:p>
        </w:tc>
        <w:tc>
          <w:tcPr>
            <w:tcW w:w="560" w:type="dxa"/>
            <w:vAlign w:val="bottom"/>
            <w:shd w:val="clear" w:color="auto" w:fill="D8D8D8"/>
          </w:tcPr>
          <w:p>
            <w:pPr>
              <w:spacing w:after="0"/>
              <w:rPr>
                <w:sz w:val="16"/>
                <w:szCs w:val="16"/>
                <w:color w:val="auto"/>
              </w:rPr>
            </w:pPr>
          </w:p>
        </w:tc>
        <w:tc>
          <w:tcPr>
            <w:tcW w:w="900" w:type="dxa"/>
            <w:vAlign w:val="bottom"/>
            <w:gridSpan w:val="2"/>
            <w:shd w:val="clear" w:color="auto" w:fill="D8D8D8"/>
          </w:tcPr>
          <w:p>
            <w:pPr>
              <w:jc w:val="right"/>
              <w:ind w:right="100"/>
              <w:spacing w:after="0" w:line="192" w:lineRule="exact"/>
              <w:rPr>
                <w:sz w:val="20"/>
                <w:szCs w:val="20"/>
                <w:color w:val="auto"/>
              </w:rPr>
            </w:pPr>
            <w:r>
              <w:rPr>
                <w:rFonts w:ascii="Arial" w:cs="Arial" w:eastAsia="Arial" w:hAnsi="Arial"/>
                <w:sz w:val="17"/>
                <w:szCs w:val="17"/>
                <w:color w:val="auto"/>
              </w:rPr>
              <w:t>669,398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64770</wp:posOffset>
            </wp:positionV>
            <wp:extent cx="7226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4" w:lineRule="exact"/>
        <w:rPr>
          <w:sz w:val="20"/>
          <w:szCs w:val="20"/>
          <w:color w:val="auto"/>
        </w:rPr>
      </w:pPr>
    </w:p>
    <w:p>
      <w:pPr>
        <w:ind w:right="4200" w:firstLine="335"/>
        <w:spacing w:after="0" w:line="413" w:lineRule="auto"/>
        <w:tabs>
          <w:tab w:leader="none" w:pos="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Award value is based on the closing stock price on February 23, 2012, the vesting date. </w:t>
      </w:r>
      <w:r>
        <w:rPr>
          <w:rFonts w:ascii="Arial" w:cs="Arial" w:eastAsia="Arial" w:hAnsi="Arial"/>
          <w:sz w:val="17"/>
          <w:szCs w:val="17"/>
          <w:u w:val="single" w:color="auto"/>
          <w:color w:val="auto"/>
        </w:rPr>
        <w:t>Voluntary Non-Qualified Deferred Compensation</w:t>
      </w:r>
    </w:p>
    <w:p>
      <w:pPr>
        <w:spacing w:after="0"/>
        <w:rPr>
          <w:sz w:val="20"/>
          <w:szCs w:val="20"/>
          <w:color w:val="auto"/>
        </w:rPr>
      </w:pPr>
      <w:r>
        <w:rPr>
          <w:rFonts w:ascii="Arial" w:cs="Arial" w:eastAsia="Arial" w:hAnsi="Arial"/>
          <w:sz w:val="17"/>
          <w:szCs w:val="17"/>
          <w:i w:val="1"/>
          <w:iCs w:val="1"/>
          <w:color w:val="auto"/>
        </w:rPr>
        <w:t>U.S. Deferred Compensation Plan</w:t>
      </w:r>
    </w:p>
    <w:p>
      <w:pPr>
        <w:spacing w:after="0" w:line="16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2011, certain U.S. senior management (approximately 125 employees), including our Named Executive Officers, were eligible for a voluntary non-qualified deferred compensation plan. The program is similar to those provided to executive officers at many of the companies within the Compensation Survey Group and is provided for retention and recruitment purposes. The deferred compensation plan provides an opportunity for executives to defer, on a pre-tax basis, up to 50% of their salary and up to 100% of their annual cash incentives. The investment choices mirror those in the Kraft Foods Inc. Thrift/TIP 401(k) Plan.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Supplemental Benefits Plan</w:t>
      </w:r>
    </w:p>
    <w:p>
      <w:pPr>
        <w:spacing w:after="0" w:line="168"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We also provide a non-qualified program, the Kraft Foods Supplemental Benefits Plan, for U.S. employees whose compensation exceeds the compensation limit established by the Internal Revenue Code of 1986, as amended (the “Code”), for tax-qualified plan contributions. Under this program, and consistent with all other U.S. employees, a company match is provided on contributions of base salary and annual cash incentives.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Perquisites</w:t>
      </w:r>
    </w:p>
    <w:p>
      <w:pPr>
        <w:spacing w:after="0" w:line="150"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Our Named Executive Officers receive limited perquisites, including a car allowance, a financial counseling allowance and, for the CEO only, personal use of the corporate aircraft. For security and personal safety reasons, we require Ms. Rosenfeld to use the corporate aircraft for both business and personal travel. This allows Ms. Rosenfeld to be more productive and efficient when she travels. Taxes on all perquisites are the sole responsibility of the Named Executive Officer. The types and total costs of perquisites we offer are similar to the types and costs offered within the Compensation Survey Group. The Committee believes that these perquisites are important for retention and recruitment purposes. Specific executive officer perquisites are listed in the footnotes to the 2011 Summary Compensation Table under “Executive Compensation Tables.” Other than these perquisites, executive officers receive the same benefits as other Kraft Foods employees.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Post-Termination Compensation</w:t>
      </w:r>
    </w:p>
    <w:p>
      <w:pPr>
        <w:spacing w:after="0" w:line="150"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Post-termination compensation consists of both separation pay and retirement benefits. We do not have employment agreements with any of our Named Executive Officers as these individuals, including Ms. Rosenfeld, are “at will” employees.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Control Plan</w:t>
      </w:r>
    </w:p>
    <w:p>
      <w:pPr>
        <w:spacing w:after="0" w:line="168" w:lineRule="exact"/>
        <w:rPr>
          <w:sz w:val="20"/>
          <w:szCs w:val="20"/>
          <w:color w:val="auto"/>
        </w:rPr>
      </w:pPr>
    </w:p>
    <w:p>
      <w:pPr>
        <w:ind w:right="860"/>
        <w:spacing w:after="0" w:line="241" w:lineRule="auto"/>
        <w:rPr>
          <w:sz w:val="20"/>
          <w:szCs w:val="20"/>
          <w:color w:val="auto"/>
        </w:rPr>
      </w:pPr>
      <w:r>
        <w:rPr>
          <w:rFonts w:ascii="Arial" w:cs="Arial" w:eastAsia="Arial" w:hAnsi="Arial"/>
          <w:sz w:val="17"/>
          <w:szCs w:val="17"/>
          <w:color w:val="auto"/>
        </w:rPr>
        <w:t>We have a Change in Control Plan (the “CIC Plan”) for senior executive officers. The provisions in the CIC Plan are consistent with similar plans maintained by companies in the Compensation Survey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443"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Group, including eligibility, severance benefit levels and treatment of cash and equity incentive compensation. The separation payments are structured to help assure that key personnel, including our Named Executive Officers, would be available to assist in the successful transition following a change in control and provide a competitive level of severance protection if the executive officer is involuntarily terminated without cause following a change in control. Under the CIC Plan, restricted stock and stock options only vest upon a change in control if the participant is terminated without cause or resigns for good reason within two years following the change in control or if the acquiring entity does not assume the awards (“double trigger”). In 2009, we eliminated the excise tax gross up for all executives who first become eligible to participate in the CIC Plan after December 31, 2009. For executives who participated in the CIC Plan prior to this change, Kraft Foods will cover excise taxes as follows: (a) all excise taxes that may be triggered by separation payments paid to the CEO; and (b) excise taxes for all other participants will only be paid if change in control separation payments exceed 110% of the IRS-imposed threshold at which the excise tax becomes payable. To the extent that separation payments do not exceed 110% of the threshold but do trigger excise tax payments, separation payments will be limited to the maximum amount that does not trigger the excise tax amounts. This is done to minimize our expense for separation payments that do not significantly exceed the IRS-imposed threshold.</w:t>
      </w:r>
    </w:p>
    <w:p>
      <w:pPr>
        <w:spacing w:after="0" w:line="139"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The severance arrangements and other benefits provided under the CIC Plan (as well as the equity treatment upon certain separations in the event of a change in control) are described under “Executive Compensation Tables – Potential Payments upon Termination or Change in Control.”</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Non-Change in Control Severance Agreements</w:t>
      </w:r>
    </w:p>
    <w:p>
      <w:pPr>
        <w:spacing w:after="0" w:line="168"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do not have individual severance or employment agreements with any of our Named Executive Officers. We do maintain a broad-based severance plan in the United States that provides for certain severance payments in the event of job elimination or a workforce reduction. Similar plans are generally available in other countries where we have employees. The plans facilitate recruitment and retention, as most of the companies in the Compensation Survey Group offer similar benefits to their executives. The severance arrangements and other benefits provided for under these severance plans are described under “Executive Compensation Tables – Potential Payments upon Termination or Change in Control.”</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Benefits</w:t>
      </w:r>
    </w:p>
    <w:p>
      <w:pPr>
        <w:spacing w:after="0" w:line="168"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We offer both tax-qualified and supplemental defined benefit retirement plans to executive officers, including our Named Executive Officers, with the exception of Mr. Vernon, and these plans vary by country. In the United States, employees, including Mr. Vernon, hired on or after January 1, 2009 are not eligible to participate in either a tax-qualified or supplemental defined benefit retirement plan. U.S. employees hired on or after January 1, 2009, including Mr. Vernon, are eligible to participate in an enhanced defined contribution program. The Committee believes that these retirement benefits have helped in retention and recruitment, as many of the companies in the Compensation Survey Group offer similar programs. However, in recent years, the Committee has weighed the volatile cost environment that exists for defined benefit plans, especially in the United States. Based on the significant cost volatility associated with continuing a defined benefit pension plan in the United States, the defined benefit plan was closed to new participants after December 31, 2008. In addition, accruals under the defined benefit pension plan will cease after 2019. Accrued amounts and additional details of these retirement programs are presented in the 2011 Pension Benefits Table and the accompanying narrative to the table under “Executive Compensation Tables.”</w:t>
      </w:r>
    </w:p>
    <w:p>
      <w:pPr>
        <w:spacing w:after="0" w:line="142" w:lineRule="exact"/>
        <w:rPr>
          <w:sz w:val="20"/>
          <w:szCs w:val="20"/>
          <w:color w:val="auto"/>
        </w:rPr>
      </w:pPr>
    </w:p>
    <w:p>
      <w:pPr>
        <w:ind w:right="300"/>
        <w:spacing w:after="0" w:line="237" w:lineRule="auto"/>
        <w:rPr>
          <w:sz w:val="20"/>
          <w:szCs w:val="20"/>
          <w:color w:val="auto"/>
        </w:rPr>
      </w:pPr>
      <w:r>
        <w:rPr>
          <w:rFonts w:ascii="Arial" w:cs="Arial" w:eastAsia="Arial" w:hAnsi="Arial"/>
          <w:sz w:val="17"/>
          <w:szCs w:val="17"/>
          <w:color w:val="auto"/>
        </w:rPr>
        <w:t>We provide Ms. Rosenfeld with an enhanced pension benefit that credits her pension service for the period of time that she was not employed by Kraft Foods between 2004 and 2006. We provided this enhanced pension benefit to Ms. Rosenfeld because she forfeited her right to a pension benefit at her previous employer when she rejoined Kraft Foods. This benefit was part of a broader incentive program to help encourage her to return to Kraft Foods. Additional details of this benefit are presented in the 2011 Pension Benefits Table and the accompanying narrative to the table under “Executive Compensation Tables.”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443"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Committee believes that both the U.S. tax-qualified and supplemental defined contribution plans are integral parts of our overall executive compensation program. The supplemental defined contribution program is important because it encourages executive officers, including our Named Executive Officers, to save for retirement. The Committee believes that our Named Executive Officers should be able to defer the same percentage of their compensation, and receive the corresponding Kraft Foods matching contributions, as all other employees, without regard to the compensation limit established by the Code, for tax-qualified plan contributions. As stated previously, employees hired on or after January 1, 2009, including Mr. Vernon, are eligible to participate in an enhanced defined contribution program. This enhanced program is offered to U.S. employees not eligible to participate in the tax-qualified or supplemental defined benefit plans. Accrued amounts and additional details of each of the non-qualified deferred compensation programs offered to Named Executive Officers are presented in the 2011 Non-Qualified Deferred Compensation Benefits Table and the accompanying narrative to the table under “Executive Compensation Tables.”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Paid to Named Executive Officers in 2011</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Overview</w:t>
      </w:r>
    </w:p>
    <w:p>
      <w:pPr>
        <w:spacing w:after="0" w:line="150"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There are no material differences in compensation policies with respect to each Named Executive Officer. We designed each of our Named Executive Officer’s target compensation levels to be at or near the Compensation Survey Group’s size-adjusted median. Actual compensation will be dependent on both business and individual performance in any given year.</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Below are the specific compensation actions for each of our Named Executive Officers in 2011.</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Ms. Rosenfeld</w:t>
      </w:r>
    </w:p>
    <w:p>
      <w:pPr>
        <w:spacing w:after="0" w:line="132"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i w:val="1"/>
          <w:iCs w:val="1"/>
          <w:color w:val="auto"/>
        </w:rPr>
        <w:t xml:space="preserve">Base Salary Increase. </w:t>
      </w:r>
      <w:r>
        <w:rPr>
          <w:rFonts w:ascii="Arial" w:cs="Arial" w:eastAsia="Arial" w:hAnsi="Arial"/>
          <w:sz w:val="17"/>
          <w:szCs w:val="17"/>
          <w:color w:val="auto"/>
        </w:rPr>
        <w:t>Ms. Rosenfeld received a 2.3% salary increase from $1.515 million to $1.550 million. Ms. Rosenfeld’s salary increase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commensurate with company guidelines for increases, taking into account her individual performance assessment. Her salary is below the size-adjusted median of the Compensation Survey Group.</w:t>
      </w:r>
    </w:p>
    <w:p>
      <w:pPr>
        <w:spacing w:after="0" w:line="121" w:lineRule="exact"/>
        <w:rPr>
          <w:sz w:val="20"/>
          <w:szCs w:val="20"/>
          <w:color w:val="auto"/>
        </w:rPr>
      </w:pPr>
    </w:p>
    <w:p>
      <w:pPr>
        <w:ind w:right="500"/>
        <w:spacing w:after="0" w:line="246" w:lineRule="auto"/>
        <w:rPr>
          <w:sz w:val="20"/>
          <w:szCs w:val="20"/>
          <w:color w:val="auto"/>
        </w:rPr>
      </w:pPr>
      <w:r>
        <w:rPr>
          <w:rFonts w:ascii="Arial" w:cs="Arial" w:eastAsia="Arial" w:hAnsi="Arial"/>
          <w:sz w:val="17"/>
          <w:szCs w:val="17"/>
          <w:i w:val="1"/>
          <w:iCs w:val="1"/>
          <w:color w:val="auto"/>
        </w:rPr>
        <w:t xml:space="preserve">Actual Annual Cash Incentive. </w:t>
      </w:r>
      <w:r>
        <w:rPr>
          <w:rFonts w:ascii="Arial" w:cs="Arial" w:eastAsia="Arial" w:hAnsi="Arial"/>
          <w:sz w:val="17"/>
          <w:szCs w:val="17"/>
          <w:color w:val="auto"/>
        </w:rPr>
        <w:t>The Committee determined Ms. Rosenfeld’s annual cash incentive for 2011 in accordance with the 2011 Annual Cash</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Program. Based on our performance relative to target (business unit rating of 130%) and Ms. Rosenfeld’s individual performance,</w:t>
      </w:r>
    </w:p>
    <w:p>
      <w:pPr>
        <w:spacing w:after="0" w:line="236" w:lineRule="auto"/>
        <w:rPr>
          <w:sz w:val="20"/>
          <w:szCs w:val="20"/>
          <w:color w:val="auto"/>
        </w:rPr>
      </w:pPr>
      <w:r>
        <w:rPr>
          <w:rFonts w:ascii="Arial" w:cs="Arial" w:eastAsia="Arial" w:hAnsi="Arial"/>
          <w:sz w:val="17"/>
          <w:szCs w:val="17"/>
          <w:color w:val="auto"/>
        </w:rPr>
        <w:t>Ms. Rosenfeld’s actual annual incentive is 182% of her target in 2011. For 2011, the Committee considered the following performance in determining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Ms. Rosenfeld’s individual performance assessment:</w:t>
      </w:r>
    </w:p>
    <w:p>
      <w:pPr>
        <w:spacing w:after="0" w:line="188" w:lineRule="exact"/>
        <w:rPr>
          <w:sz w:val="20"/>
          <w:szCs w:val="20"/>
          <w:color w:val="auto"/>
        </w:rPr>
      </w:pPr>
    </w:p>
    <w:p>
      <w:pPr>
        <w:ind w:left="880" w:right="340" w:hanging="315"/>
        <w:spacing w:after="0" w:line="239" w:lineRule="auto"/>
        <w:tabs>
          <w:tab w:leader="none" w:pos="8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Delivered strong financial performance relative to peers and in aggregate above targets in the Annual Cash Incentive Program. Financial performance was 130% relative to target as discussed under “ – Elements of Executive Compensation – Annual Cash Incentive Program – 2011 Business Unit Ratings” above.</w:t>
      </w:r>
    </w:p>
    <w:p>
      <w:pPr>
        <w:spacing w:after="0" w:line="68" w:lineRule="exact"/>
        <w:rPr>
          <w:rFonts w:ascii="Arial" w:cs="Arial" w:eastAsia="Arial" w:hAnsi="Arial"/>
          <w:sz w:val="17"/>
          <w:szCs w:val="17"/>
          <w:color w:val="auto"/>
        </w:rPr>
      </w:pPr>
    </w:p>
    <w:p>
      <w:pPr>
        <w:ind w:left="880" w:hanging="315"/>
        <w:spacing w:after="0"/>
        <w:tabs>
          <w:tab w:leader="none" w:pos="8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Delivered above plan performance on key strategic initiatives as evidenced by the following:</w:t>
      </w:r>
    </w:p>
    <w:p>
      <w:pPr>
        <w:spacing w:after="0" w:line="73" w:lineRule="exact"/>
        <w:rPr>
          <w:rFonts w:ascii="Arial" w:cs="Arial" w:eastAsia="Arial" w:hAnsi="Arial"/>
          <w:sz w:val="17"/>
          <w:szCs w:val="17"/>
          <w:color w:val="auto"/>
        </w:rPr>
      </w:pPr>
    </w:p>
    <w:p>
      <w:pPr>
        <w:ind w:left="1460" w:hanging="435"/>
        <w:spacing w:after="0" w:line="241" w:lineRule="auto"/>
        <w:rPr>
          <w:rFonts w:ascii="Arial" w:cs="Arial" w:eastAsia="Arial" w:hAnsi="Arial"/>
          <w:sz w:val="17"/>
          <w:szCs w:val="17"/>
          <w:color w:val="auto"/>
        </w:rPr>
      </w:pPr>
      <w:r>
        <w:rPr>
          <w:rFonts w:ascii="Arial" w:cs="Arial" w:eastAsia="Arial" w:hAnsi="Arial"/>
          <w:sz w:val="17"/>
          <w:szCs w:val="17"/>
          <w:color w:val="auto"/>
        </w:rPr>
        <w:t>–Relative Total Shareholder Return in 2011 of 22.7% exceeded the 75th percentile of our Performance Peer Group. This was the second consecutive year of results at or above the 75th percentile.</w:t>
      </w:r>
    </w:p>
    <w:p>
      <w:pPr>
        <w:spacing w:after="0" w:line="67"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Global market share improved in key categories.</w:t>
      </w:r>
    </w:p>
    <w:p>
      <w:pPr>
        <w:spacing w:after="0" w:line="73"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New product revenue results were strong in 2011.</w:t>
      </w:r>
    </w:p>
    <w:p>
      <w:pPr>
        <w:spacing w:after="0" w:line="73" w:lineRule="exact"/>
        <w:rPr>
          <w:rFonts w:ascii="Arial" w:cs="Arial" w:eastAsia="Arial" w:hAnsi="Arial"/>
          <w:sz w:val="17"/>
          <w:szCs w:val="17"/>
          <w:color w:val="auto"/>
        </w:rPr>
      </w:pPr>
    </w:p>
    <w:p>
      <w:pPr>
        <w:ind w:left="1460" w:right="220" w:hanging="435"/>
        <w:spacing w:after="0" w:line="241" w:lineRule="auto"/>
        <w:rPr>
          <w:rFonts w:ascii="Arial" w:cs="Arial" w:eastAsia="Arial" w:hAnsi="Arial"/>
          <w:sz w:val="17"/>
          <w:szCs w:val="17"/>
          <w:color w:val="auto"/>
        </w:rPr>
      </w:pPr>
      <w:r>
        <w:rPr>
          <w:rFonts w:ascii="Arial" w:cs="Arial" w:eastAsia="Arial" w:hAnsi="Arial"/>
          <w:sz w:val="17"/>
          <w:szCs w:val="17"/>
          <w:color w:val="auto"/>
        </w:rPr>
        <w:t>–Retention of Cadbury leaders and significant changes in the senior executive team improved the talent pipeline, key sales leadership roles were strengthened and diversity improved.</w:t>
      </w:r>
    </w:p>
    <w:p>
      <w:pPr>
        <w:spacing w:after="0" w:line="67" w:lineRule="exact"/>
        <w:rPr>
          <w:rFonts w:ascii="Arial" w:cs="Arial" w:eastAsia="Arial" w:hAnsi="Arial"/>
          <w:sz w:val="17"/>
          <w:szCs w:val="17"/>
          <w:color w:val="auto"/>
        </w:rPr>
      </w:pPr>
    </w:p>
    <w:p>
      <w:pPr>
        <w:ind w:left="1460" w:right="120" w:hanging="435"/>
        <w:spacing w:after="0" w:line="241" w:lineRule="auto"/>
        <w:rPr>
          <w:rFonts w:ascii="Arial" w:cs="Arial" w:eastAsia="Arial" w:hAnsi="Arial"/>
          <w:sz w:val="17"/>
          <w:szCs w:val="17"/>
          <w:color w:val="auto"/>
        </w:rPr>
      </w:pPr>
      <w:r>
        <w:rPr>
          <w:rFonts w:ascii="Arial" w:cs="Arial" w:eastAsia="Arial" w:hAnsi="Arial"/>
          <w:sz w:val="17"/>
          <w:szCs w:val="17"/>
          <w:color w:val="auto"/>
        </w:rPr>
        <w:t>–Delivery of Cadbury integration savings is ahead of plan. Savings are expected to exceed the original $750 million target by the end of 2012.</w:t>
      </w:r>
    </w:p>
    <w:p>
      <w:pPr>
        <w:spacing w:after="0" w:line="67" w:lineRule="exact"/>
        <w:rPr>
          <w:rFonts w:ascii="Arial" w:cs="Arial" w:eastAsia="Arial" w:hAnsi="Arial"/>
          <w:sz w:val="17"/>
          <w:szCs w:val="17"/>
          <w:color w:val="auto"/>
        </w:rPr>
      </w:pPr>
    </w:p>
    <w:p>
      <w:pPr>
        <w:ind w:left="102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Implementing the Spin-off strategy, while delivering top-tier results during the separation process.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43" w:right="2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i w:val="1"/>
          <w:iCs w:val="1"/>
          <w:color w:val="auto"/>
        </w:rPr>
        <w:t xml:space="preserve">Equity Award (Stock Options and Restricted Stock). </w:t>
      </w:r>
      <w:r>
        <w:rPr>
          <w:rFonts w:ascii="Arial" w:cs="Arial" w:eastAsia="Arial" w:hAnsi="Arial"/>
          <w:sz w:val="17"/>
          <w:szCs w:val="17"/>
          <w:color w:val="auto"/>
        </w:rPr>
        <w:t>As part of our annual equity program in 2011, the Committee granted Ms. Rosenfeld an award of</w:t>
      </w:r>
      <w:r>
        <w:rPr>
          <w:rFonts w:ascii="Arial" w:cs="Arial" w:eastAsia="Arial" w:hAnsi="Arial"/>
          <w:sz w:val="17"/>
          <w:szCs w:val="17"/>
          <w:i w:val="1"/>
          <w:iCs w:val="1"/>
          <w:color w:val="auto"/>
        </w:rPr>
        <w:t xml:space="preserve"> </w:t>
      </w:r>
      <w:r>
        <w:rPr>
          <w:rFonts w:ascii="Arial" w:cs="Arial" w:eastAsia="Arial" w:hAnsi="Arial"/>
          <w:sz w:val="17"/>
          <w:szCs w:val="17"/>
          <w:color w:val="auto"/>
        </w:rPr>
        <w:t>83,930 restricted stock shares and 503,570 stock options (combined value on grant date of $4,604,781). This equity grant along with the 2011 – 2013 LTIP opportunity is at the size-adjusted median of the Compensation Survey Group.</w:t>
      </w:r>
    </w:p>
    <w:p>
      <w:pPr>
        <w:spacing w:after="0" w:line="121"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i w:val="1"/>
          <w:iCs w:val="1"/>
          <w:color w:val="auto"/>
        </w:rPr>
        <w:t xml:space="preserve">2009 – 2011 LTIP. </w:t>
      </w:r>
      <w:r>
        <w:rPr>
          <w:rFonts w:ascii="Arial" w:cs="Arial" w:eastAsia="Arial" w:hAnsi="Arial"/>
          <w:sz w:val="17"/>
          <w:szCs w:val="17"/>
          <w:color w:val="auto"/>
        </w:rPr>
        <w:t>Based on the formulaic determination of this incentive, Ms. Rosenfeld earned 191,930 shares of Kraft Foods common stock,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represented 141% of her target award opportunity.</w:t>
      </w:r>
    </w:p>
    <w:p>
      <w:pPr>
        <w:spacing w:after="0" w:line="109"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i w:val="1"/>
          <w:iCs w:val="1"/>
          <w:color w:val="auto"/>
        </w:rPr>
        <w:t>Defined Benefit Accrual</w:t>
      </w:r>
      <w:r>
        <w:rPr>
          <w:rFonts w:ascii="Arial" w:cs="Arial" w:eastAsia="Arial" w:hAnsi="Arial"/>
          <w:sz w:val="17"/>
          <w:szCs w:val="17"/>
          <w:color w:val="auto"/>
        </w:rPr>
        <w:t>. The present value of Ms. Rosenfeld’s retirement benefit increased as measured at the end of 2011. A decrease in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rate was the primary factor contributing to $3.2 million of the increase, along with an increase in the final average pay calculation, which accounted for $2.3 million of the increase. In addition, there were normal increases in pension values due to length of service, which totaled approximately $0.7 million. There were no changes to the terms of the plan for Ms. Rosenfeld in 2011.</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Named Executive Officers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shows specific compensation actions for each of the other Named Executive Officers in 2011 followed by a description of these decisions: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6"/>
              </w:rPr>
              <w:t>2011</w:t>
            </w:r>
          </w:p>
        </w:tc>
        <w:tc>
          <w:tcPr>
            <w:tcW w:w="3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9"/>
              </w:rPr>
              <w:t>Annual</w:t>
            </w:r>
          </w:p>
        </w:tc>
        <w:tc>
          <w:tcPr>
            <w:tcW w:w="2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rPr>
              <w:t>Cash</w:t>
            </w:r>
          </w:p>
        </w:tc>
        <w:tc>
          <w:tcPr>
            <w:tcW w:w="20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rPr>
              <w:t>New</w:t>
            </w:r>
          </w:p>
        </w:tc>
        <w:tc>
          <w:tcPr>
            <w:tcW w:w="120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9"/>
              </w:rPr>
              <w:t>Incentive</w:t>
            </w:r>
          </w:p>
        </w:tc>
        <w:tc>
          <w:tcPr>
            <w:tcW w:w="204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2011 Equity Award</w:t>
            </w:r>
          </w:p>
        </w:tc>
        <w:tc>
          <w:tcPr>
            <w:tcW w:w="138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2009 –2011 LTIP</w:t>
            </w:r>
            <w:r>
              <w:rPr>
                <w:rFonts w:ascii="Arial" w:cs="Arial" w:eastAsia="Arial" w:hAnsi="Arial"/>
                <w:sz w:val="21"/>
                <w:szCs w:val="21"/>
                <w:b w:val="1"/>
                <w:bCs w:val="1"/>
                <w:color w:val="auto"/>
                <w:w w:val="93"/>
                <w:vertAlign w:val="superscript"/>
              </w:rPr>
              <w:t>(1)</w:t>
            </w:r>
          </w:p>
        </w:tc>
        <w:tc>
          <w:tcPr>
            <w:tcW w:w="0" w:type="dxa"/>
            <w:vAlign w:val="bottom"/>
          </w:tcPr>
          <w:p>
            <w:pPr>
              <w:spacing w:after="0"/>
              <w:rPr>
                <w:sz w:val="1"/>
                <w:szCs w:val="1"/>
                <w:color w:val="auto"/>
              </w:rPr>
            </w:pPr>
          </w:p>
        </w:tc>
      </w:tr>
      <w:tr>
        <w:trPr>
          <w:trHeight w:val="132"/>
        </w:trPr>
        <w:tc>
          <w:tcPr>
            <w:tcW w:w="3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2"/>
          </w:tcPr>
          <w:p>
            <w:pPr>
              <w:jc w:val="center"/>
              <w:ind w:right="340"/>
              <w:spacing w:after="0" w:line="132" w:lineRule="exact"/>
              <w:rPr>
                <w:sz w:val="20"/>
                <w:szCs w:val="20"/>
                <w:color w:val="auto"/>
              </w:rPr>
            </w:pPr>
            <w:r>
              <w:rPr>
                <w:rFonts w:ascii="Arial" w:cs="Arial" w:eastAsia="Arial" w:hAnsi="Arial"/>
                <w:sz w:val="13"/>
                <w:szCs w:val="13"/>
                <w:b w:val="1"/>
                <w:bCs w:val="1"/>
                <w:color w:val="auto"/>
                <w:w w:val="97"/>
              </w:rPr>
              <w:t>Salary</w:t>
            </w:r>
          </w:p>
        </w:tc>
        <w:tc>
          <w:tcPr>
            <w:tcW w:w="1040" w:type="dxa"/>
            <w:vAlign w:val="bottom"/>
            <w:gridSpan w:val="2"/>
          </w:tcPr>
          <w:p>
            <w:pPr>
              <w:jc w:val="center"/>
              <w:ind w:right="320"/>
              <w:spacing w:after="0" w:line="132" w:lineRule="exact"/>
              <w:rPr>
                <w:sz w:val="20"/>
                <w:szCs w:val="20"/>
                <w:color w:val="auto"/>
              </w:rPr>
            </w:pPr>
            <w:r>
              <w:rPr>
                <w:rFonts w:ascii="Arial" w:cs="Arial" w:eastAsia="Arial" w:hAnsi="Arial"/>
                <w:sz w:val="13"/>
                <w:szCs w:val="13"/>
                <w:b w:val="1"/>
                <w:bCs w:val="1"/>
                <w:color w:val="auto"/>
              </w:rPr>
              <w:t>Salary</w:t>
            </w:r>
          </w:p>
        </w:tc>
        <w:tc>
          <w:tcPr>
            <w:tcW w:w="1200" w:type="dxa"/>
            <w:vAlign w:val="bottom"/>
            <w:gridSpan w:val="2"/>
          </w:tcPr>
          <w:p>
            <w:pPr>
              <w:jc w:val="center"/>
              <w:ind w:right="320"/>
              <w:spacing w:after="0" w:line="132" w:lineRule="exact"/>
              <w:rPr>
                <w:sz w:val="20"/>
                <w:szCs w:val="20"/>
                <w:color w:val="auto"/>
              </w:rPr>
            </w:pPr>
            <w:r>
              <w:rPr>
                <w:rFonts w:ascii="Arial" w:cs="Arial" w:eastAsia="Arial" w:hAnsi="Arial"/>
                <w:sz w:val="13"/>
                <w:szCs w:val="13"/>
                <w:b w:val="1"/>
                <w:bCs w:val="1"/>
                <w:color w:val="auto"/>
                <w:w w:val="95"/>
              </w:rPr>
              <w:t>Payment</w:t>
            </w:r>
          </w:p>
        </w:tc>
        <w:tc>
          <w:tcPr>
            <w:tcW w:w="204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Increase</w:t>
            </w:r>
          </w:p>
        </w:tc>
        <w:tc>
          <w:tcPr>
            <w:tcW w:w="32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5"/>
                <w:szCs w:val="15"/>
                <w:color w:val="auto"/>
              </w:rPr>
            </w:pPr>
          </w:p>
        </w:tc>
        <w:tc>
          <w:tcPr>
            <w:tcW w:w="204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(Shares)</w:t>
            </w:r>
          </w:p>
        </w:tc>
        <w:tc>
          <w:tcPr>
            <w:tcW w:w="13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(Shares)</w:t>
            </w:r>
          </w:p>
        </w:tc>
        <w:tc>
          <w:tcPr>
            <w:tcW w:w="0" w:type="dxa"/>
            <w:vAlign w:val="bottom"/>
          </w:tcPr>
          <w:p>
            <w:pPr>
              <w:spacing w:after="0"/>
              <w:rPr>
                <w:sz w:val="1"/>
                <w:szCs w:val="1"/>
                <w:color w:val="auto"/>
              </w:rPr>
            </w:pPr>
          </w:p>
        </w:tc>
      </w:tr>
      <w:tr>
        <w:trPr>
          <w:trHeight w:val="180"/>
        </w:trPr>
        <w:tc>
          <w:tcPr>
            <w:tcW w:w="3200" w:type="dxa"/>
            <w:vAlign w:val="bottom"/>
          </w:tcPr>
          <w:p>
            <w:pPr>
              <w:spacing w:after="0" w:line="180" w:lineRule="exact"/>
              <w:rPr>
                <w:sz w:val="20"/>
                <w:szCs w:val="20"/>
                <w:color w:val="auto"/>
              </w:rPr>
            </w:pPr>
            <w:r>
              <w:rPr>
                <w:rFonts w:ascii="Arial" w:cs="Arial" w:eastAsia="Arial" w:hAnsi="Arial"/>
                <w:sz w:val="17"/>
                <w:szCs w:val="17"/>
                <w:color w:val="auto"/>
              </w:rPr>
              <w:t>Mr. Brearton</w:t>
            </w:r>
          </w:p>
        </w:tc>
        <w:tc>
          <w:tcPr>
            <w:tcW w:w="940" w:type="dxa"/>
            <w:vAlign w:val="bottom"/>
            <w:gridSpan w:val="2"/>
          </w:tcPr>
          <w:p>
            <w:pPr>
              <w:jc w:val="center"/>
              <w:ind w:left="237"/>
              <w:spacing w:after="0" w:line="180" w:lineRule="exact"/>
              <w:rPr>
                <w:sz w:val="20"/>
                <w:szCs w:val="20"/>
                <w:color w:val="auto"/>
              </w:rPr>
            </w:pPr>
            <w:r>
              <w:rPr>
                <w:rFonts w:ascii="Arial" w:cs="Arial" w:eastAsia="Arial" w:hAnsi="Arial"/>
                <w:sz w:val="17"/>
                <w:szCs w:val="17"/>
                <w:color w:val="auto"/>
                <w:w w:val="95"/>
              </w:rPr>
              <w:t>28.7%</w:t>
            </w:r>
          </w:p>
        </w:tc>
        <w:tc>
          <w:tcPr>
            <w:tcW w:w="320" w:type="dxa"/>
            <w:vAlign w:val="bottom"/>
          </w:tcPr>
          <w:p>
            <w:pPr>
              <w:spacing w:after="0"/>
              <w:rPr>
                <w:sz w:val="15"/>
                <w:szCs w:val="15"/>
                <w:color w:val="auto"/>
              </w:rPr>
            </w:pPr>
          </w:p>
        </w:tc>
        <w:tc>
          <w:tcPr>
            <w:tcW w:w="720" w:type="dxa"/>
            <w:vAlign w:val="bottom"/>
          </w:tcPr>
          <w:p>
            <w:pPr>
              <w:jc w:val="center"/>
              <w:spacing w:after="0" w:line="180" w:lineRule="exact"/>
              <w:rPr>
                <w:sz w:val="20"/>
                <w:szCs w:val="20"/>
                <w:color w:val="auto"/>
              </w:rPr>
            </w:pPr>
            <w:r>
              <w:rPr>
                <w:rFonts w:ascii="Arial" w:cs="Arial" w:eastAsia="Arial" w:hAnsi="Arial"/>
                <w:sz w:val="17"/>
                <w:szCs w:val="17"/>
                <w:color w:val="auto"/>
                <w:w w:val="97"/>
              </w:rPr>
              <w:t>650,000</w:t>
            </w:r>
          </w:p>
        </w:tc>
        <w:tc>
          <w:tcPr>
            <w:tcW w:w="320" w:type="dxa"/>
            <w:vAlign w:val="bottom"/>
          </w:tcPr>
          <w:p>
            <w:pPr>
              <w:spacing w:after="0"/>
              <w:rPr>
                <w:sz w:val="15"/>
                <w:szCs w:val="15"/>
                <w:color w:val="auto"/>
              </w:rPr>
            </w:pPr>
          </w:p>
        </w:tc>
        <w:tc>
          <w:tcPr>
            <w:tcW w:w="880" w:type="dxa"/>
            <w:vAlign w:val="bottom"/>
          </w:tcPr>
          <w:p>
            <w:pPr>
              <w:jc w:val="center"/>
              <w:spacing w:after="0" w:line="180" w:lineRule="exact"/>
              <w:rPr>
                <w:sz w:val="20"/>
                <w:szCs w:val="20"/>
                <w:color w:val="auto"/>
              </w:rPr>
            </w:pPr>
            <w:r>
              <w:rPr>
                <w:rFonts w:ascii="Arial" w:cs="Arial" w:eastAsia="Arial" w:hAnsi="Arial"/>
                <w:sz w:val="17"/>
                <w:szCs w:val="17"/>
                <w:color w:val="auto"/>
                <w:w w:val="97"/>
              </w:rPr>
              <w:t>742,900</w:t>
            </w:r>
          </w:p>
        </w:tc>
        <w:tc>
          <w:tcPr>
            <w:tcW w:w="320" w:type="dxa"/>
            <w:vAlign w:val="bottom"/>
          </w:tcPr>
          <w:p>
            <w:pPr>
              <w:spacing w:after="0"/>
              <w:rPr>
                <w:sz w:val="15"/>
                <w:szCs w:val="15"/>
                <w:color w:val="auto"/>
              </w:rPr>
            </w:pPr>
          </w:p>
        </w:tc>
        <w:tc>
          <w:tcPr>
            <w:tcW w:w="2040" w:type="dxa"/>
            <w:vAlign w:val="bottom"/>
          </w:tcPr>
          <w:p>
            <w:pPr>
              <w:spacing w:after="0" w:line="180" w:lineRule="exact"/>
              <w:rPr>
                <w:sz w:val="20"/>
                <w:szCs w:val="20"/>
                <w:color w:val="auto"/>
              </w:rPr>
            </w:pPr>
            <w:r>
              <w:rPr>
                <w:rFonts w:ascii="Arial" w:cs="Arial" w:eastAsia="Arial" w:hAnsi="Arial"/>
                <w:sz w:val="17"/>
                <w:szCs w:val="17"/>
                <w:b w:val="1"/>
                <w:bCs w:val="1"/>
                <w:i w:val="1"/>
                <w:iCs w:val="1"/>
                <w:color w:val="auto"/>
              </w:rPr>
              <w:t>February 23, 2011 award</w:t>
            </w:r>
          </w:p>
        </w:tc>
        <w:tc>
          <w:tcPr>
            <w:tcW w:w="2680" w:type="dxa"/>
            <w:vAlign w:val="bottom"/>
            <w:gridSpan w:val="2"/>
          </w:tcPr>
          <w:p>
            <w:pPr>
              <w:jc w:val="center"/>
              <w:ind w:left="1297"/>
              <w:spacing w:after="0" w:line="180" w:lineRule="exact"/>
              <w:rPr>
                <w:sz w:val="20"/>
                <w:szCs w:val="20"/>
                <w:color w:val="auto"/>
              </w:rPr>
            </w:pPr>
            <w:r>
              <w:rPr>
                <w:rFonts w:ascii="Arial" w:cs="Arial" w:eastAsia="Arial" w:hAnsi="Arial"/>
                <w:sz w:val="17"/>
                <w:szCs w:val="17"/>
                <w:color w:val="auto"/>
                <w:w w:val="96"/>
              </w:rPr>
              <w:t>19,205</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tcPr>
          <w:p>
            <w:pPr>
              <w:spacing w:after="0" w:line="192" w:lineRule="exact"/>
              <w:rPr>
                <w:sz w:val="20"/>
                <w:szCs w:val="20"/>
                <w:color w:val="auto"/>
              </w:rPr>
            </w:pPr>
            <w:r>
              <w:rPr>
                <w:rFonts w:ascii="Arial" w:cs="Arial" w:eastAsia="Arial" w:hAnsi="Arial"/>
                <w:sz w:val="17"/>
                <w:szCs w:val="17"/>
                <w:color w:val="auto"/>
              </w:rPr>
              <w:t>7,860 restricted stock</w:t>
            </w:r>
          </w:p>
        </w:tc>
        <w:tc>
          <w:tcPr>
            <w:tcW w:w="1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tcPr>
          <w:p>
            <w:pPr>
              <w:spacing w:after="0" w:line="172" w:lineRule="exact"/>
              <w:rPr>
                <w:sz w:val="20"/>
                <w:szCs w:val="20"/>
                <w:color w:val="auto"/>
              </w:rPr>
            </w:pPr>
            <w:r>
              <w:rPr>
                <w:rFonts w:ascii="Arial" w:cs="Arial" w:eastAsia="Arial" w:hAnsi="Arial"/>
                <w:sz w:val="17"/>
                <w:szCs w:val="17"/>
                <w:color w:val="auto"/>
              </w:rPr>
              <w:t>47,140 stock options</w:t>
            </w:r>
          </w:p>
        </w:tc>
        <w:tc>
          <w:tcPr>
            <w:tcW w:w="1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7"/>
                <w:szCs w:val="17"/>
                <w:b w:val="1"/>
                <w:bCs w:val="1"/>
                <w:i w:val="1"/>
                <w:iCs w:val="1"/>
                <w:color w:val="auto"/>
              </w:rPr>
              <w:t>May 9, 2011 award</w:t>
            </w:r>
          </w:p>
        </w:tc>
        <w:tc>
          <w:tcPr>
            <w:tcW w:w="1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tcPr>
          <w:p>
            <w:pPr>
              <w:spacing w:after="0" w:line="192" w:lineRule="exact"/>
              <w:rPr>
                <w:sz w:val="20"/>
                <w:szCs w:val="20"/>
                <w:color w:val="auto"/>
              </w:rPr>
            </w:pPr>
            <w:r>
              <w:rPr>
                <w:rFonts w:ascii="Arial" w:cs="Arial" w:eastAsia="Arial" w:hAnsi="Arial"/>
                <w:sz w:val="17"/>
                <w:szCs w:val="17"/>
                <w:color w:val="auto"/>
              </w:rPr>
              <w:t>5,900 restricted stock</w:t>
            </w:r>
          </w:p>
        </w:tc>
        <w:tc>
          <w:tcPr>
            <w:tcW w:w="1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35,350 stock options</w:t>
            </w:r>
          </w:p>
        </w:tc>
        <w:tc>
          <w:tcPr>
            <w:tcW w:w="1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Mr. McLevish</w:t>
            </w:r>
          </w:p>
        </w:tc>
        <w:tc>
          <w:tcPr>
            <w:tcW w:w="940" w:type="dxa"/>
            <w:vAlign w:val="bottom"/>
            <w:gridSpan w:val="2"/>
            <w:shd w:val="clear" w:color="auto" w:fill="D8D8D8"/>
          </w:tcPr>
          <w:p>
            <w:pPr>
              <w:jc w:val="center"/>
              <w:ind w:left="237"/>
              <w:spacing w:after="0" w:line="192" w:lineRule="exact"/>
              <w:rPr>
                <w:sz w:val="20"/>
                <w:szCs w:val="20"/>
                <w:color w:val="auto"/>
              </w:rPr>
            </w:pPr>
            <w:r>
              <w:rPr>
                <w:rFonts w:ascii="Arial" w:cs="Arial" w:eastAsia="Arial" w:hAnsi="Arial"/>
                <w:sz w:val="17"/>
                <w:szCs w:val="17"/>
                <w:color w:val="auto"/>
                <w:w w:val="97"/>
              </w:rPr>
              <w:t>1.5%</w:t>
            </w:r>
          </w:p>
        </w:tc>
        <w:tc>
          <w:tcPr>
            <w:tcW w:w="320" w:type="dxa"/>
            <w:vAlign w:val="bottom"/>
            <w:shd w:val="clear" w:color="auto" w:fill="D8D8D8"/>
          </w:tcPr>
          <w:p>
            <w:pPr>
              <w:spacing w:after="0"/>
              <w:rPr>
                <w:sz w:val="16"/>
                <w:szCs w:val="16"/>
                <w:color w:val="auto"/>
              </w:rPr>
            </w:pPr>
          </w:p>
        </w:tc>
        <w:tc>
          <w:tcPr>
            <w:tcW w:w="7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7"/>
              </w:rPr>
              <w:t>761,000</w:t>
            </w:r>
          </w:p>
        </w:tc>
        <w:tc>
          <w:tcPr>
            <w:tcW w:w="320" w:type="dxa"/>
            <w:vAlign w:val="bottom"/>
            <w:shd w:val="clear" w:color="auto" w:fill="D8D8D8"/>
          </w:tcPr>
          <w:p>
            <w:pPr>
              <w:spacing w:after="0"/>
              <w:rPr>
                <w:sz w:val="16"/>
                <w:szCs w:val="16"/>
                <w:color w:val="auto"/>
              </w:rPr>
            </w:pPr>
          </w:p>
        </w:tc>
        <w:tc>
          <w:tcPr>
            <w:tcW w:w="88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7"/>
              </w:rPr>
              <w:t>980,000</w:t>
            </w:r>
          </w:p>
        </w:tc>
        <w:tc>
          <w:tcPr>
            <w:tcW w:w="320" w:type="dxa"/>
            <w:vAlign w:val="bottom"/>
            <w:shd w:val="clear" w:color="auto" w:fill="D8D8D8"/>
          </w:tcPr>
          <w:p>
            <w:pPr>
              <w:spacing w:after="0"/>
              <w:rPr>
                <w:sz w:val="16"/>
                <w:szCs w:val="16"/>
                <w:color w:val="auto"/>
              </w:rPr>
            </w:pPr>
          </w:p>
        </w:tc>
        <w:tc>
          <w:tcPr>
            <w:tcW w:w="204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23,570 restricted stock</w:t>
            </w:r>
          </w:p>
        </w:tc>
        <w:tc>
          <w:tcPr>
            <w:tcW w:w="2680" w:type="dxa"/>
            <w:vAlign w:val="bottom"/>
            <w:gridSpan w:val="2"/>
            <w:shd w:val="clear" w:color="auto" w:fill="D8D8D8"/>
          </w:tcPr>
          <w:p>
            <w:pPr>
              <w:jc w:val="center"/>
              <w:ind w:left="1297"/>
              <w:spacing w:after="0" w:line="192" w:lineRule="exact"/>
              <w:rPr>
                <w:sz w:val="20"/>
                <w:szCs w:val="20"/>
                <w:color w:val="auto"/>
              </w:rPr>
            </w:pPr>
            <w:r>
              <w:rPr>
                <w:rFonts w:ascii="Arial" w:cs="Arial" w:eastAsia="Arial" w:hAnsi="Arial"/>
                <w:sz w:val="17"/>
                <w:szCs w:val="17"/>
                <w:color w:val="auto"/>
                <w:w w:val="96"/>
              </w:rPr>
              <w:t>54,835</w:t>
            </w:r>
          </w:p>
        </w:tc>
        <w:tc>
          <w:tcPr>
            <w:tcW w:w="0" w:type="dxa"/>
            <w:vAlign w:val="bottom"/>
          </w:tcPr>
          <w:p>
            <w:pPr>
              <w:spacing w:after="0"/>
              <w:rPr>
                <w:sz w:val="1"/>
                <w:szCs w:val="1"/>
                <w:color w:val="auto"/>
              </w:rPr>
            </w:pPr>
          </w:p>
        </w:tc>
      </w:tr>
      <w:tr>
        <w:trPr>
          <w:trHeight w:val="192"/>
        </w:trPr>
        <w:tc>
          <w:tcPr>
            <w:tcW w:w="3200" w:type="dxa"/>
            <w:vAlign w:val="bottom"/>
            <w:shd w:val="clear" w:color="auto" w:fill="D8D8D8"/>
          </w:tcPr>
          <w:p>
            <w:pPr>
              <w:spacing w:after="0"/>
              <w:rPr>
                <w:sz w:val="16"/>
                <w:szCs w:val="16"/>
                <w:color w:val="auto"/>
              </w:rPr>
            </w:pPr>
          </w:p>
        </w:tc>
        <w:tc>
          <w:tcPr>
            <w:tcW w:w="340" w:type="dxa"/>
            <w:vAlign w:val="bottom"/>
            <w:shd w:val="clear" w:color="auto" w:fill="D8D8D8"/>
          </w:tcPr>
          <w:p>
            <w:pPr>
              <w:spacing w:after="0"/>
              <w:rPr>
                <w:sz w:val="16"/>
                <w:szCs w:val="16"/>
                <w:color w:val="auto"/>
              </w:rPr>
            </w:pPr>
          </w:p>
        </w:tc>
        <w:tc>
          <w:tcPr>
            <w:tcW w:w="60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72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88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204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141,400 stock options</w:t>
            </w:r>
          </w:p>
        </w:tc>
        <w:tc>
          <w:tcPr>
            <w:tcW w:w="1380" w:type="dxa"/>
            <w:vAlign w:val="bottom"/>
            <w:shd w:val="clear" w:color="auto" w:fill="D8D8D8"/>
          </w:tcPr>
          <w:p>
            <w:pPr>
              <w:spacing w:after="0"/>
              <w:rPr>
                <w:sz w:val="16"/>
                <w:szCs w:val="16"/>
                <w:color w:val="auto"/>
              </w:rPr>
            </w:pPr>
          </w:p>
        </w:tc>
        <w:tc>
          <w:tcPr>
            <w:tcW w:w="13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7"/>
                <w:szCs w:val="17"/>
                <w:color w:val="auto"/>
              </w:rPr>
              <w:t>Mr. Khosla</w:t>
            </w:r>
          </w:p>
        </w:tc>
        <w:tc>
          <w:tcPr>
            <w:tcW w:w="940" w:type="dxa"/>
            <w:vAlign w:val="bottom"/>
            <w:gridSpan w:val="2"/>
          </w:tcPr>
          <w:p>
            <w:pPr>
              <w:jc w:val="center"/>
              <w:ind w:left="237"/>
              <w:spacing w:after="0"/>
              <w:rPr>
                <w:sz w:val="20"/>
                <w:szCs w:val="20"/>
                <w:color w:val="auto"/>
              </w:rPr>
            </w:pPr>
            <w:r>
              <w:rPr>
                <w:rFonts w:ascii="Arial" w:cs="Arial" w:eastAsia="Arial" w:hAnsi="Arial"/>
                <w:sz w:val="17"/>
                <w:szCs w:val="17"/>
                <w:color w:val="auto"/>
                <w:w w:val="97"/>
              </w:rPr>
              <w:t>2.0%</w:t>
            </w:r>
          </w:p>
        </w:tc>
        <w:tc>
          <w:tcPr>
            <w:tcW w:w="3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7"/>
              </w:rPr>
              <w:t>755,000</w:t>
            </w:r>
          </w:p>
        </w:tc>
        <w:tc>
          <w:tcPr>
            <w:tcW w:w="3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7"/>
              </w:rPr>
              <w:t>1,036,000</w:t>
            </w:r>
          </w:p>
        </w:tc>
        <w:tc>
          <w:tcPr>
            <w:tcW w:w="3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15,720 restricted stock</w:t>
            </w:r>
          </w:p>
        </w:tc>
        <w:tc>
          <w:tcPr>
            <w:tcW w:w="2680" w:type="dxa"/>
            <w:vAlign w:val="bottom"/>
            <w:gridSpan w:val="2"/>
          </w:tcPr>
          <w:p>
            <w:pPr>
              <w:jc w:val="center"/>
              <w:ind w:left="1297"/>
              <w:spacing w:after="0"/>
              <w:rPr>
                <w:sz w:val="20"/>
                <w:szCs w:val="20"/>
                <w:color w:val="auto"/>
              </w:rPr>
            </w:pPr>
            <w:r>
              <w:rPr>
                <w:rFonts w:ascii="Arial" w:cs="Arial" w:eastAsia="Arial" w:hAnsi="Arial"/>
                <w:sz w:val="17"/>
                <w:szCs w:val="17"/>
                <w:color w:val="auto"/>
                <w:w w:val="96"/>
              </w:rPr>
              <w:t>47,010</w:t>
            </w: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94,720 stock options</w:t>
            </w:r>
          </w:p>
        </w:tc>
        <w:tc>
          <w:tcPr>
            <w:tcW w:w="1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0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Mr. Vernon</w:t>
            </w:r>
          </w:p>
        </w:tc>
        <w:tc>
          <w:tcPr>
            <w:tcW w:w="940" w:type="dxa"/>
            <w:vAlign w:val="bottom"/>
            <w:gridSpan w:val="2"/>
            <w:shd w:val="clear" w:color="auto" w:fill="D8D8D8"/>
          </w:tcPr>
          <w:p>
            <w:pPr>
              <w:jc w:val="center"/>
              <w:ind w:left="237"/>
              <w:spacing w:after="0" w:line="192" w:lineRule="exact"/>
              <w:rPr>
                <w:sz w:val="20"/>
                <w:szCs w:val="20"/>
                <w:color w:val="auto"/>
              </w:rPr>
            </w:pPr>
            <w:r>
              <w:rPr>
                <w:rFonts w:ascii="Arial" w:cs="Arial" w:eastAsia="Arial" w:hAnsi="Arial"/>
                <w:sz w:val="17"/>
                <w:szCs w:val="17"/>
                <w:color w:val="auto"/>
                <w:w w:val="97"/>
              </w:rPr>
              <w:t>1.5%</w:t>
            </w:r>
          </w:p>
        </w:tc>
        <w:tc>
          <w:tcPr>
            <w:tcW w:w="320" w:type="dxa"/>
            <w:vAlign w:val="bottom"/>
            <w:shd w:val="clear" w:color="auto" w:fill="D8D8D8"/>
          </w:tcPr>
          <w:p>
            <w:pPr>
              <w:spacing w:after="0"/>
              <w:rPr>
                <w:sz w:val="16"/>
                <w:szCs w:val="16"/>
                <w:color w:val="auto"/>
              </w:rPr>
            </w:pPr>
          </w:p>
        </w:tc>
        <w:tc>
          <w:tcPr>
            <w:tcW w:w="72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7"/>
              </w:rPr>
              <w:t>761,000</w:t>
            </w:r>
          </w:p>
        </w:tc>
        <w:tc>
          <w:tcPr>
            <w:tcW w:w="320" w:type="dxa"/>
            <w:vAlign w:val="bottom"/>
            <w:shd w:val="clear" w:color="auto" w:fill="D8D8D8"/>
          </w:tcPr>
          <w:p>
            <w:pPr>
              <w:spacing w:after="0"/>
              <w:rPr>
                <w:sz w:val="16"/>
                <w:szCs w:val="16"/>
                <w:color w:val="auto"/>
              </w:rPr>
            </w:pPr>
          </w:p>
        </w:tc>
        <w:tc>
          <w:tcPr>
            <w:tcW w:w="880" w:type="dxa"/>
            <w:vAlign w:val="bottom"/>
            <w:shd w:val="clear" w:color="auto" w:fill="D8D8D8"/>
          </w:tcPr>
          <w:p>
            <w:pPr>
              <w:jc w:val="center"/>
              <w:spacing w:after="0" w:line="192" w:lineRule="exact"/>
              <w:rPr>
                <w:sz w:val="20"/>
                <w:szCs w:val="20"/>
                <w:color w:val="auto"/>
              </w:rPr>
            </w:pPr>
            <w:r>
              <w:rPr>
                <w:rFonts w:ascii="Arial" w:cs="Arial" w:eastAsia="Arial" w:hAnsi="Arial"/>
                <w:sz w:val="17"/>
                <w:szCs w:val="17"/>
                <w:color w:val="auto"/>
                <w:w w:val="97"/>
              </w:rPr>
              <w:t>1,167,000</w:t>
            </w:r>
          </w:p>
        </w:tc>
        <w:tc>
          <w:tcPr>
            <w:tcW w:w="320" w:type="dxa"/>
            <w:vAlign w:val="bottom"/>
            <w:shd w:val="clear" w:color="auto" w:fill="D8D8D8"/>
          </w:tcPr>
          <w:p>
            <w:pPr>
              <w:spacing w:after="0"/>
              <w:rPr>
                <w:sz w:val="16"/>
                <w:szCs w:val="16"/>
                <w:color w:val="auto"/>
              </w:rPr>
            </w:pPr>
          </w:p>
        </w:tc>
        <w:tc>
          <w:tcPr>
            <w:tcW w:w="204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22,000 restricted stock</w:t>
            </w:r>
          </w:p>
        </w:tc>
        <w:tc>
          <w:tcPr>
            <w:tcW w:w="2680" w:type="dxa"/>
            <w:vAlign w:val="bottom"/>
            <w:gridSpan w:val="2"/>
            <w:shd w:val="clear" w:color="auto" w:fill="D8D8D8"/>
          </w:tcPr>
          <w:p>
            <w:pPr>
              <w:jc w:val="center"/>
              <w:ind w:left="1297"/>
              <w:spacing w:after="0" w:line="192" w:lineRule="exact"/>
              <w:rPr>
                <w:sz w:val="20"/>
                <w:szCs w:val="20"/>
                <w:color w:val="auto"/>
              </w:rPr>
            </w:pPr>
            <w:r>
              <w:rPr>
                <w:rFonts w:ascii="Arial" w:cs="Arial" w:eastAsia="Arial" w:hAnsi="Arial"/>
                <w:sz w:val="17"/>
                <w:szCs w:val="17"/>
                <w:color w:val="auto"/>
                <w:w w:val="96"/>
              </w:rPr>
              <w:t>56,795</w:t>
            </w:r>
          </w:p>
        </w:tc>
        <w:tc>
          <w:tcPr>
            <w:tcW w:w="0" w:type="dxa"/>
            <w:vAlign w:val="bottom"/>
          </w:tcPr>
          <w:p>
            <w:pPr>
              <w:spacing w:after="0"/>
              <w:rPr>
                <w:sz w:val="1"/>
                <w:szCs w:val="1"/>
                <w:color w:val="auto"/>
              </w:rPr>
            </w:pPr>
          </w:p>
        </w:tc>
      </w:tr>
      <w:tr>
        <w:trPr>
          <w:trHeight w:val="192"/>
        </w:trPr>
        <w:tc>
          <w:tcPr>
            <w:tcW w:w="3200" w:type="dxa"/>
            <w:vAlign w:val="bottom"/>
            <w:shd w:val="clear" w:color="auto" w:fill="D8D8D8"/>
          </w:tcPr>
          <w:p>
            <w:pPr>
              <w:spacing w:after="0"/>
              <w:rPr>
                <w:sz w:val="16"/>
                <w:szCs w:val="16"/>
                <w:color w:val="auto"/>
              </w:rPr>
            </w:pPr>
          </w:p>
        </w:tc>
        <w:tc>
          <w:tcPr>
            <w:tcW w:w="340" w:type="dxa"/>
            <w:vAlign w:val="bottom"/>
            <w:shd w:val="clear" w:color="auto" w:fill="D8D8D8"/>
          </w:tcPr>
          <w:p>
            <w:pPr>
              <w:spacing w:after="0"/>
              <w:rPr>
                <w:sz w:val="16"/>
                <w:szCs w:val="16"/>
                <w:color w:val="auto"/>
              </w:rPr>
            </w:pPr>
          </w:p>
        </w:tc>
        <w:tc>
          <w:tcPr>
            <w:tcW w:w="60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72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88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204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131,980 stock options</w:t>
            </w:r>
          </w:p>
        </w:tc>
        <w:tc>
          <w:tcPr>
            <w:tcW w:w="1380" w:type="dxa"/>
            <w:vAlign w:val="bottom"/>
            <w:shd w:val="clear" w:color="auto" w:fill="D8D8D8"/>
          </w:tcPr>
          <w:p>
            <w:pPr>
              <w:spacing w:after="0"/>
              <w:rPr>
                <w:sz w:val="16"/>
                <w:szCs w:val="16"/>
                <w:color w:val="auto"/>
              </w:rPr>
            </w:pPr>
          </w:p>
        </w:tc>
        <w:tc>
          <w:tcPr>
            <w:tcW w:w="13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20"/>
                <w:szCs w:val="20"/>
                <w:color w:val="auto"/>
              </w:rPr>
            </w:pPr>
            <w:r>
              <w:rPr>
                <w:rFonts w:ascii="Arial" w:cs="Arial" w:eastAsia="Arial" w:hAnsi="Arial"/>
                <w:sz w:val="17"/>
                <w:szCs w:val="17"/>
                <w:color w:val="auto"/>
              </w:rPr>
              <w:t>Ms. West</w:t>
            </w:r>
          </w:p>
        </w:tc>
        <w:tc>
          <w:tcPr>
            <w:tcW w:w="940" w:type="dxa"/>
            <w:vAlign w:val="bottom"/>
            <w:gridSpan w:val="2"/>
          </w:tcPr>
          <w:p>
            <w:pPr>
              <w:jc w:val="center"/>
              <w:ind w:left="237"/>
              <w:spacing w:after="0"/>
              <w:rPr>
                <w:sz w:val="20"/>
                <w:szCs w:val="20"/>
                <w:color w:val="auto"/>
              </w:rPr>
            </w:pPr>
            <w:r>
              <w:rPr>
                <w:rFonts w:ascii="Arial" w:cs="Arial" w:eastAsia="Arial" w:hAnsi="Arial"/>
                <w:sz w:val="17"/>
                <w:szCs w:val="17"/>
                <w:color w:val="auto"/>
                <w:w w:val="97"/>
              </w:rPr>
              <w:t>1.5%</w:t>
            </w:r>
          </w:p>
        </w:tc>
        <w:tc>
          <w:tcPr>
            <w:tcW w:w="3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7"/>
                <w:szCs w:val="17"/>
                <w:color w:val="auto"/>
                <w:w w:val="97"/>
              </w:rPr>
              <w:t>660,000</w:t>
            </w:r>
          </w:p>
        </w:tc>
        <w:tc>
          <w:tcPr>
            <w:tcW w:w="3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7"/>
              </w:rPr>
              <w:t>1,050,000</w:t>
            </w:r>
          </w:p>
        </w:tc>
        <w:tc>
          <w:tcPr>
            <w:tcW w:w="320" w:type="dxa"/>
            <w:vAlign w:val="bottom"/>
          </w:tcPr>
          <w:p>
            <w:pPr>
              <w:spacing w:after="0"/>
              <w:rPr>
                <w:sz w:val="16"/>
                <w:szCs w:val="16"/>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13,360 restricted stock</w:t>
            </w:r>
          </w:p>
        </w:tc>
        <w:tc>
          <w:tcPr>
            <w:tcW w:w="2680" w:type="dxa"/>
            <w:vAlign w:val="bottom"/>
            <w:gridSpan w:val="2"/>
          </w:tcPr>
          <w:p>
            <w:pPr>
              <w:jc w:val="center"/>
              <w:ind w:left="1297"/>
              <w:spacing w:after="0"/>
              <w:rPr>
                <w:sz w:val="20"/>
                <w:szCs w:val="20"/>
                <w:color w:val="auto"/>
              </w:rPr>
            </w:pPr>
            <w:r>
              <w:rPr>
                <w:rFonts w:ascii="Arial" w:cs="Arial" w:eastAsia="Arial" w:hAnsi="Arial"/>
                <w:sz w:val="17"/>
                <w:szCs w:val="17"/>
                <w:color w:val="auto"/>
                <w:w w:val="96"/>
              </w:rPr>
              <w:t>17,625</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80,130 stock options</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26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12" w:lineRule="exact"/>
        <w:rPr>
          <w:sz w:val="20"/>
          <w:szCs w:val="20"/>
          <w:color w:val="auto"/>
        </w:rPr>
      </w:pPr>
    </w:p>
    <w:p>
      <w:pPr>
        <w:ind w:right="3260" w:firstLine="2"/>
        <w:spacing w:after="0" w:line="413" w:lineRule="auto"/>
        <w:tabs>
          <w:tab w:leader="none" w:pos="448"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Consistent with plan design, the Committee made no individual adjustments in determining share payout. </w:t>
      </w:r>
      <w:r>
        <w:rPr>
          <w:rFonts w:ascii="Arial" w:cs="Arial" w:eastAsia="Arial" w:hAnsi="Arial"/>
          <w:sz w:val="17"/>
          <w:szCs w:val="17"/>
          <w:u w:val="single" w:color="auto"/>
          <w:color w:val="auto"/>
        </w:rPr>
        <w:t>Mr. Brearton</w:t>
      </w:r>
    </w:p>
    <w:p>
      <w:pPr>
        <w:ind w:right="60"/>
        <w:spacing w:after="0" w:line="263" w:lineRule="auto"/>
        <w:rPr>
          <w:sz w:val="20"/>
          <w:szCs w:val="20"/>
          <w:color w:val="auto"/>
        </w:rPr>
      </w:pPr>
      <w:r>
        <w:rPr>
          <w:rFonts w:ascii="Arial" w:cs="Arial" w:eastAsia="Arial" w:hAnsi="Arial"/>
          <w:sz w:val="17"/>
          <w:szCs w:val="17"/>
          <w:i w:val="1"/>
          <w:iCs w:val="1"/>
          <w:color w:val="auto"/>
        </w:rPr>
        <w:t xml:space="preserve">Base Salary Increase. </w:t>
      </w:r>
      <w:r>
        <w:rPr>
          <w:rFonts w:ascii="Arial" w:cs="Arial" w:eastAsia="Arial" w:hAnsi="Arial"/>
          <w:sz w:val="17"/>
          <w:szCs w:val="17"/>
          <w:color w:val="auto"/>
        </w:rPr>
        <w:t>Mr. Brearton received both a merit salary increase in April 2011 and a promotional increase at the time he assumed the role of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His salary is below the size-adjusted median of the Compensation Survey Group for top financial executives.</w:t>
      </w:r>
    </w:p>
    <w:p>
      <w:pPr>
        <w:spacing w:after="0" w:line="109"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i w:val="1"/>
          <w:iCs w:val="1"/>
          <w:color w:val="auto"/>
        </w:rPr>
        <w:t xml:space="preserve">Actual Annual Cash Incentive. </w:t>
      </w:r>
      <w:r>
        <w:rPr>
          <w:rFonts w:ascii="Arial" w:cs="Arial" w:eastAsia="Arial" w:hAnsi="Arial"/>
          <w:sz w:val="17"/>
          <w:szCs w:val="17"/>
          <w:color w:val="auto"/>
        </w:rPr>
        <w:t>In 2011, Mr. Brearton’s individual performance guidelines were primarily related to delivering solid financial results and his</w:t>
      </w:r>
      <w:r>
        <w:rPr>
          <w:rFonts w:ascii="Arial" w:cs="Arial" w:eastAsia="Arial" w:hAnsi="Arial"/>
          <w:sz w:val="17"/>
          <w:szCs w:val="17"/>
          <w:i w:val="1"/>
          <w:iCs w:val="1"/>
          <w:color w:val="auto"/>
        </w:rPr>
        <w:t xml:space="preserve"> </w:t>
      </w:r>
      <w:r>
        <w:rPr>
          <w:rFonts w:ascii="Arial" w:cs="Arial" w:eastAsia="Arial" w:hAnsi="Arial"/>
          <w:sz w:val="17"/>
          <w:szCs w:val="17"/>
          <w:color w:val="auto"/>
        </w:rPr>
        <w:t>leadership on the efforts leading up to the announcement of, and preparing for, the Spin-off.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443" w:right="2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right="300"/>
        <w:spacing w:after="0" w:line="249" w:lineRule="auto"/>
        <w:rPr>
          <w:sz w:val="20"/>
          <w:szCs w:val="20"/>
          <w:color w:val="auto"/>
        </w:rPr>
      </w:pPr>
      <w:r>
        <w:rPr>
          <w:rFonts w:ascii="Arial" w:cs="Arial" w:eastAsia="Arial" w:hAnsi="Arial"/>
          <w:sz w:val="17"/>
          <w:szCs w:val="17"/>
          <w:i w:val="1"/>
          <w:iCs w:val="1"/>
          <w:color w:val="auto"/>
        </w:rPr>
        <w:t xml:space="preserve">Equity Award (Stock Options and Restricted Stock). </w:t>
      </w:r>
      <w:r>
        <w:rPr>
          <w:rFonts w:ascii="Arial" w:cs="Arial" w:eastAsia="Arial" w:hAnsi="Arial"/>
          <w:sz w:val="17"/>
          <w:szCs w:val="17"/>
          <w:color w:val="auto"/>
        </w:rPr>
        <w:t>Mr. Brearton received an annual equity grant on February 23, 2011. He was granted an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equity grant when he assumed the role of Chief Financial Officer. These equity grants, along with the 2011 – 2013 LTIP opportunity, are below the size-adjusted median of the Compensation Survey Group.</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Mr. McLevish</w:t>
      </w:r>
    </w:p>
    <w:p>
      <w:pPr>
        <w:spacing w:after="0" w:line="132" w:lineRule="exact"/>
        <w:rPr>
          <w:sz w:val="20"/>
          <w:szCs w:val="20"/>
          <w:color w:val="auto"/>
        </w:rPr>
      </w:pPr>
    </w:p>
    <w:p>
      <w:pPr>
        <w:ind w:right="640"/>
        <w:spacing w:after="0" w:line="263" w:lineRule="auto"/>
        <w:rPr>
          <w:sz w:val="20"/>
          <w:szCs w:val="20"/>
          <w:color w:val="auto"/>
        </w:rPr>
      </w:pPr>
      <w:r>
        <w:rPr>
          <w:rFonts w:ascii="Arial" w:cs="Arial" w:eastAsia="Arial" w:hAnsi="Arial"/>
          <w:sz w:val="17"/>
          <w:szCs w:val="17"/>
          <w:i w:val="1"/>
          <w:iCs w:val="1"/>
          <w:color w:val="auto"/>
        </w:rPr>
        <w:t xml:space="preserve">Base Salary Increase. </w:t>
      </w:r>
      <w:r>
        <w:rPr>
          <w:rFonts w:ascii="Arial" w:cs="Arial" w:eastAsia="Arial" w:hAnsi="Arial"/>
          <w:sz w:val="17"/>
          <w:szCs w:val="17"/>
          <w:color w:val="auto"/>
        </w:rPr>
        <w:t>Mr. McLevish’s salary increase was commensurate with company guidelines for increases, taking into account his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assessment. His salary is below the size-adjusted median of the Compensation Survey Group.</w:t>
      </w:r>
    </w:p>
    <w:p>
      <w:pPr>
        <w:spacing w:after="0" w:line="109"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i w:val="1"/>
          <w:iCs w:val="1"/>
          <w:color w:val="auto"/>
        </w:rPr>
        <w:t xml:space="preserve">Actual Annual Cash Incentive. </w:t>
      </w:r>
      <w:r>
        <w:rPr>
          <w:rFonts w:ascii="Arial" w:cs="Arial" w:eastAsia="Arial" w:hAnsi="Arial"/>
          <w:sz w:val="17"/>
          <w:szCs w:val="17"/>
          <w:color w:val="auto"/>
        </w:rPr>
        <w:t>In 2011, Mr. McLevish’s individual performance guidelines were primarily related to his role in successfully transitioning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Chief Financial Officer duties to Mr. Brearton and his role in leading the Spin-off transaction.</w:t>
      </w:r>
    </w:p>
    <w:p>
      <w:pPr>
        <w:spacing w:after="0" w:line="109" w:lineRule="exact"/>
        <w:rPr>
          <w:sz w:val="20"/>
          <w:szCs w:val="20"/>
          <w:color w:val="auto"/>
        </w:rPr>
      </w:pPr>
    </w:p>
    <w:p>
      <w:pPr>
        <w:spacing w:after="0" w:line="263" w:lineRule="auto"/>
        <w:rPr>
          <w:sz w:val="20"/>
          <w:szCs w:val="20"/>
          <w:color w:val="auto"/>
        </w:rPr>
      </w:pPr>
      <w:r>
        <w:rPr>
          <w:rFonts w:ascii="Arial" w:cs="Arial" w:eastAsia="Arial" w:hAnsi="Arial"/>
          <w:sz w:val="17"/>
          <w:szCs w:val="17"/>
          <w:i w:val="1"/>
          <w:iCs w:val="1"/>
          <w:color w:val="auto"/>
        </w:rPr>
        <w:t xml:space="preserve">Equity Award (Stock Options and Restricted Stock). </w:t>
      </w:r>
      <w:r>
        <w:rPr>
          <w:rFonts w:ascii="Arial" w:cs="Arial" w:eastAsia="Arial" w:hAnsi="Arial"/>
          <w:sz w:val="17"/>
          <w:szCs w:val="17"/>
          <w:color w:val="auto"/>
        </w:rPr>
        <w:t>This equity grant along with the 2011 – 2013 LTIP opportunity is above the size-adjusted median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Survey Group.</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Mr. Khosla</w:t>
      </w:r>
    </w:p>
    <w:p>
      <w:pPr>
        <w:spacing w:after="0" w:line="132" w:lineRule="exact"/>
        <w:rPr>
          <w:sz w:val="20"/>
          <w:szCs w:val="20"/>
          <w:color w:val="auto"/>
        </w:rPr>
      </w:pPr>
    </w:p>
    <w:p>
      <w:pPr>
        <w:ind w:right="840"/>
        <w:spacing w:after="0" w:line="263" w:lineRule="auto"/>
        <w:rPr>
          <w:sz w:val="20"/>
          <w:szCs w:val="20"/>
          <w:color w:val="auto"/>
        </w:rPr>
      </w:pPr>
      <w:r>
        <w:rPr>
          <w:rFonts w:ascii="Arial" w:cs="Arial" w:eastAsia="Arial" w:hAnsi="Arial"/>
          <w:sz w:val="17"/>
          <w:szCs w:val="17"/>
          <w:i w:val="1"/>
          <w:iCs w:val="1"/>
          <w:color w:val="auto"/>
        </w:rPr>
        <w:t xml:space="preserve">Base Salary Increase. </w:t>
      </w:r>
      <w:r>
        <w:rPr>
          <w:rFonts w:ascii="Arial" w:cs="Arial" w:eastAsia="Arial" w:hAnsi="Arial"/>
          <w:sz w:val="17"/>
          <w:szCs w:val="17"/>
          <w:color w:val="auto"/>
        </w:rPr>
        <w:t>Mr. Khosla’s salary increase was commensurate with company guidelines for increases, taking into account his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assessment. His salary approximates the size-adjusted median of the Compensation Survey Group.</w:t>
      </w:r>
    </w:p>
    <w:p>
      <w:pPr>
        <w:spacing w:after="0" w:line="109"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i w:val="1"/>
          <w:iCs w:val="1"/>
          <w:color w:val="auto"/>
        </w:rPr>
        <w:t xml:space="preserve">Actual Annual Cash Incentive. </w:t>
      </w:r>
      <w:r>
        <w:rPr>
          <w:rFonts w:ascii="Arial" w:cs="Arial" w:eastAsia="Arial" w:hAnsi="Arial"/>
          <w:sz w:val="17"/>
          <w:szCs w:val="17"/>
          <w:color w:val="auto"/>
        </w:rPr>
        <w:t>In 2011, Mr. Khosla’s individual performance guidelines were primarily related to his leadership in delivering strong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across all of the regions within our Developing Markets segment despite significant operating challenges in several countries.</w:t>
      </w:r>
    </w:p>
    <w:p>
      <w:pPr>
        <w:spacing w:after="0" w:line="10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i w:val="1"/>
          <w:iCs w:val="1"/>
          <w:color w:val="auto"/>
        </w:rPr>
        <w:t xml:space="preserve">Equity Award (Stock Options and Restricted Stock). </w:t>
      </w:r>
      <w:r>
        <w:rPr>
          <w:rFonts w:ascii="Arial" w:cs="Arial" w:eastAsia="Arial" w:hAnsi="Arial"/>
          <w:sz w:val="17"/>
          <w:szCs w:val="17"/>
          <w:color w:val="auto"/>
        </w:rPr>
        <w:t>This equity grant along with the 2011 – 2013 LTIP opportunity is below the size-adjusted median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Survey Group.</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Mr. Vernon</w:t>
      </w:r>
    </w:p>
    <w:p>
      <w:pPr>
        <w:spacing w:after="0" w:line="132" w:lineRule="exact"/>
        <w:rPr>
          <w:sz w:val="20"/>
          <w:szCs w:val="20"/>
          <w:color w:val="auto"/>
        </w:rPr>
      </w:pPr>
    </w:p>
    <w:p>
      <w:pPr>
        <w:ind w:right="820"/>
        <w:spacing w:after="0" w:line="263" w:lineRule="auto"/>
        <w:rPr>
          <w:sz w:val="20"/>
          <w:szCs w:val="20"/>
          <w:color w:val="auto"/>
        </w:rPr>
      </w:pPr>
      <w:r>
        <w:rPr>
          <w:rFonts w:ascii="Arial" w:cs="Arial" w:eastAsia="Arial" w:hAnsi="Arial"/>
          <w:sz w:val="17"/>
          <w:szCs w:val="17"/>
          <w:i w:val="1"/>
          <w:iCs w:val="1"/>
          <w:color w:val="auto"/>
        </w:rPr>
        <w:t xml:space="preserve">Base Salary Increase. </w:t>
      </w:r>
      <w:r>
        <w:rPr>
          <w:rFonts w:ascii="Arial" w:cs="Arial" w:eastAsia="Arial" w:hAnsi="Arial"/>
          <w:sz w:val="17"/>
          <w:szCs w:val="17"/>
          <w:color w:val="auto"/>
        </w:rPr>
        <w:t>Mr. Vernon’s salary increase was commensurate with company guidelines for increases, taking into account his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assessment. His salary approximates the size-adjusted median of the Compensation Survey Group.</w:t>
      </w:r>
    </w:p>
    <w:p>
      <w:pPr>
        <w:spacing w:after="0" w:line="109"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i w:val="1"/>
          <w:iCs w:val="1"/>
          <w:color w:val="auto"/>
        </w:rPr>
        <w:t xml:space="preserve">Actual Annual Cash Incentive. </w:t>
      </w:r>
      <w:r>
        <w:rPr>
          <w:rFonts w:ascii="Arial" w:cs="Arial" w:eastAsia="Arial" w:hAnsi="Arial"/>
          <w:sz w:val="17"/>
          <w:szCs w:val="17"/>
          <w:color w:val="auto"/>
        </w:rPr>
        <w:t>In 2011, Mr. Vernon’s individual performance guidelines were primarily related to leading the strong business turnaround in</w:t>
      </w:r>
      <w:r>
        <w:rPr>
          <w:rFonts w:ascii="Arial" w:cs="Arial" w:eastAsia="Arial" w:hAnsi="Arial"/>
          <w:sz w:val="17"/>
          <w:szCs w:val="17"/>
          <w:i w:val="1"/>
          <w:iCs w:val="1"/>
          <w:color w:val="auto"/>
        </w:rPr>
        <w:t xml:space="preserve"> </w:t>
      </w:r>
      <w:r>
        <w:rPr>
          <w:rFonts w:ascii="Arial" w:cs="Arial" w:eastAsia="Arial" w:hAnsi="Arial"/>
          <w:sz w:val="17"/>
          <w:szCs w:val="17"/>
          <w:color w:val="auto"/>
        </w:rPr>
        <w:t>Kraft Foods North America and implementing strong cost management programs while delivering robust innovation in a very challenging business environment.</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i w:val="1"/>
          <w:iCs w:val="1"/>
          <w:color w:val="auto"/>
        </w:rPr>
        <w:t xml:space="preserve">Equity Award (Stock Options and Restricted Stock). </w:t>
      </w:r>
      <w:r>
        <w:rPr>
          <w:rFonts w:ascii="Arial" w:cs="Arial" w:eastAsia="Arial" w:hAnsi="Arial"/>
          <w:sz w:val="17"/>
          <w:szCs w:val="17"/>
          <w:color w:val="auto"/>
        </w:rPr>
        <w:t>This equity grant along with the 2011 – 2013 LTIP opportunity is at the size-adjusted median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Survey Group.</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Ms. West</w:t>
      </w:r>
    </w:p>
    <w:p>
      <w:pPr>
        <w:spacing w:after="0" w:line="132" w:lineRule="exact"/>
        <w:rPr>
          <w:sz w:val="20"/>
          <w:szCs w:val="20"/>
          <w:color w:val="auto"/>
        </w:rPr>
      </w:pPr>
    </w:p>
    <w:p>
      <w:pPr>
        <w:ind w:right="900"/>
        <w:spacing w:after="0" w:line="263" w:lineRule="auto"/>
        <w:rPr>
          <w:sz w:val="20"/>
          <w:szCs w:val="20"/>
          <w:color w:val="auto"/>
        </w:rPr>
      </w:pPr>
      <w:r>
        <w:rPr>
          <w:rFonts w:ascii="Arial" w:cs="Arial" w:eastAsia="Arial" w:hAnsi="Arial"/>
          <w:sz w:val="17"/>
          <w:szCs w:val="17"/>
          <w:i w:val="1"/>
          <w:iCs w:val="1"/>
          <w:color w:val="auto"/>
        </w:rPr>
        <w:t xml:space="preserve">Base Salary Increase. </w:t>
      </w:r>
      <w:r>
        <w:rPr>
          <w:rFonts w:ascii="Arial" w:cs="Arial" w:eastAsia="Arial" w:hAnsi="Arial"/>
          <w:sz w:val="17"/>
          <w:szCs w:val="17"/>
          <w:color w:val="auto"/>
        </w:rPr>
        <w:t>Ms. West’s salary increase was commensurate with company guidelines for increases, taking into account her individual</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assessment. Her salary approximates the size-adjusted median of the Compensation Survey Group.</w:t>
      </w:r>
    </w:p>
    <w:p>
      <w:pPr>
        <w:spacing w:after="0" w:line="109" w:lineRule="exact"/>
        <w:rPr>
          <w:sz w:val="20"/>
          <w:szCs w:val="20"/>
          <w:color w:val="auto"/>
        </w:rPr>
      </w:pPr>
    </w:p>
    <w:p>
      <w:pPr>
        <w:ind w:right="360"/>
        <w:spacing w:after="0" w:line="249" w:lineRule="auto"/>
        <w:rPr>
          <w:sz w:val="20"/>
          <w:szCs w:val="20"/>
          <w:color w:val="auto"/>
        </w:rPr>
      </w:pPr>
      <w:r>
        <w:rPr>
          <w:rFonts w:ascii="Arial" w:cs="Arial" w:eastAsia="Arial" w:hAnsi="Arial"/>
          <w:sz w:val="17"/>
          <w:szCs w:val="17"/>
          <w:i w:val="1"/>
          <w:iCs w:val="1"/>
          <w:color w:val="auto"/>
        </w:rPr>
        <w:t xml:space="preserve">Actual Annual Cash Incentive. </w:t>
      </w:r>
      <w:r>
        <w:rPr>
          <w:rFonts w:ascii="Arial" w:cs="Arial" w:eastAsia="Arial" w:hAnsi="Arial"/>
          <w:sz w:val="17"/>
          <w:szCs w:val="17"/>
          <w:color w:val="auto"/>
        </w:rPr>
        <w:t>In 2011, Ms. West’s individual performance guidelines were primarily related to her role in building stronger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capabilities which have been recognized externally, improving the effectiveness of our global categories and being a key leader in forming the two new companies in connection with the Spin-off.</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7"/>
          <w:szCs w:val="17"/>
          <w:i w:val="1"/>
          <w:iCs w:val="1"/>
          <w:color w:val="auto"/>
        </w:rPr>
        <w:t xml:space="preserve">Equity Award (Stock Options and Restricted Stock). </w:t>
      </w:r>
      <w:r>
        <w:rPr>
          <w:rFonts w:ascii="Arial" w:cs="Arial" w:eastAsia="Arial" w:hAnsi="Arial"/>
          <w:sz w:val="17"/>
          <w:szCs w:val="17"/>
          <w:color w:val="auto"/>
        </w:rPr>
        <w:t>This equity grant along with the 2011 – 2013 LTIP opportunity is above the size-adjusted median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Survey Group.</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00"/>
          </w:cols>
          <w:pgMar w:left="240" w:top="443" w:right="25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 on Compensation Principles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Providing Competitive Pay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Composition and Purpose of the Compensation Survey Group</w:t>
      </w:r>
    </w:p>
    <w:p>
      <w:pPr>
        <w:spacing w:after="0" w:line="168"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We annually compare our compensation program with those companies in the Compensation Survey Group. This annual review is designed to assure that our compensation program and target compensation levels are consistent with market practice and maintain our ability to attract and retain the level of talent we need to drive sustainable superior Total Shareholder Returns.</w:t>
      </w:r>
    </w:p>
    <w:p>
      <w:pPr>
        <w:spacing w:after="0" w:line="14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To assure that the Compensation Survey Group includes the most appropriate companies, the Committee considers companies that: have similar revenue size and market capitalization, emphasize the food and beverage industry, have a global focus, are recognized for their industry leadership and brand recognition, have executive positions similar in breadth, complexity and scope of responsibility and compete with us for executive talent. In its evaluation of companies, the Committee starts with companies with revenue over $10 billion and up to 2.5 times our revenue. The median revenue of the peers is $29.6 billion. Our revenue approximates the 75th percentile of the peer companies.</w:t>
      </w:r>
    </w:p>
    <w:p>
      <w:pPr>
        <w:spacing w:after="0" w:line="148"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Based on this, and in consultation with management and with the assistance of the Committee’s compensation consultant, the Committee maintained the following companies for the 2011 Compensation Survey Group:</w:t>
      </w:r>
    </w:p>
    <w:p>
      <w:pPr>
        <w:sectPr>
          <w:pgSz w:w="11900" w:h="16838" w:orient="portrait"/>
          <w:cols w:equalWidth="0" w:num="1">
            <w:col w:w="11360"/>
          </w:cols>
          <w:pgMar w:left="240" w:top="444" w:right="299" w:bottom="1440" w:gutter="0" w:footer="0" w:header="0"/>
        </w:sectPr>
      </w:pPr>
    </w:p>
    <w:p>
      <w:pPr>
        <w:spacing w:after="0" w:line="179"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3M Company</w:t>
      </w:r>
    </w:p>
    <w:p>
      <w:pPr>
        <w:ind w:left="1380"/>
        <w:spacing w:after="0" w:line="235" w:lineRule="auto"/>
        <w:rPr>
          <w:sz w:val="20"/>
          <w:szCs w:val="20"/>
          <w:color w:val="auto"/>
        </w:rPr>
      </w:pPr>
      <w:r>
        <w:rPr>
          <w:rFonts w:ascii="Arial" w:cs="Arial" w:eastAsia="Arial" w:hAnsi="Arial"/>
          <w:sz w:val="17"/>
          <w:szCs w:val="17"/>
          <w:color w:val="auto"/>
        </w:rPr>
        <w:t>Abbott Laboratories</w:t>
      </w:r>
    </w:p>
    <w:p>
      <w:pPr>
        <w:ind w:left="1380"/>
        <w:spacing w:after="0"/>
        <w:rPr>
          <w:sz w:val="20"/>
          <w:szCs w:val="20"/>
          <w:color w:val="auto"/>
        </w:rPr>
      </w:pPr>
      <w:r>
        <w:rPr>
          <w:rFonts w:ascii="Arial" w:cs="Arial" w:eastAsia="Arial" w:hAnsi="Arial"/>
          <w:sz w:val="16"/>
          <w:szCs w:val="16"/>
          <w:color w:val="auto"/>
        </w:rPr>
        <w:t>Bristol-Myers Squibb Company</w:t>
      </w:r>
    </w:p>
    <w:p>
      <w:pPr>
        <w:spacing w:after="0" w:line="4"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Coca-Cola Company</w:t>
      </w:r>
    </w:p>
    <w:p>
      <w:pPr>
        <w:ind w:left="1380"/>
        <w:spacing w:after="0" w:line="235" w:lineRule="auto"/>
        <w:rPr>
          <w:sz w:val="20"/>
          <w:szCs w:val="20"/>
          <w:color w:val="auto"/>
        </w:rPr>
      </w:pPr>
      <w:r>
        <w:rPr>
          <w:rFonts w:ascii="Arial" w:cs="Arial" w:eastAsia="Arial" w:hAnsi="Arial"/>
          <w:sz w:val="17"/>
          <w:szCs w:val="17"/>
          <w:color w:val="auto"/>
        </w:rPr>
        <w:t>Colgate-Palmolive Company</w:t>
      </w:r>
    </w:p>
    <w:p>
      <w:pPr>
        <w:ind w:left="1380"/>
        <w:spacing w:after="0" w:line="236" w:lineRule="auto"/>
        <w:rPr>
          <w:sz w:val="20"/>
          <w:szCs w:val="20"/>
          <w:color w:val="auto"/>
        </w:rPr>
      </w:pPr>
      <w:r>
        <w:rPr>
          <w:rFonts w:ascii="Arial" w:cs="Arial" w:eastAsia="Arial" w:hAnsi="Arial"/>
          <w:sz w:val="17"/>
          <w:szCs w:val="17"/>
          <w:color w:val="auto"/>
        </w:rPr>
        <w:t>ConAgra Foods, Inc.</w:t>
      </w:r>
    </w:p>
    <w:p>
      <w:pPr>
        <w:ind w:left="1380"/>
        <w:spacing w:after="0" w:line="235" w:lineRule="auto"/>
        <w:rPr>
          <w:sz w:val="20"/>
          <w:szCs w:val="20"/>
          <w:color w:val="auto"/>
        </w:rPr>
      </w:pPr>
      <w:r>
        <w:rPr>
          <w:rFonts w:ascii="Arial" w:cs="Arial" w:eastAsia="Arial" w:hAnsi="Arial"/>
          <w:sz w:val="17"/>
          <w:szCs w:val="17"/>
          <w:color w:val="auto"/>
        </w:rPr>
        <w:t>Eli Lilly and Company</w:t>
      </w:r>
    </w:p>
    <w:p>
      <w:pPr>
        <w:ind w:left="1380"/>
        <w:spacing w:after="0" w:line="236" w:lineRule="auto"/>
        <w:rPr>
          <w:sz w:val="20"/>
          <w:szCs w:val="20"/>
          <w:color w:val="auto"/>
        </w:rPr>
      </w:pPr>
      <w:r>
        <w:rPr>
          <w:rFonts w:ascii="Arial" w:cs="Arial" w:eastAsia="Arial" w:hAnsi="Arial"/>
          <w:sz w:val="17"/>
          <w:szCs w:val="17"/>
          <w:color w:val="auto"/>
        </w:rPr>
        <w:t>General Mills, Inc.</w:t>
      </w:r>
    </w:p>
    <w:p>
      <w:pPr>
        <w:ind w:left="1380"/>
        <w:spacing w:after="0" w:line="235" w:lineRule="auto"/>
        <w:rPr>
          <w:sz w:val="20"/>
          <w:szCs w:val="20"/>
          <w:color w:val="auto"/>
        </w:rPr>
      </w:pPr>
      <w:r>
        <w:rPr>
          <w:rFonts w:ascii="Arial" w:cs="Arial" w:eastAsia="Arial" w:hAnsi="Arial"/>
          <w:sz w:val="17"/>
          <w:szCs w:val="17"/>
          <w:color w:val="auto"/>
        </w:rPr>
        <w:t>H.J. Heinz Company</w:t>
      </w:r>
    </w:p>
    <w:p>
      <w:pPr>
        <w:ind w:left="1380"/>
        <w:spacing w:after="0" w:line="236" w:lineRule="auto"/>
        <w:rPr>
          <w:sz w:val="20"/>
          <w:szCs w:val="20"/>
          <w:color w:val="auto"/>
        </w:rPr>
      </w:pPr>
      <w:r>
        <w:rPr>
          <w:rFonts w:ascii="Arial" w:cs="Arial" w:eastAsia="Arial" w:hAnsi="Arial"/>
          <w:sz w:val="17"/>
          <w:szCs w:val="17"/>
          <w:color w:val="auto"/>
        </w:rPr>
        <w:t>Johnson &amp; Johnson</w:t>
      </w:r>
    </w:p>
    <w:p>
      <w:pPr>
        <w:ind w:left="1380"/>
        <w:spacing w:after="0"/>
        <w:rPr>
          <w:sz w:val="20"/>
          <w:szCs w:val="20"/>
          <w:color w:val="auto"/>
        </w:rPr>
      </w:pPr>
      <w:r>
        <w:rPr>
          <w:rFonts w:ascii="Arial" w:cs="Arial" w:eastAsia="Arial" w:hAnsi="Arial"/>
          <w:sz w:val="17"/>
          <w:szCs w:val="17"/>
          <w:color w:val="auto"/>
        </w:rPr>
        <w:t>Kellogg Company</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Kimberly-Clark Corporation</w:t>
      </w:r>
    </w:p>
    <w:p>
      <w:pPr>
        <w:spacing w:after="0" w:line="235" w:lineRule="auto"/>
        <w:rPr>
          <w:sz w:val="20"/>
          <w:szCs w:val="20"/>
          <w:color w:val="auto"/>
        </w:rPr>
      </w:pPr>
      <w:r>
        <w:rPr>
          <w:rFonts w:ascii="Arial" w:cs="Arial" w:eastAsia="Arial" w:hAnsi="Arial"/>
          <w:sz w:val="17"/>
          <w:szCs w:val="17"/>
          <w:color w:val="auto"/>
        </w:rPr>
        <w:t>McDonald’s Corporation</w:t>
      </w:r>
    </w:p>
    <w:p>
      <w:pPr>
        <w:spacing w:after="0" w:line="236" w:lineRule="auto"/>
        <w:rPr>
          <w:sz w:val="20"/>
          <w:szCs w:val="20"/>
          <w:color w:val="auto"/>
        </w:rPr>
      </w:pPr>
      <w:r>
        <w:rPr>
          <w:rFonts w:ascii="Arial" w:cs="Arial" w:eastAsia="Arial" w:hAnsi="Arial"/>
          <w:sz w:val="17"/>
          <w:szCs w:val="17"/>
          <w:color w:val="auto"/>
        </w:rPr>
        <w:t>Merck &amp; Co., Inc.</w:t>
      </w:r>
    </w:p>
    <w:p>
      <w:pPr>
        <w:spacing w:after="0" w:line="235" w:lineRule="auto"/>
        <w:rPr>
          <w:sz w:val="20"/>
          <w:szCs w:val="20"/>
          <w:color w:val="auto"/>
        </w:rPr>
      </w:pPr>
      <w:r>
        <w:rPr>
          <w:rFonts w:ascii="Arial" w:cs="Arial" w:eastAsia="Arial" w:hAnsi="Arial"/>
          <w:sz w:val="17"/>
          <w:szCs w:val="17"/>
          <w:color w:val="auto"/>
        </w:rPr>
        <w:t>Nestlé S.A.</w:t>
      </w:r>
    </w:p>
    <w:p>
      <w:pPr>
        <w:spacing w:after="0" w:line="236" w:lineRule="auto"/>
        <w:rPr>
          <w:sz w:val="20"/>
          <w:szCs w:val="20"/>
          <w:color w:val="auto"/>
        </w:rPr>
      </w:pPr>
      <w:r>
        <w:rPr>
          <w:rFonts w:ascii="Arial" w:cs="Arial" w:eastAsia="Arial" w:hAnsi="Arial"/>
          <w:sz w:val="17"/>
          <w:szCs w:val="17"/>
          <w:color w:val="auto"/>
        </w:rPr>
        <w:t>PepsiCo, Inc.</w:t>
      </w:r>
    </w:p>
    <w:p>
      <w:pPr>
        <w:spacing w:after="0" w:line="235" w:lineRule="auto"/>
        <w:rPr>
          <w:sz w:val="20"/>
          <w:szCs w:val="20"/>
          <w:color w:val="auto"/>
        </w:rPr>
      </w:pPr>
      <w:r>
        <w:rPr>
          <w:rFonts w:ascii="Arial" w:cs="Arial" w:eastAsia="Arial" w:hAnsi="Arial"/>
          <w:sz w:val="17"/>
          <w:szCs w:val="17"/>
          <w:color w:val="auto"/>
        </w:rPr>
        <w:t>Pfizer Inc.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Procter &amp; Gamble Company</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Sara Lee Corporation</w:t>
      </w:r>
    </w:p>
    <w:p>
      <w:pPr>
        <w:spacing w:after="0" w:line="235" w:lineRule="auto"/>
        <w:rPr>
          <w:sz w:val="20"/>
          <w:szCs w:val="20"/>
          <w:color w:val="auto"/>
        </w:rPr>
      </w:pPr>
      <w:r>
        <w:rPr>
          <w:rFonts w:ascii="Arial" w:cs="Arial" w:eastAsia="Arial" w:hAnsi="Arial"/>
          <w:sz w:val="17"/>
          <w:szCs w:val="17"/>
          <w:color w:val="auto"/>
        </w:rPr>
        <w:t>Unilever N.V.</w:t>
      </w:r>
    </w:p>
    <w:p>
      <w:pPr>
        <w:spacing w:after="0"/>
        <w:rPr>
          <w:sz w:val="20"/>
          <w:szCs w:val="20"/>
          <w:color w:val="auto"/>
        </w:rPr>
      </w:pPr>
      <w:r>
        <w:rPr>
          <w:rFonts w:ascii="Arial" w:cs="Arial" w:eastAsia="Arial" w:hAnsi="Arial"/>
          <w:sz w:val="17"/>
          <w:szCs w:val="17"/>
          <w:color w:val="auto"/>
        </w:rPr>
        <w:t>The Walt Disney Company</w:t>
      </w:r>
    </w:p>
    <w:p>
      <w:pPr>
        <w:spacing w:after="0" w:line="341" w:lineRule="exact"/>
        <w:rPr>
          <w:sz w:val="20"/>
          <w:szCs w:val="20"/>
          <w:color w:val="auto"/>
        </w:rPr>
      </w:pPr>
    </w:p>
    <w:p>
      <w:pPr>
        <w:sectPr>
          <w:pgSz w:w="11900" w:h="16838" w:orient="portrait"/>
          <w:cols w:equalWidth="0" w:num="2">
            <w:col w:w="5360" w:space="720"/>
            <w:col w:w="5280"/>
          </w:cols>
          <w:pgMar w:left="240" w:top="444" w:right="299" w:bottom="1440" w:gutter="0" w:footer="0" w:header="0"/>
          <w:type w:val="continuous"/>
        </w:sectPr>
      </w:pPr>
    </w:p>
    <w:p>
      <w:pPr>
        <w:ind w:right="200"/>
        <w:spacing w:after="0" w:line="239" w:lineRule="auto"/>
        <w:rPr>
          <w:sz w:val="20"/>
          <w:szCs w:val="20"/>
          <w:color w:val="auto"/>
        </w:rPr>
      </w:pPr>
      <w:r>
        <w:rPr>
          <w:rFonts w:ascii="Arial" w:cs="Arial" w:eastAsia="Arial" w:hAnsi="Arial"/>
          <w:sz w:val="17"/>
          <w:szCs w:val="17"/>
          <w:color w:val="auto"/>
        </w:rPr>
        <w:t>In determining appropriate compensation levels for our Named Executive Officers, the Committee reviews compensation levels for similarly situated executives at companies in the Compensation Survey Group. Compensation data is provided by Aon Hewitt. The Committee’s compensation consultant reviews and evaluates the data provided by Aon Hewitt on behalf of the Committee.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2011 Competitive Positioning</w:t>
      </w:r>
    </w:p>
    <w:p>
      <w:pPr>
        <w:spacing w:after="0" w:line="16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compensation philosophy is to set target total compensation, including base salary and annual and long-term incentives, at or near the median of the Compensation Survey Group, based on size-adjusted data. The Committee believes that targeting the size-adjusted median of the Compensation Survey Group provides the opportunity to attract and retain talented employees. Due to our revenue size relative to our peer group ($54 billion in revenue for the year ended December 31, 2011 vs. a median of $29.6 billion), the Committee uses a size-adjusted median when comparing executive compensation levels. For positions with corporate-wide responsibilities, the Committee uses the average of the regressed median (based on $54 billion in revenues relative to the $29.6 billion median of the Compensation Survey Group) and the raw median to obtain a size-adjusted median. We use this same approach for senior business unit level positions. In effect, the Committee is using a value greater than the raw median but less than a revenue-correlated median. This results in a more conservative approach to benchmarking the compensation data than simply using the revenue-correlated median.</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360"/>
          </w:cols>
          <w:pgMar w:left="240" w:top="444" w:right="299" w:bottom="1440" w:gutter="0" w:footer="0" w:header="0"/>
          <w:type w:val="continuous"/>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jc w:val="both"/>
        <w:ind w:right="160"/>
        <w:spacing w:after="0" w:line="239" w:lineRule="auto"/>
        <w:rPr>
          <w:sz w:val="20"/>
          <w:szCs w:val="20"/>
          <w:color w:val="auto"/>
        </w:rPr>
      </w:pPr>
      <w:r>
        <w:rPr>
          <w:rFonts w:ascii="Arial" w:cs="Arial" w:eastAsia="Arial" w:hAnsi="Arial"/>
          <w:sz w:val="17"/>
          <w:szCs w:val="17"/>
          <w:color w:val="auto"/>
        </w:rPr>
        <w:t>The magnitude of the size-adjusted median (in terms of percentile ranking) typically places total compensation, as well as the individual elements of total compensation, between the raw median and the 75th percentile of the Compensation Survey Group. For perspective, our revenue approximates the 75th percentile of the Compensation Survey Group.</w:t>
      </w:r>
    </w:p>
    <w:p>
      <w:pPr>
        <w:spacing w:after="0" w:line="145"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Based on compensation actions taken for each of our Named Executive Officers in 2011, target total compensation for each of them is at or below the size-adjusted median of the Compensation Survey Group, based on the latest available data reported by Aon Hewitt.</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Composition and Purpose of the Performance Peer Group</w:t>
      </w:r>
    </w:p>
    <w:p>
      <w:pPr>
        <w:spacing w:after="0" w:line="16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Committee uses the Performance Peer Group to understand the linkage of pay and performance and for determining the Relative Total Shareholder Return measure in the LTIP. For 2011, the Performance Peer Group was comprised of companies the Committee considered to be our market competitors or that had been selected primarily on the basis of industry. In 2010, the Committee reviewed the composition of the Performance Peer Group and decided to include only food and non-alcoholic beverage companies. The companies in the Performance Peer Group remain unchanged since 2010.</w:t>
      </w:r>
    </w:p>
    <w:p>
      <w:pPr>
        <w:spacing w:after="0" w:line="133"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There is substantial overlap (9 of the 12 companies) between the Performance Peer Group and the Compensation Survey Group. The primary difference between the Performance Peer Group and the Compensation Survey Group is that the Performance Peer Group companies are only food and non-alcoholic beverage companies and are included regardless of revenue size or market capitalization.</w:t>
      </w:r>
    </w:p>
    <w:p>
      <w:pPr>
        <w:spacing w:after="0" w:line="14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With respect to performance measures for our LTIP, we believe that it is relevant to compare our financial performance to a group of food and non-alcoholic beverage companies as it is likely that our shareholders are comparing our financial performance to a similar group of companies when making investment decisions. We believe that this group is less relevant when comparing compensation levels at various positions within the organization due to our size and complexity relative to several companies included in this group. The Performance Peer Group companies are:</w:t>
      </w:r>
    </w:p>
    <w:p>
      <w:pPr>
        <w:sectPr>
          <w:pgSz w:w="11900" w:h="16838" w:orient="portrait"/>
          <w:cols w:equalWidth="0" w:num="1">
            <w:col w:w="11400"/>
          </w:cols>
          <w:pgMar w:left="240" w:top="444" w:right="259" w:bottom="1440" w:gutter="0" w:footer="0" w:header="0"/>
        </w:sectPr>
      </w:pPr>
    </w:p>
    <w:p>
      <w:pPr>
        <w:spacing w:after="0" w:line="184"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Campbell Soup Company</w:t>
      </w:r>
    </w:p>
    <w:p>
      <w:pPr>
        <w:spacing w:after="0" w:line="8"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The Coca-Cola Company</w:t>
      </w:r>
    </w:p>
    <w:p>
      <w:pPr>
        <w:spacing w:after="0" w:line="4"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ConAgra Foods, Inc.</w:t>
      </w:r>
    </w:p>
    <w:p>
      <w:pPr>
        <w:ind w:left="1380"/>
        <w:spacing w:after="0" w:line="235" w:lineRule="auto"/>
        <w:rPr>
          <w:sz w:val="20"/>
          <w:szCs w:val="20"/>
          <w:color w:val="auto"/>
        </w:rPr>
      </w:pPr>
      <w:r>
        <w:rPr>
          <w:rFonts w:ascii="Arial" w:cs="Arial" w:eastAsia="Arial" w:hAnsi="Arial"/>
          <w:sz w:val="17"/>
          <w:szCs w:val="17"/>
          <w:color w:val="auto"/>
        </w:rPr>
        <w:t>General Mills, Inc.</w:t>
      </w:r>
    </w:p>
    <w:p>
      <w:pPr>
        <w:ind w:left="1380"/>
        <w:spacing w:after="0" w:line="236" w:lineRule="auto"/>
        <w:rPr>
          <w:sz w:val="20"/>
          <w:szCs w:val="20"/>
          <w:color w:val="auto"/>
        </w:rPr>
      </w:pPr>
      <w:r>
        <w:rPr>
          <w:rFonts w:ascii="Arial" w:cs="Arial" w:eastAsia="Arial" w:hAnsi="Arial"/>
          <w:sz w:val="17"/>
          <w:szCs w:val="17"/>
          <w:color w:val="auto"/>
        </w:rPr>
        <w:t>Groupe Danone</w:t>
      </w:r>
    </w:p>
    <w:p>
      <w:pPr>
        <w:ind w:left="1380"/>
        <w:spacing w:after="0"/>
        <w:rPr>
          <w:sz w:val="20"/>
          <w:szCs w:val="20"/>
          <w:color w:val="auto"/>
        </w:rPr>
      </w:pPr>
      <w:r>
        <w:rPr>
          <w:rFonts w:ascii="Arial" w:cs="Arial" w:eastAsia="Arial" w:hAnsi="Arial"/>
          <w:sz w:val="17"/>
          <w:szCs w:val="17"/>
          <w:color w:val="auto"/>
        </w:rPr>
        <w:t>The Hershey Company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H.J. Heinz Company</w:t>
      </w:r>
    </w:p>
    <w:p>
      <w:pPr>
        <w:spacing w:after="0" w:line="235" w:lineRule="auto"/>
        <w:rPr>
          <w:sz w:val="20"/>
          <w:szCs w:val="20"/>
          <w:color w:val="auto"/>
        </w:rPr>
      </w:pPr>
      <w:r>
        <w:rPr>
          <w:rFonts w:ascii="Arial" w:cs="Arial" w:eastAsia="Arial" w:hAnsi="Arial"/>
          <w:sz w:val="17"/>
          <w:szCs w:val="17"/>
          <w:color w:val="auto"/>
        </w:rPr>
        <w:t>Kellogg Company</w:t>
      </w:r>
    </w:p>
    <w:p>
      <w:pPr>
        <w:spacing w:after="0" w:line="236" w:lineRule="auto"/>
        <w:rPr>
          <w:sz w:val="20"/>
          <w:szCs w:val="20"/>
          <w:color w:val="auto"/>
        </w:rPr>
      </w:pPr>
      <w:r>
        <w:rPr>
          <w:rFonts w:ascii="Arial" w:cs="Arial" w:eastAsia="Arial" w:hAnsi="Arial"/>
          <w:sz w:val="17"/>
          <w:szCs w:val="17"/>
          <w:color w:val="auto"/>
        </w:rPr>
        <w:t>Nestlé S.A.</w:t>
      </w:r>
    </w:p>
    <w:p>
      <w:pPr>
        <w:spacing w:after="0" w:line="235" w:lineRule="auto"/>
        <w:rPr>
          <w:sz w:val="20"/>
          <w:szCs w:val="20"/>
          <w:color w:val="auto"/>
        </w:rPr>
      </w:pPr>
      <w:r>
        <w:rPr>
          <w:rFonts w:ascii="Arial" w:cs="Arial" w:eastAsia="Arial" w:hAnsi="Arial"/>
          <w:sz w:val="17"/>
          <w:szCs w:val="17"/>
          <w:color w:val="auto"/>
        </w:rPr>
        <w:t>PepsiCo, Inc.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Sara Lee Corporation</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Unilever N.V.</w:t>
      </w:r>
    </w:p>
    <w:p>
      <w:pPr>
        <w:spacing w:after="0" w:line="137" w:lineRule="exact"/>
        <w:rPr>
          <w:sz w:val="20"/>
          <w:szCs w:val="20"/>
          <w:color w:val="auto"/>
        </w:rPr>
      </w:pPr>
    </w:p>
    <w:p>
      <w:pPr>
        <w:sectPr>
          <w:pgSz w:w="11900" w:h="16838" w:orient="portrait"/>
          <w:cols w:equalWidth="0" w:num="2">
            <w:col w:w="5360" w:space="720"/>
            <w:col w:w="5320"/>
          </w:cols>
          <w:pgMar w:left="240" w:top="444"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00"/>
          </w:cols>
          <w:pgMar w:left="240" w:top="444" w:right="259" w:bottom="1440" w:gutter="0" w:footer="0" w:header="0"/>
          <w:type w:val="continuous"/>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Requiring Stock Ownership</w:t>
      </w:r>
    </w:p>
    <w:p>
      <w:pPr>
        <w:spacing w:after="0" w:line="15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To further align the interests of our senior management (approximately 190 executives), including our Named Executive Officers, with those of our shareholders, each executive is required to acquire and hold a significant amount of Kraft Foods common stock. The following chart summarizes our stock ownership and holding requirements. The Committee believes that our stock ownership levels will help increase the focus of our executives on improving Total Shareholder Return over time. Our stock ownership guideline levels are greater than the median of our peers in the Compensation Survey Group, and we monitor compliance with these levels regularly.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Stock Ownership /</w:t>
            </w:r>
          </w:p>
        </w:tc>
        <w:tc>
          <w:tcPr>
            <w:tcW w:w="220" w:type="dxa"/>
            <w:vAlign w:val="bottom"/>
          </w:tcPr>
          <w:p>
            <w:pPr>
              <w:spacing w:after="0"/>
              <w:rPr>
                <w:sz w:val="13"/>
                <w:szCs w:val="13"/>
                <w:color w:val="auto"/>
              </w:rPr>
            </w:pPr>
          </w:p>
        </w:tc>
        <w:tc>
          <w:tcPr>
            <w:tcW w:w="7880" w:type="dxa"/>
            <w:vAlign w:val="bottom"/>
          </w:tcPr>
          <w:p>
            <w:pPr>
              <w:spacing w:after="0"/>
              <w:rPr>
                <w:sz w:val="13"/>
                <w:szCs w:val="13"/>
                <w:color w:val="auto"/>
              </w:rPr>
            </w:pPr>
          </w:p>
        </w:tc>
      </w:tr>
      <w:tr>
        <w:trPr>
          <w:trHeight w:val="177"/>
        </w:trPr>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Holding Requirement</w:t>
            </w:r>
          </w:p>
        </w:tc>
        <w:tc>
          <w:tcPr>
            <w:tcW w:w="220" w:type="dxa"/>
            <w:vAlign w:val="bottom"/>
          </w:tcPr>
          <w:p>
            <w:pPr>
              <w:spacing w:after="0"/>
              <w:rPr>
                <w:sz w:val="15"/>
                <w:szCs w:val="15"/>
                <w:color w:val="auto"/>
              </w:rPr>
            </w:pPr>
          </w:p>
        </w:tc>
        <w:tc>
          <w:tcPr>
            <w:tcW w:w="7880" w:type="dxa"/>
            <w:vAlign w:val="bottom"/>
          </w:tcPr>
          <w:p>
            <w:pPr>
              <w:ind w:left="3020"/>
              <w:spacing w:after="0"/>
              <w:rPr>
                <w:sz w:val="20"/>
                <w:szCs w:val="20"/>
                <w:color w:val="auto"/>
              </w:rPr>
            </w:pPr>
            <w:r>
              <w:rPr>
                <w:rFonts w:ascii="Arial" w:cs="Arial" w:eastAsia="Arial" w:hAnsi="Arial"/>
                <w:sz w:val="13"/>
                <w:szCs w:val="13"/>
                <w:b w:val="1"/>
                <w:bCs w:val="1"/>
                <w:color w:val="auto"/>
              </w:rPr>
              <w:t>Explanation of Key Provisions</w:t>
            </w:r>
          </w:p>
        </w:tc>
      </w:tr>
      <w:tr>
        <w:trPr>
          <w:trHeight w:val="148"/>
        </w:trPr>
        <w:tc>
          <w:tcPr>
            <w:tcW w:w="1620" w:type="dxa"/>
            <w:vAlign w:val="bottom"/>
            <w:tcBorders>
              <w:top w:val="single" w:sz="8" w:color="auto"/>
            </w:tcBorders>
          </w:tcPr>
          <w:p>
            <w:pPr>
              <w:spacing w:after="0" w:line="148" w:lineRule="exact"/>
              <w:rPr>
                <w:sz w:val="20"/>
                <w:szCs w:val="20"/>
                <w:color w:val="auto"/>
              </w:rPr>
            </w:pPr>
            <w:r>
              <w:rPr>
                <w:rFonts w:ascii="Arial" w:cs="Arial" w:eastAsia="Arial" w:hAnsi="Arial"/>
                <w:sz w:val="17"/>
                <w:szCs w:val="17"/>
                <w:b w:val="1"/>
                <w:bCs w:val="1"/>
                <w:color w:val="auto"/>
              </w:rPr>
              <w:t>Ownership</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80" w:type="dxa"/>
            <w:vAlign w:val="bottom"/>
            <w:tcBorders>
              <w:top w:val="single" w:sz="8" w:color="auto"/>
            </w:tcBorders>
          </w:tcPr>
          <w:p>
            <w:pPr>
              <w:ind w:left="100"/>
              <w:spacing w:after="0" w:line="148" w:lineRule="exact"/>
              <w:rPr>
                <w:sz w:val="20"/>
                <w:szCs w:val="20"/>
                <w:color w:val="auto"/>
              </w:rPr>
            </w:pPr>
            <w:r>
              <w:rPr>
                <w:rFonts w:ascii="Arial" w:cs="Arial" w:eastAsia="Arial" w:hAnsi="Arial"/>
                <w:sz w:val="17"/>
                <w:szCs w:val="17"/>
                <w:color w:val="auto"/>
              </w:rPr>
              <w:t>•   Eight times salary for Ms. Rosenfeld; four times salary for each other Named Executive Officer.</w:t>
            </w:r>
          </w:p>
        </w:tc>
      </w:tr>
      <w:tr>
        <w:trPr>
          <w:trHeight w:val="234"/>
        </w:trPr>
        <w:tc>
          <w:tcPr>
            <w:tcW w:w="3320" w:type="dxa"/>
            <w:vAlign w:val="bottom"/>
            <w:gridSpan w:val="2"/>
          </w:tcPr>
          <w:p>
            <w:pPr>
              <w:spacing w:after="0"/>
              <w:rPr>
                <w:sz w:val="20"/>
                <w:szCs w:val="20"/>
                <w:color w:val="auto"/>
              </w:rPr>
            </w:pPr>
            <w:r>
              <w:rPr>
                <w:rFonts w:ascii="Arial" w:cs="Arial" w:eastAsia="Arial" w:hAnsi="Arial"/>
                <w:sz w:val="17"/>
                <w:szCs w:val="17"/>
                <w:b w:val="1"/>
                <w:bCs w:val="1"/>
                <w:color w:val="auto"/>
              </w:rPr>
              <w:t>Requirement</w:t>
            </w:r>
          </w:p>
        </w:tc>
        <w:tc>
          <w:tcPr>
            <w:tcW w:w="220" w:type="dxa"/>
            <w:vAlign w:val="bottom"/>
          </w:tcPr>
          <w:p>
            <w:pPr>
              <w:spacing w:after="0"/>
              <w:rPr>
                <w:sz w:val="20"/>
                <w:szCs w:val="20"/>
                <w:color w:val="auto"/>
              </w:rPr>
            </w:pPr>
          </w:p>
        </w:tc>
        <w:tc>
          <w:tcPr>
            <w:tcW w:w="7880" w:type="dxa"/>
            <w:vAlign w:val="bottom"/>
          </w:tcPr>
          <w:p>
            <w:pPr>
              <w:ind w:left="100"/>
              <w:spacing w:after="0"/>
              <w:rPr>
                <w:sz w:val="20"/>
                <w:szCs w:val="20"/>
                <w:color w:val="auto"/>
              </w:rPr>
            </w:pPr>
            <w:r>
              <w:rPr>
                <w:rFonts w:ascii="Arial" w:cs="Arial" w:eastAsia="Arial" w:hAnsi="Arial"/>
                <w:sz w:val="17"/>
                <w:szCs w:val="17"/>
                <w:color w:val="auto"/>
              </w:rPr>
              <w:t>•   All Named Executive Officers have met the guidelines as of March 1, 2012.</w:t>
            </w:r>
          </w:p>
        </w:tc>
      </w:tr>
      <w:tr>
        <w:trPr>
          <w:trHeight w:val="278"/>
        </w:trPr>
        <w:tc>
          <w:tcPr>
            <w:tcW w:w="3320" w:type="dxa"/>
            <w:vAlign w:val="bottom"/>
            <w:gridSpan w:val="2"/>
            <w:shd w:val="clear" w:color="auto" w:fill="D8D8D8"/>
          </w:tcPr>
          <w:p>
            <w:pPr>
              <w:spacing w:after="0"/>
              <w:rPr>
                <w:sz w:val="20"/>
                <w:szCs w:val="20"/>
                <w:color w:val="auto"/>
              </w:rPr>
            </w:pPr>
            <w:r>
              <w:rPr>
                <w:rFonts w:ascii="Arial" w:cs="Arial" w:eastAsia="Arial" w:hAnsi="Arial"/>
                <w:sz w:val="17"/>
                <w:szCs w:val="17"/>
                <w:b w:val="1"/>
                <w:bCs w:val="1"/>
                <w:color w:val="auto"/>
              </w:rPr>
              <w:t>Time to Meet</w:t>
            </w:r>
          </w:p>
        </w:tc>
        <w:tc>
          <w:tcPr>
            <w:tcW w:w="220" w:type="dxa"/>
            <w:vAlign w:val="bottom"/>
            <w:shd w:val="clear" w:color="auto" w:fill="D8D8D8"/>
          </w:tcPr>
          <w:p>
            <w:pPr>
              <w:spacing w:after="0"/>
              <w:rPr>
                <w:sz w:val="24"/>
                <w:szCs w:val="24"/>
                <w:color w:val="auto"/>
              </w:rPr>
            </w:pPr>
          </w:p>
        </w:tc>
        <w:tc>
          <w:tcPr>
            <w:tcW w:w="7880" w:type="dxa"/>
            <w:vAlign w:val="bottom"/>
            <w:shd w:val="clear" w:color="auto" w:fill="D8D8D8"/>
          </w:tcPr>
          <w:p>
            <w:pPr>
              <w:ind w:left="100"/>
              <w:spacing w:after="0"/>
              <w:rPr>
                <w:sz w:val="20"/>
                <w:szCs w:val="20"/>
                <w:color w:val="auto"/>
              </w:rPr>
            </w:pPr>
            <w:r>
              <w:rPr>
                <w:rFonts w:ascii="Arial" w:cs="Arial" w:eastAsia="Arial" w:hAnsi="Arial"/>
                <w:sz w:val="17"/>
                <w:szCs w:val="17"/>
                <w:color w:val="auto"/>
              </w:rPr>
              <w:t>•   Five years from employment date or three years from promotion to executive level subject to</w:t>
            </w:r>
          </w:p>
        </w:tc>
      </w:tr>
      <w:tr>
        <w:trPr>
          <w:trHeight w:val="212"/>
        </w:trPr>
        <w:tc>
          <w:tcPr>
            <w:tcW w:w="3320" w:type="dxa"/>
            <w:vAlign w:val="bottom"/>
            <w:gridSpan w:val="2"/>
            <w:shd w:val="clear" w:color="auto" w:fill="D8D8D8"/>
          </w:tcPr>
          <w:p>
            <w:pPr>
              <w:spacing w:after="0"/>
              <w:rPr>
                <w:sz w:val="20"/>
                <w:szCs w:val="20"/>
                <w:color w:val="auto"/>
              </w:rPr>
            </w:pPr>
            <w:r>
              <w:rPr>
                <w:rFonts w:ascii="Arial" w:cs="Arial" w:eastAsia="Arial" w:hAnsi="Arial"/>
                <w:sz w:val="17"/>
                <w:szCs w:val="17"/>
                <w:b w:val="1"/>
                <w:bCs w:val="1"/>
                <w:color w:val="auto"/>
              </w:rPr>
              <w:t>Requirements</w:t>
            </w:r>
          </w:p>
        </w:tc>
        <w:tc>
          <w:tcPr>
            <w:tcW w:w="220" w:type="dxa"/>
            <w:vAlign w:val="bottom"/>
            <w:shd w:val="clear" w:color="auto" w:fill="D8D8D8"/>
          </w:tcPr>
          <w:p>
            <w:pPr>
              <w:spacing w:after="0"/>
              <w:rPr>
                <w:sz w:val="18"/>
                <w:szCs w:val="18"/>
                <w:color w:val="auto"/>
              </w:rPr>
            </w:pPr>
          </w:p>
        </w:tc>
        <w:tc>
          <w:tcPr>
            <w:tcW w:w="7880" w:type="dxa"/>
            <w:vAlign w:val="bottom"/>
            <w:shd w:val="clear" w:color="auto" w:fill="D8D8D8"/>
          </w:tcPr>
          <w:p>
            <w:pPr>
              <w:ind w:left="420"/>
              <w:spacing w:after="0"/>
              <w:rPr>
                <w:sz w:val="20"/>
                <w:szCs w:val="20"/>
                <w:color w:val="auto"/>
              </w:rPr>
            </w:pPr>
            <w:r>
              <w:rPr>
                <w:rFonts w:ascii="Arial" w:cs="Arial" w:eastAsia="Arial" w:hAnsi="Arial"/>
                <w:sz w:val="17"/>
                <w:szCs w:val="17"/>
                <w:color w:val="auto"/>
              </w:rPr>
              <w:t>requirements.</w:t>
            </w:r>
          </w:p>
        </w:tc>
      </w:tr>
      <w:tr>
        <w:trPr>
          <w:trHeight w:val="192"/>
        </w:trPr>
        <w:tc>
          <w:tcPr>
            <w:tcW w:w="1620" w:type="dxa"/>
            <w:vAlign w:val="bottom"/>
            <w:shd w:val="clear" w:color="auto" w:fill="D8D8D8"/>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88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   CEO may take further action as she deems appropriate if an executive does not meet the required</w:t>
            </w:r>
          </w:p>
        </w:tc>
      </w:tr>
      <w:tr>
        <w:trPr>
          <w:trHeight w:val="202"/>
        </w:trPr>
        <w:tc>
          <w:tcPr>
            <w:tcW w:w="1620" w:type="dxa"/>
            <w:vAlign w:val="bottom"/>
            <w:shd w:val="clear" w:color="auto" w:fill="D8D8D8"/>
          </w:tcPr>
          <w:p>
            <w:pPr>
              <w:spacing w:after="0"/>
              <w:rPr>
                <w:sz w:val="17"/>
                <w:szCs w:val="17"/>
                <w:color w:val="auto"/>
              </w:rPr>
            </w:pPr>
          </w:p>
        </w:tc>
        <w:tc>
          <w:tcPr>
            <w:tcW w:w="170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7880" w:type="dxa"/>
            <w:vAlign w:val="bottom"/>
            <w:shd w:val="clear" w:color="auto" w:fill="D8D8D8"/>
          </w:tcPr>
          <w:p>
            <w:pPr>
              <w:ind w:left="420"/>
              <w:spacing w:after="0"/>
              <w:rPr>
                <w:sz w:val="20"/>
                <w:szCs w:val="20"/>
                <w:color w:val="auto"/>
              </w:rPr>
            </w:pPr>
            <w:r>
              <w:rPr>
                <w:rFonts w:ascii="Arial" w:cs="Arial" w:eastAsia="Arial" w:hAnsi="Arial"/>
                <w:sz w:val="17"/>
                <w:szCs w:val="17"/>
                <w:color w:val="auto"/>
              </w:rPr>
              <w:t>ownership.</w:t>
            </w:r>
          </w:p>
        </w:tc>
      </w:tr>
      <w:tr>
        <w:trPr>
          <w:trHeight w:val="277"/>
        </w:trPr>
        <w:tc>
          <w:tcPr>
            <w:tcW w:w="3320" w:type="dxa"/>
            <w:vAlign w:val="bottom"/>
            <w:gridSpan w:val="2"/>
          </w:tcPr>
          <w:p>
            <w:pPr>
              <w:spacing w:after="0"/>
              <w:rPr>
                <w:sz w:val="20"/>
                <w:szCs w:val="20"/>
                <w:color w:val="auto"/>
              </w:rPr>
            </w:pPr>
            <w:r>
              <w:rPr>
                <w:rFonts w:ascii="Arial" w:cs="Arial" w:eastAsia="Arial" w:hAnsi="Arial"/>
                <w:sz w:val="17"/>
                <w:szCs w:val="17"/>
                <w:b w:val="1"/>
                <w:bCs w:val="1"/>
                <w:color w:val="auto"/>
              </w:rPr>
              <w:t>Shares Included As</w:t>
            </w:r>
          </w:p>
        </w:tc>
        <w:tc>
          <w:tcPr>
            <w:tcW w:w="22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Arial" w:cs="Arial" w:eastAsia="Arial" w:hAnsi="Arial"/>
                <w:sz w:val="17"/>
                <w:szCs w:val="17"/>
                <w:color w:val="auto"/>
              </w:rPr>
              <w:t>•   Kraft Foods common stock, including sole ownership, direct purchase plan shares, restricted shares</w:t>
            </w:r>
          </w:p>
        </w:tc>
      </w:tr>
      <w:tr>
        <w:trPr>
          <w:trHeight w:val="212"/>
        </w:trPr>
        <w:tc>
          <w:tcPr>
            <w:tcW w:w="3320" w:type="dxa"/>
            <w:vAlign w:val="bottom"/>
            <w:gridSpan w:val="2"/>
          </w:tcPr>
          <w:p>
            <w:pPr>
              <w:spacing w:after="0"/>
              <w:rPr>
                <w:sz w:val="20"/>
                <w:szCs w:val="20"/>
                <w:color w:val="auto"/>
              </w:rPr>
            </w:pPr>
            <w:r>
              <w:rPr>
                <w:rFonts w:ascii="Arial" w:cs="Arial" w:eastAsia="Arial" w:hAnsi="Arial"/>
                <w:sz w:val="17"/>
                <w:szCs w:val="17"/>
                <w:b w:val="1"/>
                <w:bCs w:val="1"/>
                <w:color w:val="auto"/>
              </w:rPr>
              <w:t>Ownership</w:t>
            </w:r>
          </w:p>
        </w:tc>
        <w:tc>
          <w:tcPr>
            <w:tcW w:w="2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7"/>
                <w:szCs w:val="17"/>
                <w:color w:val="auto"/>
              </w:rPr>
              <w:t>and accounts over which the executive has direct or indirect ownership or control.</w:t>
            </w:r>
          </w:p>
        </w:tc>
      </w:tr>
      <w:tr>
        <w:trPr>
          <w:trHeight w:val="201"/>
        </w:trPr>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80" w:type="dxa"/>
            <w:vAlign w:val="bottom"/>
          </w:tcPr>
          <w:p>
            <w:pPr>
              <w:ind w:left="100"/>
              <w:spacing w:after="0"/>
              <w:rPr>
                <w:sz w:val="20"/>
                <w:szCs w:val="20"/>
                <w:color w:val="auto"/>
              </w:rPr>
            </w:pPr>
            <w:r>
              <w:rPr>
                <w:rFonts w:ascii="Arial" w:cs="Arial" w:eastAsia="Arial" w:hAnsi="Arial"/>
                <w:sz w:val="17"/>
                <w:szCs w:val="17"/>
                <w:color w:val="auto"/>
              </w:rPr>
              <w:t>•   Excludes unexercised Kraft Foods stock options or unearned performance shares.</w:t>
            </w:r>
          </w:p>
        </w:tc>
      </w:tr>
      <w:tr>
        <w:trPr>
          <w:trHeight w:val="298"/>
        </w:trPr>
        <w:tc>
          <w:tcPr>
            <w:tcW w:w="3320" w:type="dxa"/>
            <w:vAlign w:val="bottom"/>
            <w:gridSpan w:val="2"/>
            <w:shd w:val="clear" w:color="auto" w:fill="D8D8D8"/>
          </w:tcPr>
          <w:p>
            <w:pPr>
              <w:spacing w:after="0"/>
              <w:rPr>
                <w:sz w:val="20"/>
                <w:szCs w:val="20"/>
                <w:color w:val="auto"/>
              </w:rPr>
            </w:pPr>
            <w:r>
              <w:rPr>
                <w:rFonts w:ascii="Arial" w:cs="Arial" w:eastAsia="Arial" w:hAnsi="Arial"/>
                <w:sz w:val="17"/>
                <w:szCs w:val="17"/>
                <w:b w:val="1"/>
                <w:bCs w:val="1"/>
                <w:color w:val="auto"/>
              </w:rPr>
              <w:t>Holding Requirements</w:t>
            </w:r>
          </w:p>
        </w:tc>
        <w:tc>
          <w:tcPr>
            <w:tcW w:w="220" w:type="dxa"/>
            <w:vAlign w:val="bottom"/>
            <w:shd w:val="clear" w:color="auto" w:fill="D8D8D8"/>
          </w:tcPr>
          <w:p>
            <w:pPr>
              <w:spacing w:after="0"/>
              <w:rPr>
                <w:sz w:val="24"/>
                <w:szCs w:val="24"/>
                <w:color w:val="auto"/>
              </w:rPr>
            </w:pPr>
          </w:p>
        </w:tc>
        <w:tc>
          <w:tcPr>
            <w:tcW w:w="7880" w:type="dxa"/>
            <w:vAlign w:val="bottom"/>
            <w:shd w:val="clear" w:color="auto" w:fill="D8D8D8"/>
          </w:tcPr>
          <w:p>
            <w:pPr>
              <w:ind w:left="100"/>
              <w:spacing w:after="0"/>
              <w:rPr>
                <w:sz w:val="20"/>
                <w:szCs w:val="20"/>
                <w:color w:val="auto"/>
              </w:rPr>
            </w:pPr>
            <w:r>
              <w:rPr>
                <w:rFonts w:ascii="Arial" w:cs="Arial" w:eastAsia="Arial" w:hAnsi="Arial"/>
                <w:sz w:val="17"/>
                <w:szCs w:val="17"/>
                <w:color w:val="auto"/>
                <w:w w:val="99"/>
              </w:rPr>
              <w:t>•   Starting in 2011, our Named Executive Officers are required to hold 100% of all shares acquired from</w:t>
            </w:r>
          </w:p>
        </w:tc>
      </w:tr>
      <w:tr>
        <w:trPr>
          <w:trHeight w:val="192"/>
        </w:trPr>
        <w:tc>
          <w:tcPr>
            <w:tcW w:w="1620" w:type="dxa"/>
            <w:vAlign w:val="bottom"/>
            <w:shd w:val="clear" w:color="auto" w:fill="D8D8D8"/>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880" w:type="dxa"/>
            <w:vAlign w:val="bottom"/>
            <w:shd w:val="clear" w:color="auto" w:fill="D8D8D8"/>
          </w:tcPr>
          <w:p>
            <w:pPr>
              <w:ind w:left="420"/>
              <w:spacing w:after="0" w:line="192" w:lineRule="exact"/>
              <w:rPr>
                <w:sz w:val="20"/>
                <w:szCs w:val="20"/>
                <w:color w:val="auto"/>
              </w:rPr>
            </w:pPr>
            <w:r>
              <w:rPr>
                <w:rFonts w:ascii="Arial" w:cs="Arial" w:eastAsia="Arial" w:hAnsi="Arial"/>
                <w:sz w:val="17"/>
                <w:szCs w:val="17"/>
                <w:color w:val="auto"/>
              </w:rPr>
              <w:t>stock option exercises and restricted stock and performance share vestings, net of shares withheld</w:t>
            </w:r>
          </w:p>
        </w:tc>
      </w:tr>
      <w:tr>
        <w:trPr>
          <w:trHeight w:val="192"/>
        </w:trPr>
        <w:tc>
          <w:tcPr>
            <w:tcW w:w="1620" w:type="dxa"/>
            <w:vAlign w:val="bottom"/>
            <w:shd w:val="clear" w:color="auto" w:fill="D8D8D8"/>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880" w:type="dxa"/>
            <w:vAlign w:val="bottom"/>
            <w:shd w:val="clear" w:color="auto" w:fill="D8D8D8"/>
          </w:tcPr>
          <w:p>
            <w:pPr>
              <w:ind w:left="420"/>
              <w:spacing w:after="0" w:line="192" w:lineRule="exact"/>
              <w:rPr>
                <w:sz w:val="20"/>
                <w:szCs w:val="20"/>
                <w:color w:val="auto"/>
              </w:rPr>
            </w:pPr>
            <w:r>
              <w:rPr>
                <w:rFonts w:ascii="Arial" w:cs="Arial" w:eastAsia="Arial" w:hAnsi="Arial"/>
                <w:sz w:val="17"/>
                <w:szCs w:val="17"/>
                <w:color w:val="auto"/>
              </w:rPr>
              <w:t>for taxes or payment of exercise price, until they meet stock ownership guidelines.</w:t>
            </w:r>
          </w:p>
        </w:tc>
      </w:tr>
      <w:tr>
        <w:trPr>
          <w:trHeight w:val="192"/>
        </w:trPr>
        <w:tc>
          <w:tcPr>
            <w:tcW w:w="1620" w:type="dxa"/>
            <w:vAlign w:val="bottom"/>
            <w:shd w:val="clear" w:color="auto" w:fill="D8D8D8"/>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88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w w:val="99"/>
              </w:rPr>
              <w:t>•   Once stock ownership guidelines are attained, a Named Executive Officer is required to hold 100% of</w:t>
            </w:r>
          </w:p>
        </w:tc>
      </w:tr>
      <w:tr>
        <w:trPr>
          <w:trHeight w:val="192"/>
        </w:trPr>
        <w:tc>
          <w:tcPr>
            <w:tcW w:w="1620" w:type="dxa"/>
            <w:vAlign w:val="bottom"/>
            <w:shd w:val="clear" w:color="auto" w:fill="D8D8D8"/>
          </w:tcPr>
          <w:p>
            <w:pPr>
              <w:spacing w:after="0"/>
              <w:rPr>
                <w:sz w:val="16"/>
                <w:szCs w:val="16"/>
                <w:color w:val="auto"/>
              </w:rPr>
            </w:pPr>
          </w:p>
        </w:tc>
        <w:tc>
          <w:tcPr>
            <w:tcW w:w="170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880" w:type="dxa"/>
            <w:vAlign w:val="bottom"/>
            <w:shd w:val="clear" w:color="auto" w:fill="D8D8D8"/>
          </w:tcPr>
          <w:p>
            <w:pPr>
              <w:ind w:left="420"/>
              <w:spacing w:after="0" w:line="192" w:lineRule="exact"/>
              <w:rPr>
                <w:sz w:val="20"/>
                <w:szCs w:val="20"/>
                <w:color w:val="auto"/>
              </w:rPr>
            </w:pPr>
            <w:r>
              <w:rPr>
                <w:rFonts w:ascii="Arial" w:cs="Arial" w:eastAsia="Arial" w:hAnsi="Arial"/>
                <w:sz w:val="17"/>
                <w:szCs w:val="17"/>
                <w:color w:val="auto"/>
              </w:rPr>
              <w:t>the shares, net of shares withheld for taxes or payment of exercise price, for at least one year after</w:t>
            </w:r>
          </w:p>
        </w:tc>
      </w:tr>
      <w:tr>
        <w:trPr>
          <w:trHeight w:val="202"/>
        </w:trPr>
        <w:tc>
          <w:tcPr>
            <w:tcW w:w="1620" w:type="dxa"/>
            <w:vAlign w:val="bottom"/>
            <w:shd w:val="clear" w:color="auto" w:fill="D8D8D8"/>
          </w:tcPr>
          <w:p>
            <w:pPr>
              <w:spacing w:after="0"/>
              <w:rPr>
                <w:sz w:val="17"/>
                <w:szCs w:val="17"/>
                <w:color w:val="auto"/>
              </w:rPr>
            </w:pPr>
          </w:p>
        </w:tc>
        <w:tc>
          <w:tcPr>
            <w:tcW w:w="170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7880" w:type="dxa"/>
            <w:vAlign w:val="bottom"/>
            <w:shd w:val="clear" w:color="auto" w:fill="D8D8D8"/>
          </w:tcPr>
          <w:p>
            <w:pPr>
              <w:ind w:left="420"/>
              <w:spacing w:after="0"/>
              <w:rPr>
                <w:sz w:val="20"/>
                <w:szCs w:val="20"/>
                <w:color w:val="auto"/>
              </w:rPr>
            </w:pPr>
            <w:r>
              <w:rPr>
                <w:rFonts w:ascii="Arial" w:cs="Arial" w:eastAsia="Arial" w:hAnsi="Arial"/>
                <w:sz w:val="17"/>
                <w:szCs w:val="17"/>
                <w:color w:val="auto"/>
              </w:rPr>
              <w:t>stock option exercise or restricted stock or LTIP performance share vesting.</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on Recoupment of Executive Incentive Compensation in the Event of Certain Restatements</w:t>
      </w:r>
    </w:p>
    <w:p>
      <w:pPr>
        <w:spacing w:after="0" w:line="170"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The Board or an appropriate committee of the Board may determine that, as a result of a restatement of Kraft Foods’ financial statements, an executive officer received more compensation than the executive officer would have received absent the incorrect financial statements. The Board or Committee, in its discretion, may then take such actions as it deems necessary or appropriate to address the events that gave rise to the restatement and to prevent its recurrence. Such actions may include, to the extent permitted by applicable law:</w:t>
      </w:r>
    </w:p>
    <w:p>
      <w:pPr>
        <w:spacing w:after="0" w:line="184" w:lineRule="exact"/>
        <w:rPr>
          <w:sz w:val="20"/>
          <w:szCs w:val="20"/>
          <w:color w:val="auto"/>
        </w:rPr>
      </w:pPr>
    </w:p>
    <w:p>
      <w:pPr>
        <w:ind w:left="880" w:hanging="315"/>
        <w:spacing w:after="0"/>
        <w:tabs>
          <w:tab w:leader="none" w:pos="8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requiring the executive officer to repay some or all of any bonus or other incentive compensation paid;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requiring the executive officer to repay any gains realized on the exercise of stock options or on the open-market sale of vested shares;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canceling some or all of the executive officer’s restricted stock or deferred stock awards and outstanding stock options;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adjusting the executive officer’s future compensation; or</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terminating or initiating legal action against the executive officer.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444" w:right="2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Anti-Hedging Policy and Trading Restrictions</w:t>
      </w:r>
    </w:p>
    <w:p>
      <w:pPr>
        <w:spacing w:after="0" w:line="170"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Our current insider trading policy limits the timing and types of transactions in Kraft Foods securities by Section 16 officers, including our Named Executive Officers. Among other restrictions, the policy:</w:t>
      </w:r>
    </w:p>
    <w:p>
      <w:pPr>
        <w:spacing w:after="0" w:line="183" w:lineRule="exact"/>
        <w:rPr>
          <w:sz w:val="20"/>
          <w:szCs w:val="20"/>
          <w:color w:val="auto"/>
        </w:rPr>
      </w:pPr>
    </w:p>
    <w:p>
      <w:pPr>
        <w:ind w:left="880" w:right="200" w:hanging="315"/>
        <w:spacing w:after="0" w:line="241" w:lineRule="auto"/>
        <w:tabs>
          <w:tab w:leader="none" w:pos="8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allows Section 16 officers to trade company securities only during window periods (following earnings releases) and only after they have pre-cleared transactions;</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prohibits Section 16 officers from short-selling company securities or “selling against the box” (failing to deliver sold securities); and</w:t>
      </w:r>
    </w:p>
    <w:p>
      <w:pPr>
        <w:spacing w:after="0" w:line="73" w:lineRule="exact"/>
        <w:rPr>
          <w:rFonts w:ascii="Arial" w:cs="Arial" w:eastAsia="Arial" w:hAnsi="Arial"/>
          <w:sz w:val="17"/>
          <w:szCs w:val="17"/>
          <w:color w:val="auto"/>
        </w:rPr>
      </w:pPr>
    </w:p>
    <w:p>
      <w:pPr>
        <w:ind w:left="880" w:right="80" w:hanging="315"/>
        <w:spacing w:after="0" w:line="239" w:lineRule="auto"/>
        <w:tabs>
          <w:tab w:leader="none" w:pos="8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prohibits Section 16 officers (and any member of the Section 16 officer’s family sharing the same household) from transactions in puts, calls or other derivatives on Kraft Foods securities on an exchange or in any other organized market, as well as any other derivative or hedging transactions on Kraft Foods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with Respect to Qualifying Compensation for Tax Deductibility</w:t>
      </w:r>
    </w:p>
    <w:p>
      <w:pPr>
        <w:spacing w:after="0" w:line="17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Section 162(m) of the Code limits our ability to deduct compensation paid to certain of our Named Executive Officers (the covered employees) for tax purposes to $1.0 million annually. Covered employees include our principal executive officer and our next three highest paid executive officers, other than our principal financial officer. This limitation does not apply to performance-based compensation, provided certain conditions are satisfied. For 2011, annual cash incentive awards, stock options, restricted stock and performance shares awarded to covered employees were subject to, and made in accordance with, performance-based compensation arrangements previously implemented that were intended to qualify as tax-deductible.</w:t>
      </w:r>
    </w:p>
    <w:p>
      <w:pPr>
        <w:spacing w:after="0" w:line="148"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intend to qualify time-vested restricted stock awards granted to our covered employees using the performance-based compensation exemption. In February 2010, the Committee approved a formula to determine the maximum number of restricted shares that could be awarded to the covered employees contingent upon the achievement of adjusted net earnings during a one-year performance period prior to the stock grant. Under the formula, the maximum number of restricted shares that could be awarded under our 2011 annual restricted stock awards program was equal to 1.50% of our adjusted net earnings in 2010. We defined adjusted net earnings as net earnings before extraordinary items, discontinued operations and the cumulative effect of accounting changes and excluding certain other items designated by the Committee. In addition, our Amended and Restated 2005 Performance Incentive Plan limits individual annual restricted stock awards to 1.0 million shares. In February 2011, using the adjusted net earnings formula, the Committee determined the grant value pool for the 2011 restricted stock grant awards. The maximum award available for grant to our CEO was equal to one-third of the pool. The remaining two-thirds of the pool was available for allocation among the remaining covered employees, subject in each instance to the maximum individual award amount under our Amended and Restated 2005 Performance Incentive Plan.</w:t>
      </w:r>
    </w:p>
    <w:p>
      <w:pPr>
        <w:spacing w:after="0" w:line="15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Committee has retained the discretion to authorize payments that may not be tax-deductible, if it believes that such payments are in the best interest of shareholders. For example, the Committee decided, based on benchmarking salaries of other chief executive officers in the Compensation Survey Group, to pay Ms. Rosenfeld an annual base salary in excess of $1.0 million. Therefore, a portion of her salary was not tax-deductible in 2011. In addition, a portion of certain of the other covered employees’ income exceeded the $1.0 million tax deductibility limit in 2011 because of other elements of their annual compensation. Specifically, to the extent that a covered employee’s compensation from a combination of base salary, restricted stock vesting proceeds not intended to be performance-based, restricted stock dividends and certain taxable perquisites exceeded $1.0 million, the excess amount was not deductible in 2011.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444" w:right="2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EXECUTIVE COMPENSATION TABLES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Summary Compensation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40" w:type="dxa"/>
            <w:vAlign w:val="bottom"/>
            <w:gridSpan w:val="6"/>
          </w:tcPr>
          <w:p>
            <w:pPr>
              <w:jc w:val="center"/>
              <w:spacing w:after="0"/>
              <w:rPr>
                <w:sz w:val="20"/>
                <w:szCs w:val="20"/>
                <w:color w:val="auto"/>
              </w:rPr>
            </w:pPr>
            <w:r>
              <w:rPr>
                <w:rFonts w:ascii="Arial" w:cs="Arial" w:eastAsia="Arial" w:hAnsi="Arial"/>
                <w:sz w:val="13"/>
                <w:szCs w:val="13"/>
                <w:b w:val="1"/>
                <w:bCs w:val="1"/>
                <w:color w:val="auto"/>
                <w:w w:val="97"/>
              </w:rPr>
              <w:t>Non-Equity Incentive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7"/>
              </w:rPr>
              <w:t>Plan Compensation</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4"/>
          </w:tcPr>
          <w:p>
            <w:pPr>
              <w:jc w:val="center"/>
              <w:ind w:right="260"/>
              <w:spacing w:after="0" w:line="117" w:lineRule="exact"/>
              <w:rPr>
                <w:sz w:val="20"/>
                <w:szCs w:val="20"/>
                <w:color w:val="auto"/>
              </w:rPr>
            </w:pPr>
            <w:r>
              <w:rPr>
                <w:rFonts w:ascii="Arial" w:cs="Arial" w:eastAsia="Arial" w:hAnsi="Arial"/>
                <w:sz w:val="13"/>
                <w:szCs w:val="13"/>
                <w:b w:val="1"/>
                <w:bCs w:val="1"/>
                <w:color w:val="auto"/>
                <w:w w:val="96"/>
              </w:rPr>
              <w:t>Cumulative</w:t>
            </w:r>
          </w:p>
        </w:tc>
        <w:tc>
          <w:tcPr>
            <w:tcW w:w="72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6"/>
              </w:rPr>
              <w:t>Total Non-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240"/>
              <w:spacing w:after="0" w:line="141" w:lineRule="exact"/>
              <w:rPr>
                <w:sz w:val="20"/>
                <w:szCs w:val="20"/>
                <w:color w:val="auto"/>
              </w:rPr>
            </w:pPr>
            <w:r>
              <w:rPr>
                <w:rFonts w:ascii="Arial" w:cs="Arial" w:eastAsia="Arial" w:hAnsi="Arial"/>
                <w:sz w:val="13"/>
                <w:szCs w:val="13"/>
                <w:b w:val="1"/>
                <w:bCs w:val="1"/>
                <w:color w:val="auto"/>
                <w:w w:val="97"/>
              </w:rPr>
              <w:t>Three-Year</w:t>
            </w:r>
          </w:p>
        </w:tc>
        <w:tc>
          <w:tcPr>
            <w:tcW w:w="8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260"/>
              <w:spacing w:after="0" w:line="141" w:lineRule="exact"/>
              <w:rPr>
                <w:sz w:val="20"/>
                <w:szCs w:val="20"/>
                <w:color w:val="auto"/>
              </w:rPr>
            </w:pPr>
            <w:r>
              <w:rPr>
                <w:rFonts w:ascii="Arial" w:cs="Arial" w:eastAsia="Arial" w:hAnsi="Arial"/>
                <w:sz w:val="13"/>
                <w:szCs w:val="13"/>
                <w:b w:val="1"/>
                <w:bCs w:val="1"/>
                <w:color w:val="auto"/>
                <w:w w:val="98"/>
              </w:rPr>
              <w:t>(2007 – 2009)</w:t>
            </w:r>
          </w:p>
        </w:tc>
        <w:tc>
          <w:tcPr>
            <w:tcW w:w="820" w:type="dxa"/>
            <w:vAlign w:val="bottom"/>
            <w:gridSpan w:val="2"/>
          </w:tcPr>
          <w:p>
            <w:pPr>
              <w:jc w:val="center"/>
              <w:ind w:right="140"/>
              <w:spacing w:after="0" w:line="141" w:lineRule="exact"/>
              <w:rPr>
                <w:sz w:val="20"/>
                <w:szCs w:val="20"/>
                <w:color w:val="auto"/>
              </w:rPr>
            </w:pPr>
            <w:r>
              <w:rPr>
                <w:rFonts w:ascii="Arial" w:cs="Arial" w:eastAsia="Arial" w:hAnsi="Arial"/>
                <w:sz w:val="13"/>
                <w:szCs w:val="13"/>
                <w:b w:val="1"/>
                <w:bCs w:val="1"/>
                <w:color w:val="auto"/>
                <w:w w:val="99"/>
              </w:rPr>
              <w:t>Incentive</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6"/>
              </w:rPr>
              <w:t>All</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9"/>
              </w:rPr>
              <w:t>Annual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260"/>
              <w:spacing w:after="0" w:line="141" w:lineRule="exact"/>
              <w:rPr>
                <w:sz w:val="20"/>
                <w:szCs w:val="20"/>
                <w:color w:val="auto"/>
              </w:rPr>
            </w:pPr>
            <w:r>
              <w:rPr>
                <w:rFonts w:ascii="Arial" w:cs="Arial" w:eastAsia="Arial" w:hAnsi="Arial"/>
                <w:sz w:val="13"/>
                <w:szCs w:val="13"/>
                <w:b w:val="1"/>
                <w:bCs w:val="1"/>
                <w:color w:val="auto"/>
                <w:w w:val="99"/>
              </w:rPr>
              <w:t>Incentive</w:t>
            </w:r>
          </w:p>
        </w:tc>
        <w:tc>
          <w:tcPr>
            <w:tcW w:w="8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4"/>
              </w:rPr>
              <w:t>Plan</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rPr>
              <w:t>in</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2"/>
                <w:szCs w:val="12"/>
                <w:color w:val="auto"/>
              </w:rPr>
            </w:pPr>
          </w:p>
        </w:tc>
        <w:tc>
          <w:tcPr>
            <w:tcW w:w="86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2"/>
        </w:trPr>
        <w:tc>
          <w:tcPr>
            <w:tcW w:w="1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5"/>
              </w:rPr>
              <w:t>Stock</w:t>
            </w:r>
          </w:p>
        </w:tc>
        <w:tc>
          <w:tcPr>
            <w:tcW w:w="100" w:type="dxa"/>
            <w:vAlign w:val="bottom"/>
          </w:tcPr>
          <w:p>
            <w:pPr>
              <w:spacing w:after="0"/>
              <w:rPr>
                <w:sz w:val="11"/>
                <w:szCs w:val="11"/>
                <w:color w:val="auto"/>
              </w:rPr>
            </w:pPr>
          </w:p>
        </w:tc>
        <w:tc>
          <w:tcPr>
            <w:tcW w:w="78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5"/>
              </w:rPr>
              <w:t>Option</w:t>
            </w:r>
          </w:p>
        </w:tc>
        <w:tc>
          <w:tcPr>
            <w:tcW w:w="100" w:type="dxa"/>
            <w:vAlign w:val="bottom"/>
          </w:tcPr>
          <w:p>
            <w:pPr>
              <w:spacing w:after="0"/>
              <w:rPr>
                <w:sz w:val="11"/>
                <w:szCs w:val="11"/>
                <w:color w:val="auto"/>
              </w:rPr>
            </w:pPr>
          </w:p>
        </w:tc>
        <w:tc>
          <w:tcPr>
            <w:tcW w:w="68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9"/>
              </w:rPr>
              <w:t>Incentive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4"/>
          </w:tcPr>
          <w:p>
            <w:pPr>
              <w:jc w:val="center"/>
              <w:ind w:right="260"/>
              <w:spacing w:after="0" w:line="132" w:lineRule="exact"/>
              <w:rPr>
                <w:sz w:val="20"/>
                <w:szCs w:val="20"/>
                <w:color w:val="auto"/>
              </w:rPr>
            </w:pPr>
            <w:r>
              <w:rPr>
                <w:rFonts w:ascii="Arial" w:cs="Arial" w:eastAsia="Arial" w:hAnsi="Arial"/>
                <w:sz w:val="13"/>
                <w:szCs w:val="13"/>
                <w:b w:val="1"/>
                <w:bCs w:val="1"/>
                <w:color w:val="auto"/>
              </w:rPr>
              <w:t>Plan</w:t>
            </w:r>
          </w:p>
        </w:tc>
        <w:tc>
          <w:tcPr>
            <w:tcW w:w="82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99"/>
              </w:rPr>
              <w:t>Compen-</w:t>
            </w:r>
          </w:p>
        </w:tc>
        <w:tc>
          <w:tcPr>
            <w:tcW w:w="100" w:type="dxa"/>
            <w:vAlign w:val="bottom"/>
          </w:tcPr>
          <w:p>
            <w:pPr>
              <w:spacing w:after="0"/>
              <w:rPr>
                <w:sz w:val="11"/>
                <w:szCs w:val="11"/>
                <w:color w:val="auto"/>
              </w:rPr>
            </w:pPr>
          </w:p>
        </w:tc>
        <w:tc>
          <w:tcPr>
            <w:tcW w:w="78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4"/>
              </w:rPr>
              <w:t>Pension</w:t>
            </w: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9"/>
              </w:rPr>
              <w:t>Compen-</w:t>
            </w:r>
          </w:p>
        </w:tc>
        <w:tc>
          <w:tcPr>
            <w:tcW w:w="100" w:type="dxa"/>
            <w:vAlign w:val="bottom"/>
          </w:tcPr>
          <w:p>
            <w:pPr>
              <w:spacing w:after="0"/>
              <w:rPr>
                <w:sz w:val="11"/>
                <w:szCs w:val="11"/>
                <w:color w:val="auto"/>
              </w:rPr>
            </w:pPr>
          </w:p>
        </w:tc>
        <w:tc>
          <w:tcPr>
            <w:tcW w:w="86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9"/>
              </w:rPr>
              <w:t>Compen-</w:t>
            </w:r>
          </w:p>
        </w:tc>
        <w:tc>
          <w:tcPr>
            <w:tcW w:w="0" w:type="dxa"/>
            <w:vAlign w:val="bottom"/>
          </w:tcPr>
          <w:p>
            <w:pPr>
              <w:spacing w:after="0"/>
              <w:rPr>
                <w:sz w:val="1"/>
                <w:szCs w:val="1"/>
                <w:color w:val="auto"/>
              </w:rPr>
            </w:pPr>
          </w:p>
        </w:tc>
      </w:tr>
      <w:tr>
        <w:trPr>
          <w:trHeight w:val="141"/>
        </w:trPr>
        <w:tc>
          <w:tcPr>
            <w:tcW w:w="272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Name and Principal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160"/>
              <w:spacing w:after="0" w:line="141" w:lineRule="exact"/>
              <w:rPr>
                <w:sz w:val="20"/>
                <w:szCs w:val="20"/>
                <w:color w:val="auto"/>
              </w:rPr>
            </w:pPr>
            <w:r>
              <w:rPr>
                <w:rFonts w:ascii="Arial" w:cs="Arial" w:eastAsia="Arial" w:hAnsi="Arial"/>
                <w:sz w:val="13"/>
                <w:szCs w:val="13"/>
                <w:b w:val="1"/>
                <w:bCs w:val="1"/>
                <w:color w:val="auto"/>
              </w:rPr>
              <w:t>Salary</w:t>
            </w: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1"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6"/>
                <w:szCs w:val="16"/>
                <w:b w:val="1"/>
                <w:bCs w:val="1"/>
                <w:color w:val="auto"/>
                <w:vertAlign w:val="superscript"/>
              </w:rPr>
              <w:t>(1)</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1"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6"/>
                <w:szCs w:val="16"/>
                <w:b w:val="1"/>
                <w:bCs w:val="1"/>
                <w:color w:val="auto"/>
                <w:vertAlign w:val="superscript"/>
              </w:rPr>
              <w:t>(2)</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6"/>
                <w:szCs w:val="16"/>
                <w:b w:val="1"/>
                <w:bCs w:val="1"/>
                <w:color w:val="auto"/>
                <w:vertAlign w:val="superscript"/>
              </w:rPr>
              <w:t>(3)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240"/>
              <w:spacing w:after="0" w:line="141" w:lineRule="exact"/>
              <w:rPr>
                <w:sz w:val="20"/>
                <w:szCs w:val="20"/>
                <w:color w:val="auto"/>
              </w:rPr>
            </w:pPr>
            <w:r>
              <w:rPr>
                <w:rFonts w:ascii="Arial" w:cs="Arial" w:eastAsia="Arial" w:hAnsi="Arial"/>
                <w:sz w:val="13"/>
                <w:szCs w:val="13"/>
                <w:b w:val="1"/>
                <w:bCs w:val="1"/>
                <w:color w:val="auto"/>
                <w:w w:val="97"/>
              </w:rPr>
              <w:t>Awards</w:t>
            </w:r>
          </w:p>
        </w:tc>
        <w:tc>
          <w:tcPr>
            <w:tcW w:w="8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9"/>
              </w:rPr>
              <w:t>sation</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1"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6"/>
                <w:szCs w:val="16"/>
                <w:b w:val="1"/>
                <w:bCs w:val="1"/>
                <w:color w:val="auto"/>
                <w:vertAlign w:val="superscript"/>
              </w:rPr>
              <w:t>(4)</w:t>
            </w: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1" w:lineRule="exact"/>
              <w:rPr>
                <w:sz w:val="20"/>
                <w:szCs w:val="20"/>
                <w:color w:val="auto"/>
              </w:rPr>
            </w:pPr>
            <w:r>
              <w:rPr>
                <w:rFonts w:ascii="Arial" w:cs="Arial" w:eastAsia="Arial" w:hAnsi="Arial"/>
                <w:sz w:val="10"/>
                <w:szCs w:val="10"/>
                <w:b w:val="1"/>
                <w:bCs w:val="1"/>
                <w:color w:val="auto"/>
              </w:rPr>
              <w:t>sation</w:t>
            </w:r>
            <w:r>
              <w:rPr>
                <w:rFonts w:ascii="Arial" w:cs="Arial" w:eastAsia="Arial" w:hAnsi="Arial"/>
                <w:sz w:val="16"/>
                <w:szCs w:val="16"/>
                <w:b w:val="1"/>
                <w:bCs w:val="1"/>
                <w:color w:val="auto"/>
                <w:vertAlign w:val="superscript"/>
              </w:rPr>
              <w:t>(5)</w:t>
            </w:r>
          </w:p>
        </w:tc>
        <w:tc>
          <w:tcPr>
            <w:tcW w:w="100" w:type="dxa"/>
            <w:vAlign w:val="bottom"/>
          </w:tcPr>
          <w:p>
            <w:pPr>
              <w:spacing w:after="0"/>
              <w:rPr>
                <w:sz w:val="12"/>
                <w:szCs w:val="12"/>
                <w:color w:val="auto"/>
              </w:rPr>
            </w:pPr>
          </w:p>
        </w:tc>
        <w:tc>
          <w:tcPr>
            <w:tcW w:w="86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9"/>
              </w:rPr>
              <w:t>sation</w:t>
            </w:r>
          </w:p>
        </w:tc>
        <w:tc>
          <w:tcPr>
            <w:tcW w:w="0" w:type="dxa"/>
            <w:vAlign w:val="bottom"/>
          </w:tcPr>
          <w:p>
            <w:pPr>
              <w:spacing w:after="0"/>
              <w:rPr>
                <w:sz w:val="1"/>
                <w:szCs w:val="1"/>
                <w:color w:val="auto"/>
              </w:rPr>
            </w:pPr>
          </w:p>
        </w:tc>
      </w:tr>
      <w:tr>
        <w:trPr>
          <w:trHeight w:val="159"/>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Position</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3"/>
                <w:szCs w:val="13"/>
                <w:color w:val="auto"/>
              </w:rPr>
            </w:pPr>
          </w:p>
        </w:tc>
        <w:tc>
          <w:tcPr>
            <w:tcW w:w="100" w:type="dxa"/>
            <w:vAlign w:val="bottom"/>
            <w:tcBorders>
              <w:bottom w:val="single" w:sz="8" w:color="D8D8D8"/>
            </w:tcBorders>
          </w:tcPr>
          <w:p>
            <w:pPr>
              <w:spacing w:after="0"/>
              <w:rPr>
                <w:sz w:val="13"/>
                <w:szCs w:val="13"/>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D8D8D8"/>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00" w:type="dxa"/>
            <w:vAlign w:val="bottom"/>
            <w:tcBorders>
              <w:bottom w:val="single" w:sz="8" w:color="D8D8D8"/>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D8D8D8"/>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00" w:type="dxa"/>
            <w:vAlign w:val="bottom"/>
            <w:tcBorders>
              <w:bottom w:val="single" w:sz="8" w:color="D8D8D8"/>
            </w:tcBorders>
          </w:tcPr>
          <w:p>
            <w:pPr>
              <w:spacing w:after="0"/>
              <w:rPr>
                <w:sz w:val="13"/>
                <w:szCs w:val="13"/>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D8D8D8"/>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00" w:type="dxa"/>
            <w:vAlign w:val="bottom"/>
            <w:tcBorders>
              <w:bottom w:val="single" w:sz="8" w:color="D8D8D8"/>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D8D8D8"/>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100" w:type="dxa"/>
            <w:vAlign w:val="bottom"/>
            <w:tcBorders>
              <w:bottom w:val="single" w:sz="8" w:color="D8D8D8"/>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D8D8D8"/>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720" w:type="dxa"/>
            <w:vAlign w:val="bottom"/>
            <w:gridSpan w:val="2"/>
          </w:tcPr>
          <w:p>
            <w:pPr>
              <w:spacing w:after="0"/>
              <w:rPr>
                <w:sz w:val="20"/>
                <w:szCs w:val="20"/>
                <w:color w:val="auto"/>
              </w:rPr>
            </w:pPr>
            <w:r>
              <w:rPr>
                <w:rFonts w:ascii="Arial" w:cs="Arial" w:eastAsia="Arial" w:hAnsi="Arial"/>
                <w:sz w:val="13"/>
                <w:szCs w:val="13"/>
                <w:color w:val="auto"/>
              </w:rPr>
              <w:t>Rosenfeld, Irene</w:t>
            </w:r>
          </w:p>
        </w:tc>
        <w:tc>
          <w:tcPr>
            <w:tcW w:w="360" w:type="dxa"/>
            <w:vAlign w:val="bottom"/>
          </w:tcPr>
          <w:p>
            <w:pPr>
              <w:jc w:val="right"/>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21"/>
                <w:szCs w:val="21"/>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1,540,712</w:t>
            </w:r>
          </w:p>
        </w:tc>
        <w:tc>
          <w:tcPr>
            <w:tcW w:w="100" w:type="dxa"/>
            <w:vAlign w:val="bottom"/>
            <w:shd w:val="clear" w:color="auto" w:fill="D8D8D8"/>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7,754,472</w:t>
            </w:r>
          </w:p>
        </w:tc>
        <w:tc>
          <w:tcPr>
            <w:tcW w:w="100" w:type="dxa"/>
            <w:vAlign w:val="bottom"/>
          </w:tcPr>
          <w:p>
            <w:pPr>
              <w:spacing w:after="0"/>
              <w:rPr>
                <w:sz w:val="21"/>
                <w:szCs w:val="21"/>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1,933,709</w:t>
            </w:r>
          </w:p>
        </w:tc>
        <w:tc>
          <w:tcPr>
            <w:tcW w:w="100" w:type="dxa"/>
            <w:vAlign w:val="bottom"/>
            <w:shd w:val="clear" w:color="auto" w:fill="D8D8D8"/>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4,232,000</w:t>
            </w:r>
          </w:p>
        </w:tc>
        <w:tc>
          <w:tcPr>
            <w:tcW w:w="100" w:type="dxa"/>
            <w:vAlign w:val="bottom"/>
          </w:tcPr>
          <w:p>
            <w:pPr>
              <w:spacing w:after="0"/>
              <w:rPr>
                <w:sz w:val="21"/>
                <w:szCs w:val="21"/>
                <w:color w:val="auto"/>
              </w:rPr>
            </w:pPr>
          </w:p>
        </w:tc>
        <w:tc>
          <w:tcPr>
            <w:tcW w:w="100" w:type="dxa"/>
            <w:vAlign w:val="bottom"/>
            <w:shd w:val="clear" w:color="auto" w:fill="D8D8D8"/>
          </w:tcPr>
          <w:p>
            <w:pPr>
              <w:spacing w:after="0"/>
              <w:rPr>
                <w:sz w:val="21"/>
                <w:szCs w:val="21"/>
                <w:color w:val="auto"/>
              </w:rPr>
            </w:pPr>
          </w:p>
        </w:tc>
        <w:tc>
          <w:tcPr>
            <w:tcW w:w="9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4,232,000</w:t>
            </w: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6,207,428</w:t>
            </w:r>
          </w:p>
        </w:tc>
        <w:tc>
          <w:tcPr>
            <w:tcW w:w="100" w:type="dxa"/>
            <w:vAlign w:val="bottom"/>
            <w:shd w:val="clear" w:color="auto" w:fill="D8D8D8"/>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276,373</w:t>
            </w: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21,944,694</w:t>
            </w:r>
          </w:p>
        </w:tc>
        <w:tc>
          <w:tcPr>
            <w:tcW w:w="8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200"/>
              <w:spacing w:after="0"/>
              <w:rPr>
                <w:sz w:val="20"/>
                <w:szCs w:val="20"/>
                <w:color w:val="auto"/>
              </w:rPr>
            </w:pPr>
            <w:r>
              <w:rPr>
                <w:rFonts w:ascii="Arial" w:cs="Arial" w:eastAsia="Arial" w:hAnsi="Arial"/>
                <w:sz w:val="13"/>
                <w:szCs w:val="13"/>
                <w:color w:val="auto"/>
              </w:rPr>
              <w:t>Chairman and</w:t>
            </w:r>
          </w:p>
        </w:tc>
        <w:tc>
          <w:tcPr>
            <w:tcW w:w="360" w:type="dxa"/>
            <w:vAlign w:val="bottom"/>
          </w:tcPr>
          <w:p>
            <w:pPr>
              <w:jc w:val="right"/>
              <w:spacing w:after="0"/>
              <w:rPr>
                <w:sz w:val="20"/>
                <w:szCs w:val="20"/>
                <w:color w:val="auto"/>
              </w:rPr>
            </w:pPr>
            <w:r>
              <w:rPr>
                <w:rFonts w:ascii="Arial" w:cs="Arial" w:eastAsia="Arial" w:hAnsi="Arial"/>
                <w:sz w:val="13"/>
                <w:szCs w:val="13"/>
                <w:color w:val="auto"/>
              </w:rPr>
              <w:t>2010</w:t>
            </w:r>
          </w:p>
        </w:tc>
        <w:tc>
          <w:tcPr>
            <w:tcW w:w="100" w:type="dxa"/>
            <w:vAlign w:val="bottom"/>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1,503,231</w:t>
            </w:r>
          </w:p>
        </w:tc>
        <w:tc>
          <w:tcPr>
            <w:tcW w:w="100" w:type="dxa"/>
            <w:vAlign w:val="bottom"/>
            <w:shd w:val="clear" w:color="auto" w:fill="D8D8D8"/>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7,394,668</w:t>
            </w:r>
          </w:p>
        </w:tc>
        <w:tc>
          <w:tcPr>
            <w:tcW w:w="100" w:type="dxa"/>
            <w:vAlign w:val="bottom"/>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2,095,203</w:t>
            </w:r>
          </w:p>
        </w:tc>
        <w:tc>
          <w:tcPr>
            <w:tcW w:w="100" w:type="dxa"/>
            <w:vAlign w:val="bottom"/>
            <w:shd w:val="clear" w:color="auto" w:fill="D8D8D8"/>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2,130,810</w:t>
            </w:r>
          </w:p>
        </w:tc>
        <w:tc>
          <w:tcPr>
            <w:tcW w:w="100" w:type="dxa"/>
            <w:vAlign w:val="bottom"/>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9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2,130,810</w:t>
            </w:r>
          </w:p>
        </w:tc>
        <w:tc>
          <w:tcPr>
            <w:tcW w:w="100" w:type="dxa"/>
            <w:vAlign w:val="bottom"/>
            <w:shd w:val="clear" w:color="auto" w:fill="D8D8D8"/>
          </w:tcPr>
          <w:p>
            <w:pPr>
              <w:spacing w:after="0"/>
              <w:rPr>
                <w:sz w:val="20"/>
                <w:szCs w:val="20"/>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5,812,189</w:t>
            </w:r>
          </w:p>
        </w:tc>
        <w:tc>
          <w:tcPr>
            <w:tcW w:w="100" w:type="dxa"/>
            <w:vAlign w:val="bottom"/>
            <w:shd w:val="clear" w:color="auto" w:fill="D8D8D8"/>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351,882</w:t>
            </w:r>
          </w:p>
        </w:tc>
        <w:tc>
          <w:tcPr>
            <w:tcW w:w="100" w:type="dxa"/>
            <w:vAlign w:val="bottom"/>
            <w:shd w:val="clear" w:color="auto" w:fill="D8D8D8"/>
          </w:tcPr>
          <w:p>
            <w:pPr>
              <w:spacing w:after="0"/>
              <w:rPr>
                <w:sz w:val="20"/>
                <w:szCs w:val="20"/>
                <w:color w:val="auto"/>
              </w:rPr>
            </w:pPr>
          </w:p>
        </w:tc>
        <w:tc>
          <w:tcPr>
            <w:tcW w:w="7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19,287,983</w:t>
            </w:r>
          </w:p>
        </w:tc>
        <w:tc>
          <w:tcPr>
            <w:tcW w:w="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720" w:type="dxa"/>
            <w:vAlign w:val="bottom"/>
            <w:gridSpan w:val="2"/>
          </w:tcPr>
          <w:p>
            <w:pPr>
              <w:ind w:left="200"/>
              <w:spacing w:after="0" w:line="141" w:lineRule="exact"/>
              <w:rPr>
                <w:sz w:val="20"/>
                <w:szCs w:val="20"/>
                <w:color w:val="auto"/>
              </w:rPr>
            </w:pPr>
            <w:r>
              <w:rPr>
                <w:rFonts w:ascii="Arial" w:cs="Arial" w:eastAsia="Arial" w:hAnsi="Arial"/>
                <w:sz w:val="13"/>
                <w:szCs w:val="13"/>
                <w:color w:val="auto"/>
              </w:rPr>
              <w:t>Chief Executive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20" w:type="dxa"/>
            <w:vAlign w:val="bottom"/>
            <w:gridSpan w:val="2"/>
          </w:tcPr>
          <w:p>
            <w:pPr>
              <w:ind w:left="200"/>
              <w:spacing w:after="0"/>
              <w:rPr>
                <w:sz w:val="20"/>
                <w:szCs w:val="20"/>
                <w:color w:val="auto"/>
              </w:rPr>
            </w:pPr>
            <w:r>
              <w:rPr>
                <w:rFonts w:ascii="Arial" w:cs="Arial" w:eastAsia="Arial" w:hAnsi="Arial"/>
                <w:sz w:val="13"/>
                <w:szCs w:val="13"/>
                <w:color w:val="auto"/>
              </w:rPr>
              <w:t>Officer</w:t>
            </w:r>
          </w:p>
        </w:tc>
        <w:tc>
          <w:tcPr>
            <w:tcW w:w="360" w:type="dxa"/>
            <w:vAlign w:val="bottom"/>
          </w:tcPr>
          <w:p>
            <w:pPr>
              <w:jc w:val="right"/>
              <w:spacing w:after="0"/>
              <w:rPr>
                <w:sz w:val="20"/>
                <w:szCs w:val="20"/>
                <w:color w:val="auto"/>
              </w:rPr>
            </w:pPr>
            <w:r>
              <w:rPr>
                <w:rFonts w:ascii="Arial" w:cs="Arial" w:eastAsia="Arial" w:hAnsi="Arial"/>
                <w:sz w:val="13"/>
                <w:szCs w:val="13"/>
                <w:color w:val="auto"/>
              </w:rPr>
              <w:t>2009</w:t>
            </w:r>
          </w:p>
        </w:tc>
        <w:tc>
          <w:tcPr>
            <w:tcW w:w="100" w:type="dxa"/>
            <w:vAlign w:val="bottom"/>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1,470,000</w:t>
            </w:r>
          </w:p>
        </w:tc>
        <w:tc>
          <w:tcPr>
            <w:tcW w:w="100" w:type="dxa"/>
            <w:vAlign w:val="bottom"/>
            <w:shd w:val="clear" w:color="auto" w:fill="D8D8D8"/>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7,829,371</w:t>
            </w:r>
          </w:p>
        </w:tc>
        <w:tc>
          <w:tcPr>
            <w:tcW w:w="100" w:type="dxa"/>
            <w:vAlign w:val="bottom"/>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1,857,776</w:t>
            </w:r>
          </w:p>
        </w:tc>
        <w:tc>
          <w:tcPr>
            <w:tcW w:w="100" w:type="dxa"/>
            <w:vAlign w:val="bottom"/>
            <w:shd w:val="clear" w:color="auto" w:fill="D8D8D8"/>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3,956,000</w:t>
            </w:r>
          </w:p>
        </w:tc>
        <w:tc>
          <w:tcPr>
            <w:tcW w:w="100" w:type="dxa"/>
            <w:vAlign w:val="bottom"/>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980" w:type="dxa"/>
            <w:vAlign w:val="bottom"/>
            <w:gridSpan w:val="2"/>
            <w:shd w:val="clear" w:color="auto" w:fill="D8D8D8"/>
          </w:tcPr>
          <w:p>
            <w:pPr>
              <w:jc w:val="right"/>
              <w:ind w:right="100"/>
              <w:spacing w:after="0"/>
              <w:rPr>
                <w:sz w:val="20"/>
                <w:szCs w:val="20"/>
                <w:color w:val="auto"/>
              </w:rPr>
            </w:pPr>
            <w:r>
              <w:rPr>
                <w:rFonts w:ascii="Arial" w:cs="Arial" w:eastAsia="Arial" w:hAnsi="Arial"/>
                <w:sz w:val="13"/>
                <w:szCs w:val="13"/>
                <w:color w:val="auto"/>
              </w:rPr>
              <w:t>6,628,125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10,584,125</w:t>
            </w:r>
          </w:p>
        </w:tc>
        <w:tc>
          <w:tcPr>
            <w:tcW w:w="100" w:type="dxa"/>
            <w:vAlign w:val="bottom"/>
            <w:shd w:val="clear" w:color="auto" w:fill="D8D8D8"/>
          </w:tcPr>
          <w:p>
            <w:pPr>
              <w:spacing w:after="0"/>
              <w:rPr>
                <w:sz w:val="13"/>
                <w:szCs w:val="13"/>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4,240,935</w:t>
            </w:r>
          </w:p>
        </w:tc>
        <w:tc>
          <w:tcPr>
            <w:tcW w:w="100" w:type="dxa"/>
            <w:vAlign w:val="bottom"/>
            <w:shd w:val="clear" w:color="auto" w:fill="D8D8D8"/>
          </w:tcPr>
          <w:p>
            <w:pPr>
              <w:spacing w:after="0"/>
              <w:rPr>
                <w:sz w:val="13"/>
                <w:szCs w:val="13"/>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362,994</w:t>
            </w:r>
          </w:p>
        </w:tc>
        <w:tc>
          <w:tcPr>
            <w:tcW w:w="100" w:type="dxa"/>
            <w:vAlign w:val="bottom"/>
            <w:shd w:val="clear" w:color="auto" w:fill="D8D8D8"/>
          </w:tcPr>
          <w:p>
            <w:pPr>
              <w:spacing w:after="0"/>
              <w:rPr>
                <w:sz w:val="13"/>
                <w:szCs w:val="13"/>
                <w:color w:val="auto"/>
              </w:rPr>
            </w:pPr>
          </w:p>
        </w:tc>
        <w:tc>
          <w:tcPr>
            <w:tcW w:w="7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26,345,201</w:t>
            </w:r>
          </w:p>
        </w:tc>
        <w:tc>
          <w:tcPr>
            <w:tcW w:w="8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720" w:type="dxa"/>
            <w:vAlign w:val="bottom"/>
            <w:tcBorders>
              <w:bottom w:val="single" w:sz="8" w:color="auto"/>
            </w:tcBorders>
            <w:gridSpan w:val="2"/>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680" w:type="dxa"/>
            <w:vAlign w:val="bottom"/>
            <w:tcBorders>
              <w:bottom w:val="single" w:sz="8" w:color="auto"/>
            </w:tcBorders>
            <w:shd w:val="clear" w:color="auto" w:fill="D8D8D8"/>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680" w:type="dxa"/>
            <w:vAlign w:val="bottom"/>
            <w:tcBorders>
              <w:bottom w:val="single" w:sz="8" w:color="auto"/>
            </w:tcBorders>
            <w:shd w:val="clear" w:color="auto" w:fill="D8D8D8"/>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880" w:type="dxa"/>
            <w:vAlign w:val="bottom"/>
            <w:tcBorders>
              <w:bottom w:val="single" w:sz="8" w:color="auto"/>
            </w:tcBorders>
            <w:shd w:val="clear" w:color="auto" w:fill="D8D8D8"/>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680" w:type="dxa"/>
            <w:vAlign w:val="bottom"/>
            <w:tcBorders>
              <w:bottom w:val="single" w:sz="8" w:color="auto"/>
            </w:tcBorders>
            <w:shd w:val="clear" w:color="auto" w:fill="D8D8D8"/>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shd w:val="clear" w:color="auto" w:fill="D8D8D8"/>
          </w:tcPr>
          <w:p>
            <w:pPr>
              <w:spacing w:after="0"/>
              <w:rPr>
                <w:sz w:val="12"/>
                <w:szCs w:val="12"/>
                <w:color w:val="auto"/>
              </w:rPr>
            </w:pPr>
          </w:p>
        </w:tc>
        <w:tc>
          <w:tcPr>
            <w:tcW w:w="780" w:type="dxa"/>
            <w:vAlign w:val="bottom"/>
            <w:tcBorders>
              <w:bottom w:val="single" w:sz="8" w:color="auto"/>
            </w:tcBorders>
            <w:shd w:val="clear" w:color="auto" w:fill="D8D8D8"/>
          </w:tcPr>
          <w:p>
            <w:pPr>
              <w:spacing w:after="0"/>
              <w:rPr>
                <w:sz w:val="12"/>
                <w:szCs w:val="12"/>
                <w:color w:val="auto"/>
              </w:rPr>
            </w:pPr>
          </w:p>
        </w:tc>
        <w:tc>
          <w:tcPr>
            <w:tcW w:w="80" w:type="dxa"/>
            <w:vAlign w:val="bottom"/>
            <w:tcBorders>
              <w:bottom w:val="single" w:sz="8" w:color="auto"/>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363"/>
        </w:trPr>
        <w:tc>
          <w:tcPr>
            <w:tcW w:w="2720" w:type="dxa"/>
            <w:vAlign w:val="bottom"/>
            <w:gridSpan w:val="2"/>
          </w:tcPr>
          <w:p>
            <w:pPr>
              <w:spacing w:after="0"/>
              <w:rPr>
                <w:sz w:val="20"/>
                <w:szCs w:val="20"/>
                <w:color w:val="auto"/>
              </w:rPr>
            </w:pPr>
            <w:r>
              <w:rPr>
                <w:rFonts w:ascii="Arial" w:cs="Arial" w:eastAsia="Arial" w:hAnsi="Arial"/>
                <w:sz w:val="13"/>
                <w:szCs w:val="13"/>
                <w:color w:val="auto"/>
              </w:rPr>
              <w:t>Brearton, David</w:t>
            </w:r>
            <w:r>
              <w:rPr>
                <w:rFonts w:ascii="Arial" w:cs="Arial" w:eastAsia="Arial" w:hAnsi="Arial"/>
                <w:sz w:val="21"/>
                <w:szCs w:val="21"/>
                <w:color w:val="auto"/>
                <w:vertAlign w:val="superscript"/>
              </w:rPr>
              <w:t>(6)</w:t>
            </w:r>
          </w:p>
        </w:tc>
        <w:tc>
          <w:tcPr>
            <w:tcW w:w="360" w:type="dxa"/>
            <w:vAlign w:val="bottom"/>
          </w:tcPr>
          <w:p>
            <w:pPr>
              <w:jc w:val="right"/>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619,327</w:t>
            </w:r>
          </w:p>
        </w:tc>
        <w:tc>
          <w:tcPr>
            <w:tcW w:w="100" w:type="dxa"/>
            <w:vAlign w:val="bottom"/>
            <w:shd w:val="clear" w:color="auto" w:fill="D8D8D8"/>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3"/>
                <w:szCs w:val="13"/>
                <w:color w:val="auto"/>
              </w:rPr>
              <w:t>893,762</w:t>
            </w:r>
          </w:p>
        </w:tc>
        <w:tc>
          <w:tcPr>
            <w:tcW w:w="100" w:type="dxa"/>
            <w:vAlign w:val="bottom"/>
            <w:shd w:val="clear" w:color="auto" w:fill="D8D8D8"/>
          </w:tcPr>
          <w:p>
            <w:pPr>
              <w:spacing w:after="0"/>
              <w:rPr>
                <w:sz w:val="24"/>
                <w:szCs w:val="24"/>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325,953</w:t>
            </w:r>
          </w:p>
        </w:tc>
        <w:tc>
          <w:tcPr>
            <w:tcW w:w="100" w:type="dxa"/>
            <w:vAlign w:val="bottom"/>
            <w:shd w:val="clear" w:color="auto" w:fill="D8D8D8"/>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742,900</w:t>
            </w:r>
          </w:p>
        </w:tc>
        <w:tc>
          <w:tcPr>
            <w:tcW w:w="100" w:type="dxa"/>
            <w:vAlign w:val="bottom"/>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9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742,900</w:t>
            </w:r>
          </w:p>
        </w:tc>
        <w:tc>
          <w:tcPr>
            <w:tcW w:w="100" w:type="dxa"/>
            <w:vAlign w:val="bottom"/>
            <w:shd w:val="clear" w:color="auto" w:fill="D8D8D8"/>
          </w:tcPr>
          <w:p>
            <w:pPr>
              <w:spacing w:after="0"/>
              <w:rPr>
                <w:sz w:val="24"/>
                <w:szCs w:val="24"/>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940,758</w:t>
            </w:r>
          </w:p>
        </w:tc>
        <w:tc>
          <w:tcPr>
            <w:tcW w:w="100" w:type="dxa"/>
            <w:vAlign w:val="bottom"/>
            <w:shd w:val="clear" w:color="auto" w:fill="D8D8D8"/>
          </w:tcPr>
          <w:p>
            <w:pPr>
              <w:spacing w:after="0"/>
              <w:rPr>
                <w:sz w:val="24"/>
                <w:szCs w:val="2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62,553</w:t>
            </w:r>
          </w:p>
        </w:tc>
        <w:tc>
          <w:tcPr>
            <w:tcW w:w="100" w:type="dxa"/>
            <w:vAlign w:val="bottom"/>
            <w:shd w:val="clear" w:color="auto" w:fill="D8D8D8"/>
          </w:tcPr>
          <w:p>
            <w:pPr>
              <w:spacing w:after="0"/>
              <w:rPr>
                <w:sz w:val="24"/>
                <w:szCs w:val="24"/>
                <w:color w:val="auto"/>
              </w:rPr>
            </w:pPr>
          </w:p>
        </w:tc>
        <w:tc>
          <w:tcPr>
            <w:tcW w:w="7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3,585,253</w:t>
            </w:r>
          </w:p>
        </w:tc>
        <w:tc>
          <w:tcPr>
            <w:tcW w:w="8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720" w:type="dxa"/>
            <w:vAlign w:val="bottom"/>
            <w:gridSpan w:val="2"/>
          </w:tcPr>
          <w:p>
            <w:pPr>
              <w:ind w:left="200"/>
              <w:spacing w:after="0" w:line="141" w:lineRule="exact"/>
              <w:rPr>
                <w:sz w:val="20"/>
                <w:szCs w:val="20"/>
                <w:color w:val="auto"/>
              </w:rPr>
            </w:pPr>
            <w:r>
              <w:rPr>
                <w:rFonts w:ascii="Arial" w:cs="Arial" w:eastAsia="Arial" w:hAnsi="Arial"/>
                <w:sz w:val="13"/>
                <w:szCs w:val="13"/>
                <w:color w:val="auto"/>
              </w:rPr>
              <w:t>Executive Vice President and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720" w:type="dxa"/>
            <w:vAlign w:val="bottom"/>
            <w:gridSpan w:val="2"/>
          </w:tcPr>
          <w:p>
            <w:pPr>
              <w:ind w:left="200"/>
              <w:spacing w:after="0" w:line="141" w:lineRule="exact"/>
              <w:rPr>
                <w:sz w:val="20"/>
                <w:szCs w:val="20"/>
                <w:color w:val="auto"/>
              </w:rPr>
            </w:pPr>
            <w:r>
              <w:rPr>
                <w:rFonts w:ascii="Arial" w:cs="Arial" w:eastAsia="Arial" w:hAnsi="Arial"/>
                <w:sz w:val="13"/>
                <w:szCs w:val="13"/>
                <w:color w:val="auto"/>
              </w:rPr>
              <w:t>Chief Financial</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2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color w:val="auto"/>
              </w:rPr>
              <w:t>Officer</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6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6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8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6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780" w:type="dxa"/>
            <w:vAlign w:val="bottom"/>
            <w:tcBorders>
              <w:bottom w:val="single" w:sz="8" w:color="auto"/>
            </w:tcBorders>
            <w:shd w:val="clear" w:color="auto" w:fill="D8D8D8"/>
          </w:tcPr>
          <w:p>
            <w:pPr>
              <w:spacing w:after="0"/>
              <w:rPr>
                <w:sz w:val="13"/>
                <w:szCs w:val="13"/>
                <w:color w:val="auto"/>
              </w:rPr>
            </w:pPr>
          </w:p>
        </w:tc>
        <w:tc>
          <w:tcPr>
            <w:tcW w:w="80" w:type="dxa"/>
            <w:vAlign w:val="bottom"/>
            <w:tcBorders>
              <w:bottom w:val="single" w:sz="8" w:color="auto"/>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2720" w:type="dxa"/>
            <w:vAlign w:val="bottom"/>
            <w:gridSpan w:val="2"/>
          </w:tcPr>
          <w:p>
            <w:pPr>
              <w:spacing w:after="0"/>
              <w:rPr>
                <w:sz w:val="20"/>
                <w:szCs w:val="20"/>
                <w:color w:val="auto"/>
              </w:rPr>
            </w:pPr>
            <w:r>
              <w:rPr>
                <w:rFonts w:ascii="Arial" w:cs="Arial" w:eastAsia="Arial" w:hAnsi="Arial"/>
                <w:sz w:val="13"/>
                <w:szCs w:val="13"/>
                <w:color w:val="auto"/>
              </w:rPr>
              <w:t>McLevish, Timothy</w:t>
            </w:r>
            <w:r>
              <w:rPr>
                <w:rFonts w:ascii="Arial" w:cs="Arial" w:eastAsia="Arial" w:hAnsi="Arial"/>
                <w:sz w:val="21"/>
                <w:szCs w:val="21"/>
                <w:color w:val="auto"/>
                <w:vertAlign w:val="superscript"/>
              </w:rPr>
              <w:t>(7)</w:t>
            </w:r>
          </w:p>
        </w:tc>
        <w:tc>
          <w:tcPr>
            <w:tcW w:w="360" w:type="dxa"/>
            <w:vAlign w:val="bottom"/>
          </w:tcPr>
          <w:p>
            <w:pPr>
              <w:jc w:val="right"/>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24"/>
                <w:szCs w:val="24"/>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758,081</w:t>
            </w:r>
          </w:p>
        </w:tc>
        <w:tc>
          <w:tcPr>
            <w:tcW w:w="100" w:type="dxa"/>
            <w:vAlign w:val="bottom"/>
            <w:shd w:val="clear" w:color="auto" w:fill="D8D8D8"/>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2,066,667</w:t>
            </w:r>
          </w:p>
        </w:tc>
        <w:tc>
          <w:tcPr>
            <w:tcW w:w="100" w:type="dxa"/>
            <w:vAlign w:val="bottom"/>
          </w:tcPr>
          <w:p>
            <w:pPr>
              <w:spacing w:after="0"/>
              <w:rPr>
                <w:sz w:val="24"/>
                <w:szCs w:val="24"/>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542,976</w:t>
            </w:r>
          </w:p>
        </w:tc>
        <w:tc>
          <w:tcPr>
            <w:tcW w:w="100" w:type="dxa"/>
            <w:vAlign w:val="bottom"/>
            <w:shd w:val="clear" w:color="auto" w:fill="D8D8D8"/>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980,000</w:t>
            </w:r>
          </w:p>
        </w:tc>
        <w:tc>
          <w:tcPr>
            <w:tcW w:w="100" w:type="dxa"/>
            <w:vAlign w:val="bottom"/>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9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980,000</w:t>
            </w: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292,451</w:t>
            </w:r>
          </w:p>
        </w:tc>
        <w:tc>
          <w:tcPr>
            <w:tcW w:w="100" w:type="dxa"/>
            <w:vAlign w:val="bottom"/>
            <w:shd w:val="clear" w:color="auto" w:fill="D8D8D8"/>
          </w:tcPr>
          <w:p>
            <w:pPr>
              <w:spacing w:after="0"/>
              <w:rPr>
                <w:sz w:val="24"/>
                <w:szCs w:val="2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90,244</w:t>
            </w: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4,730,419</w:t>
            </w:r>
          </w:p>
        </w:tc>
        <w:tc>
          <w:tcPr>
            <w:tcW w:w="8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720" w:type="dxa"/>
            <w:vAlign w:val="bottom"/>
            <w:gridSpan w:val="2"/>
          </w:tcPr>
          <w:p>
            <w:pPr>
              <w:ind w:left="200"/>
              <w:spacing w:after="0" w:line="141" w:lineRule="exact"/>
              <w:rPr>
                <w:sz w:val="20"/>
                <w:szCs w:val="20"/>
                <w:color w:val="auto"/>
              </w:rPr>
            </w:pPr>
            <w:r>
              <w:rPr>
                <w:rFonts w:ascii="Arial" w:cs="Arial" w:eastAsia="Arial" w:hAnsi="Arial"/>
                <w:sz w:val="13"/>
                <w:szCs w:val="13"/>
                <w:color w:val="auto"/>
              </w:rPr>
              <w:t>Executive Vice President and</w:t>
            </w:r>
          </w:p>
        </w:tc>
        <w:tc>
          <w:tcPr>
            <w:tcW w:w="360" w:type="dxa"/>
            <w:vAlign w:val="bottom"/>
          </w:tcPr>
          <w:p>
            <w:pPr>
              <w:jc w:val="right"/>
              <w:spacing w:after="0" w:line="141" w:lineRule="exact"/>
              <w:rPr>
                <w:sz w:val="20"/>
                <w:szCs w:val="20"/>
                <w:color w:val="auto"/>
              </w:rPr>
            </w:pPr>
            <w:r>
              <w:rPr>
                <w:rFonts w:ascii="Arial" w:cs="Arial" w:eastAsia="Arial" w:hAnsi="Arial"/>
                <w:sz w:val="13"/>
                <w:szCs w:val="13"/>
                <w:color w:val="auto"/>
              </w:rPr>
              <w:t>2010</w:t>
            </w:r>
          </w:p>
        </w:tc>
        <w:tc>
          <w:tcPr>
            <w:tcW w:w="100" w:type="dxa"/>
            <w:vAlign w:val="bottom"/>
          </w:tcPr>
          <w:p>
            <w:pPr>
              <w:spacing w:after="0"/>
              <w:rPr>
                <w:sz w:val="12"/>
                <w:szCs w:val="12"/>
                <w:color w:val="auto"/>
              </w:rPr>
            </w:pPr>
          </w:p>
        </w:tc>
        <w:tc>
          <w:tcPr>
            <w:tcW w:w="780" w:type="dxa"/>
            <w:vAlign w:val="bottom"/>
            <w:gridSpan w:val="2"/>
            <w:shd w:val="clear" w:color="auto" w:fill="D8D8D8"/>
          </w:tcPr>
          <w:p>
            <w:pPr>
              <w:jc w:val="right"/>
              <w:spacing w:after="0" w:line="141" w:lineRule="exact"/>
              <w:rPr>
                <w:sz w:val="20"/>
                <w:szCs w:val="20"/>
                <w:color w:val="auto"/>
              </w:rPr>
            </w:pPr>
            <w:r>
              <w:rPr>
                <w:rFonts w:ascii="Arial" w:cs="Arial" w:eastAsia="Arial" w:hAnsi="Arial"/>
                <w:sz w:val="13"/>
                <w:szCs w:val="13"/>
                <w:color w:val="auto"/>
              </w:rPr>
              <w:t>736,923</w:t>
            </w:r>
          </w:p>
        </w:tc>
        <w:tc>
          <w:tcPr>
            <w:tcW w:w="100" w:type="dxa"/>
            <w:vAlign w:val="bottom"/>
            <w:shd w:val="clear" w:color="auto" w:fill="D8D8D8"/>
          </w:tcPr>
          <w:p>
            <w:pPr>
              <w:spacing w:after="0"/>
              <w:rPr>
                <w:sz w:val="12"/>
                <w:szCs w:val="12"/>
                <w:color w:val="auto"/>
              </w:rPr>
            </w:pPr>
          </w:p>
        </w:tc>
        <w:tc>
          <w:tcPr>
            <w:tcW w:w="7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1,956,975</w:t>
            </w:r>
          </w:p>
        </w:tc>
        <w:tc>
          <w:tcPr>
            <w:tcW w:w="100" w:type="dxa"/>
            <w:vAlign w:val="bottom"/>
          </w:tcPr>
          <w:p>
            <w:pPr>
              <w:spacing w:after="0"/>
              <w:rPr>
                <w:sz w:val="12"/>
                <w:szCs w:val="12"/>
                <w:color w:val="auto"/>
              </w:rPr>
            </w:pPr>
          </w:p>
        </w:tc>
        <w:tc>
          <w:tcPr>
            <w:tcW w:w="780" w:type="dxa"/>
            <w:vAlign w:val="bottom"/>
            <w:gridSpan w:val="2"/>
            <w:shd w:val="clear" w:color="auto" w:fill="D8D8D8"/>
          </w:tcPr>
          <w:p>
            <w:pPr>
              <w:jc w:val="right"/>
              <w:spacing w:after="0" w:line="141" w:lineRule="exact"/>
              <w:rPr>
                <w:sz w:val="20"/>
                <w:szCs w:val="20"/>
                <w:color w:val="auto"/>
              </w:rPr>
            </w:pPr>
            <w:r>
              <w:rPr>
                <w:rFonts w:ascii="Arial" w:cs="Arial" w:eastAsia="Arial" w:hAnsi="Arial"/>
                <w:sz w:val="13"/>
                <w:szCs w:val="13"/>
                <w:color w:val="auto"/>
              </w:rPr>
              <w:t>566,795</w:t>
            </w:r>
          </w:p>
        </w:tc>
        <w:tc>
          <w:tcPr>
            <w:tcW w:w="100" w:type="dxa"/>
            <w:vAlign w:val="bottom"/>
            <w:shd w:val="clear" w:color="auto" w:fill="D8D8D8"/>
          </w:tcPr>
          <w:p>
            <w:pPr>
              <w:spacing w:after="0"/>
              <w:rPr>
                <w:sz w:val="12"/>
                <w:szCs w:val="12"/>
                <w:color w:val="auto"/>
              </w:rPr>
            </w:pPr>
          </w:p>
        </w:tc>
        <w:tc>
          <w:tcPr>
            <w:tcW w:w="78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665,000</w:t>
            </w: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98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665,000</w:t>
            </w:r>
          </w:p>
        </w:tc>
        <w:tc>
          <w:tcPr>
            <w:tcW w:w="780" w:type="dxa"/>
            <w:vAlign w:val="bottom"/>
            <w:gridSpan w:val="2"/>
            <w:shd w:val="clear" w:color="auto" w:fill="D8D8D8"/>
          </w:tcPr>
          <w:p>
            <w:pPr>
              <w:jc w:val="right"/>
              <w:spacing w:after="0" w:line="141" w:lineRule="exact"/>
              <w:rPr>
                <w:sz w:val="20"/>
                <w:szCs w:val="20"/>
                <w:color w:val="auto"/>
              </w:rPr>
            </w:pPr>
            <w:r>
              <w:rPr>
                <w:rFonts w:ascii="Arial" w:cs="Arial" w:eastAsia="Arial" w:hAnsi="Arial"/>
                <w:sz w:val="13"/>
                <w:szCs w:val="13"/>
                <w:color w:val="auto"/>
              </w:rPr>
              <w:t>268,411</w:t>
            </w:r>
          </w:p>
        </w:tc>
        <w:tc>
          <w:tcPr>
            <w:tcW w:w="100" w:type="dxa"/>
            <w:vAlign w:val="bottom"/>
            <w:shd w:val="clear" w:color="auto" w:fill="D8D8D8"/>
          </w:tcPr>
          <w:p>
            <w:pPr>
              <w:spacing w:after="0"/>
              <w:rPr>
                <w:sz w:val="12"/>
                <w:szCs w:val="12"/>
                <w:color w:val="auto"/>
              </w:rPr>
            </w:pPr>
          </w:p>
        </w:tc>
        <w:tc>
          <w:tcPr>
            <w:tcW w:w="8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115,752</w:t>
            </w:r>
          </w:p>
        </w:tc>
        <w:tc>
          <w:tcPr>
            <w:tcW w:w="880" w:type="dxa"/>
            <w:vAlign w:val="bottom"/>
            <w:gridSpan w:val="2"/>
            <w:shd w:val="clear" w:color="auto" w:fill="D8D8D8"/>
          </w:tcPr>
          <w:p>
            <w:pPr>
              <w:jc w:val="right"/>
              <w:spacing w:after="0" w:line="141" w:lineRule="exact"/>
              <w:rPr>
                <w:sz w:val="20"/>
                <w:szCs w:val="20"/>
                <w:color w:val="auto"/>
              </w:rPr>
            </w:pPr>
            <w:r>
              <w:rPr>
                <w:rFonts w:ascii="Arial" w:cs="Arial" w:eastAsia="Arial" w:hAnsi="Arial"/>
                <w:sz w:val="13"/>
                <w:szCs w:val="13"/>
                <w:color w:val="auto"/>
              </w:rPr>
              <w:t>4,309,856</w:t>
            </w: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720" w:type="dxa"/>
            <w:vAlign w:val="bottom"/>
            <w:gridSpan w:val="2"/>
          </w:tcPr>
          <w:p>
            <w:pPr>
              <w:ind w:left="200"/>
              <w:spacing w:after="0" w:line="141" w:lineRule="exact"/>
              <w:rPr>
                <w:sz w:val="20"/>
                <w:szCs w:val="20"/>
                <w:color w:val="auto"/>
              </w:rPr>
            </w:pPr>
            <w:r>
              <w:rPr>
                <w:rFonts w:ascii="Arial" w:cs="Arial" w:eastAsia="Arial" w:hAnsi="Arial"/>
                <w:sz w:val="13"/>
                <w:szCs w:val="13"/>
                <w:color w:val="auto"/>
              </w:rPr>
              <w:t>former Chief</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2009</w:t>
            </w:r>
          </w:p>
        </w:tc>
        <w:tc>
          <w:tcPr>
            <w:tcW w:w="100" w:type="dxa"/>
            <w:vAlign w:val="bottom"/>
          </w:tcPr>
          <w:p>
            <w:pPr>
              <w:spacing w:after="0"/>
              <w:rPr>
                <w:sz w:val="12"/>
                <w:szCs w:val="12"/>
                <w:color w:val="auto"/>
              </w:rPr>
            </w:pPr>
          </w:p>
        </w:tc>
        <w:tc>
          <w:tcPr>
            <w:tcW w:w="780" w:type="dxa"/>
            <w:vAlign w:val="bottom"/>
            <w:gridSpan w:val="2"/>
            <w:vMerge w:val="restart"/>
            <w:shd w:val="clear" w:color="auto" w:fill="D8D8D8"/>
          </w:tcPr>
          <w:p>
            <w:pPr>
              <w:jc w:val="right"/>
              <w:spacing w:after="0"/>
              <w:rPr>
                <w:sz w:val="20"/>
                <w:szCs w:val="20"/>
                <w:color w:val="auto"/>
              </w:rPr>
            </w:pPr>
            <w:r>
              <w:rPr>
                <w:rFonts w:ascii="Arial" w:cs="Arial" w:eastAsia="Arial" w:hAnsi="Arial"/>
                <w:sz w:val="13"/>
                <w:szCs w:val="13"/>
                <w:color w:val="auto"/>
              </w:rPr>
              <w:t>700,000</w:t>
            </w:r>
          </w:p>
        </w:tc>
        <w:tc>
          <w:tcPr>
            <w:tcW w:w="100" w:type="dxa"/>
            <w:vAlign w:val="bottom"/>
            <w:shd w:val="clear" w:color="auto" w:fill="D8D8D8"/>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1,941,578</w:t>
            </w:r>
          </w:p>
        </w:tc>
        <w:tc>
          <w:tcPr>
            <w:tcW w:w="100" w:type="dxa"/>
            <w:vAlign w:val="bottom"/>
          </w:tcPr>
          <w:p>
            <w:pPr>
              <w:spacing w:after="0"/>
              <w:rPr>
                <w:sz w:val="12"/>
                <w:szCs w:val="12"/>
                <w:color w:val="auto"/>
              </w:rPr>
            </w:pPr>
          </w:p>
        </w:tc>
        <w:tc>
          <w:tcPr>
            <w:tcW w:w="780" w:type="dxa"/>
            <w:vAlign w:val="bottom"/>
            <w:gridSpan w:val="2"/>
            <w:vMerge w:val="restart"/>
            <w:shd w:val="clear" w:color="auto" w:fill="D8D8D8"/>
          </w:tcPr>
          <w:p>
            <w:pPr>
              <w:jc w:val="right"/>
              <w:spacing w:after="0"/>
              <w:rPr>
                <w:sz w:val="20"/>
                <w:szCs w:val="20"/>
                <w:color w:val="auto"/>
              </w:rPr>
            </w:pPr>
            <w:r>
              <w:rPr>
                <w:rFonts w:ascii="Arial" w:cs="Arial" w:eastAsia="Arial" w:hAnsi="Arial"/>
                <w:sz w:val="13"/>
                <w:szCs w:val="13"/>
                <w:color w:val="auto"/>
              </w:rPr>
              <w:t>396,854</w:t>
            </w:r>
          </w:p>
        </w:tc>
        <w:tc>
          <w:tcPr>
            <w:tcW w:w="100" w:type="dxa"/>
            <w:vAlign w:val="bottom"/>
            <w:shd w:val="clear" w:color="auto" w:fill="D8D8D8"/>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1,287,000</w:t>
            </w:r>
          </w:p>
        </w:tc>
        <w:tc>
          <w:tcPr>
            <w:tcW w:w="100" w:type="dxa"/>
            <w:vAlign w:val="bottom"/>
          </w:tcPr>
          <w:p>
            <w:pPr>
              <w:spacing w:after="0"/>
              <w:rPr>
                <w:sz w:val="12"/>
                <w:szCs w:val="12"/>
                <w:color w:val="auto"/>
              </w:rPr>
            </w:pPr>
          </w:p>
        </w:tc>
        <w:tc>
          <w:tcPr>
            <w:tcW w:w="1080" w:type="dxa"/>
            <w:vAlign w:val="bottom"/>
            <w:gridSpan w:val="3"/>
            <w:vMerge w:val="restart"/>
            <w:shd w:val="clear" w:color="auto" w:fill="D8D8D8"/>
          </w:tcPr>
          <w:p>
            <w:pPr>
              <w:jc w:val="right"/>
              <w:ind w:right="100"/>
              <w:spacing w:after="0"/>
              <w:rPr>
                <w:sz w:val="20"/>
                <w:szCs w:val="20"/>
                <w:color w:val="auto"/>
              </w:rPr>
            </w:pPr>
            <w:r>
              <w:rPr>
                <w:rFonts w:ascii="Arial" w:cs="Arial" w:eastAsia="Arial" w:hAnsi="Arial"/>
                <w:sz w:val="13"/>
                <w:szCs w:val="13"/>
                <w:color w:val="auto"/>
              </w:rPr>
              <w:t>792,219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2,079,219</w:t>
            </w:r>
          </w:p>
        </w:tc>
        <w:tc>
          <w:tcPr>
            <w:tcW w:w="780" w:type="dxa"/>
            <w:vAlign w:val="bottom"/>
            <w:gridSpan w:val="2"/>
            <w:vMerge w:val="restart"/>
            <w:shd w:val="clear" w:color="auto" w:fill="D8D8D8"/>
          </w:tcPr>
          <w:p>
            <w:pPr>
              <w:jc w:val="right"/>
              <w:spacing w:after="0"/>
              <w:rPr>
                <w:sz w:val="20"/>
                <w:szCs w:val="20"/>
                <w:color w:val="auto"/>
              </w:rPr>
            </w:pPr>
            <w:r>
              <w:rPr>
                <w:rFonts w:ascii="Arial" w:cs="Arial" w:eastAsia="Arial" w:hAnsi="Arial"/>
                <w:sz w:val="13"/>
                <w:szCs w:val="13"/>
                <w:color w:val="auto"/>
              </w:rPr>
              <w:t>185,003</w:t>
            </w:r>
          </w:p>
        </w:tc>
        <w:tc>
          <w:tcPr>
            <w:tcW w:w="100" w:type="dxa"/>
            <w:vAlign w:val="bottom"/>
            <w:shd w:val="clear" w:color="auto" w:fill="D8D8D8"/>
          </w:tcPr>
          <w:p>
            <w:pPr>
              <w:spacing w:after="0"/>
              <w:rPr>
                <w:sz w:val="12"/>
                <w:szCs w:val="12"/>
                <w:color w:val="auto"/>
              </w:rPr>
            </w:pPr>
          </w:p>
        </w:tc>
        <w:tc>
          <w:tcPr>
            <w:tcW w:w="84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103,224</w:t>
            </w:r>
          </w:p>
        </w:tc>
        <w:tc>
          <w:tcPr>
            <w:tcW w:w="880" w:type="dxa"/>
            <w:vAlign w:val="bottom"/>
            <w:gridSpan w:val="2"/>
            <w:vMerge w:val="restart"/>
            <w:shd w:val="clear" w:color="auto" w:fill="D8D8D8"/>
          </w:tcPr>
          <w:p>
            <w:pPr>
              <w:jc w:val="right"/>
              <w:spacing w:after="0"/>
              <w:rPr>
                <w:sz w:val="20"/>
                <w:szCs w:val="20"/>
                <w:color w:val="auto"/>
              </w:rPr>
            </w:pPr>
            <w:r>
              <w:rPr>
                <w:rFonts w:ascii="Arial" w:cs="Arial" w:eastAsia="Arial" w:hAnsi="Arial"/>
                <w:sz w:val="13"/>
                <w:szCs w:val="13"/>
                <w:color w:val="auto"/>
              </w:rPr>
              <w:t>5,405,878</w:t>
            </w: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720" w:type="dxa"/>
            <w:vAlign w:val="bottom"/>
            <w:gridSpan w:val="2"/>
            <w:vMerge w:val="restart"/>
          </w:tcPr>
          <w:p>
            <w:pPr>
              <w:ind w:left="200"/>
              <w:spacing w:after="0"/>
              <w:rPr>
                <w:sz w:val="20"/>
                <w:szCs w:val="20"/>
                <w:color w:val="auto"/>
              </w:rPr>
            </w:pPr>
            <w:r>
              <w:rPr>
                <w:rFonts w:ascii="Arial" w:cs="Arial" w:eastAsia="Arial" w:hAnsi="Arial"/>
                <w:sz w:val="13"/>
                <w:szCs w:val="13"/>
                <w:color w:val="auto"/>
              </w:rPr>
              <w:t>Financial Officer</w:t>
            </w:r>
          </w:p>
        </w:tc>
        <w:tc>
          <w:tcPr>
            <w:tcW w:w="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shd w:val="clear" w:color="auto" w:fill="D8D8D8"/>
          </w:tcPr>
          <w:p>
            <w:pPr>
              <w:spacing w:after="0"/>
              <w:rPr>
                <w:sz w:val="7"/>
                <w:szCs w:val="7"/>
                <w:color w:val="auto"/>
              </w:rPr>
            </w:pPr>
          </w:p>
        </w:tc>
        <w:tc>
          <w:tcPr>
            <w:tcW w:w="100" w:type="dxa"/>
            <w:vAlign w:val="bottom"/>
            <w:shd w:val="clear" w:color="auto" w:fill="D8D8D8"/>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shd w:val="clear" w:color="auto" w:fill="D8D8D8"/>
          </w:tcPr>
          <w:p>
            <w:pPr>
              <w:spacing w:after="0"/>
              <w:rPr>
                <w:sz w:val="7"/>
                <w:szCs w:val="7"/>
                <w:color w:val="auto"/>
              </w:rPr>
            </w:pPr>
          </w:p>
        </w:tc>
        <w:tc>
          <w:tcPr>
            <w:tcW w:w="100" w:type="dxa"/>
            <w:vAlign w:val="bottom"/>
            <w:shd w:val="clear" w:color="auto" w:fill="D8D8D8"/>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3"/>
            <w:vMerge w:val="continue"/>
            <w:shd w:val="clear" w:color="auto" w:fill="D8D8D8"/>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80" w:type="dxa"/>
            <w:vAlign w:val="bottom"/>
            <w:gridSpan w:val="2"/>
            <w:vMerge w:val="continue"/>
            <w:shd w:val="clear" w:color="auto" w:fill="D8D8D8"/>
          </w:tcPr>
          <w:p>
            <w:pPr>
              <w:spacing w:after="0"/>
              <w:rPr>
                <w:sz w:val="7"/>
                <w:szCs w:val="7"/>
                <w:color w:val="auto"/>
              </w:rPr>
            </w:pPr>
          </w:p>
        </w:tc>
        <w:tc>
          <w:tcPr>
            <w:tcW w:w="100" w:type="dxa"/>
            <w:vAlign w:val="bottom"/>
            <w:shd w:val="clear" w:color="auto" w:fill="D8D8D8"/>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880" w:type="dxa"/>
            <w:vAlign w:val="bottom"/>
            <w:gridSpan w:val="2"/>
            <w:vMerge w:val="continue"/>
            <w:shd w:val="clear" w:color="auto" w:fill="D8D8D8"/>
          </w:tcPr>
          <w:p>
            <w:pPr>
              <w:spacing w:after="0"/>
              <w:rPr>
                <w:sz w:val="7"/>
                <w:szCs w:val="7"/>
                <w:color w:val="auto"/>
              </w:rPr>
            </w:pPr>
          </w:p>
        </w:tc>
        <w:tc>
          <w:tcPr>
            <w:tcW w:w="8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720" w:type="dxa"/>
            <w:vAlign w:val="bottom"/>
            <w:tcBorders>
              <w:bottom w:val="single" w:sz="8" w:color="auto"/>
            </w:tcBorders>
            <w:gridSpan w:val="2"/>
            <w:vMerge w:val="continue"/>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shd w:val="clear" w:color="auto" w:fill="D8D8D8"/>
          </w:tcPr>
          <w:p>
            <w:pPr>
              <w:spacing w:after="0"/>
              <w:rPr>
                <w:sz w:val="5"/>
                <w:szCs w:val="5"/>
                <w:color w:val="auto"/>
              </w:rPr>
            </w:pPr>
          </w:p>
        </w:tc>
        <w:tc>
          <w:tcPr>
            <w:tcW w:w="680" w:type="dxa"/>
            <w:vAlign w:val="bottom"/>
            <w:tcBorders>
              <w:bottom w:val="single" w:sz="8" w:color="auto"/>
            </w:tcBorders>
            <w:shd w:val="clear" w:color="auto" w:fill="D8D8D8"/>
          </w:tcPr>
          <w:p>
            <w:pPr>
              <w:spacing w:after="0"/>
              <w:rPr>
                <w:sz w:val="5"/>
                <w:szCs w:val="5"/>
                <w:color w:val="auto"/>
              </w:rPr>
            </w:pPr>
          </w:p>
        </w:tc>
        <w:tc>
          <w:tcPr>
            <w:tcW w:w="100" w:type="dxa"/>
            <w:vAlign w:val="bottom"/>
            <w:tcBorders>
              <w:bottom w:val="single" w:sz="8" w:color="auto"/>
            </w:tcBorders>
            <w:shd w:val="clear" w:color="auto" w:fill="D8D8D8"/>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shd w:val="clear" w:color="auto" w:fill="D8D8D8"/>
          </w:tcPr>
          <w:p>
            <w:pPr>
              <w:spacing w:after="0"/>
              <w:rPr>
                <w:sz w:val="5"/>
                <w:szCs w:val="5"/>
                <w:color w:val="auto"/>
              </w:rPr>
            </w:pPr>
          </w:p>
        </w:tc>
        <w:tc>
          <w:tcPr>
            <w:tcW w:w="680" w:type="dxa"/>
            <w:vAlign w:val="bottom"/>
            <w:tcBorders>
              <w:bottom w:val="single" w:sz="8" w:color="auto"/>
            </w:tcBorders>
            <w:shd w:val="clear" w:color="auto" w:fill="D8D8D8"/>
          </w:tcPr>
          <w:p>
            <w:pPr>
              <w:spacing w:after="0"/>
              <w:rPr>
                <w:sz w:val="5"/>
                <w:szCs w:val="5"/>
                <w:color w:val="auto"/>
              </w:rPr>
            </w:pPr>
          </w:p>
        </w:tc>
        <w:tc>
          <w:tcPr>
            <w:tcW w:w="100" w:type="dxa"/>
            <w:vAlign w:val="bottom"/>
            <w:tcBorders>
              <w:bottom w:val="single" w:sz="8" w:color="auto"/>
            </w:tcBorders>
            <w:shd w:val="clear" w:color="auto" w:fill="D8D8D8"/>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shd w:val="clear" w:color="auto" w:fill="D8D8D8"/>
          </w:tcPr>
          <w:p>
            <w:pPr>
              <w:spacing w:after="0"/>
              <w:rPr>
                <w:sz w:val="5"/>
                <w:szCs w:val="5"/>
                <w:color w:val="auto"/>
              </w:rPr>
            </w:pPr>
          </w:p>
        </w:tc>
        <w:tc>
          <w:tcPr>
            <w:tcW w:w="880" w:type="dxa"/>
            <w:vAlign w:val="bottom"/>
            <w:tcBorders>
              <w:bottom w:val="single" w:sz="8" w:color="auto"/>
            </w:tcBorders>
            <w:shd w:val="clear" w:color="auto" w:fill="D8D8D8"/>
          </w:tcPr>
          <w:p>
            <w:pPr>
              <w:spacing w:after="0"/>
              <w:rPr>
                <w:sz w:val="5"/>
                <w:szCs w:val="5"/>
                <w:color w:val="auto"/>
              </w:rPr>
            </w:pPr>
          </w:p>
        </w:tc>
        <w:tc>
          <w:tcPr>
            <w:tcW w:w="100" w:type="dxa"/>
            <w:vAlign w:val="bottom"/>
            <w:tcBorders>
              <w:bottom w:val="single" w:sz="8" w:color="auto"/>
            </w:tcBorders>
            <w:shd w:val="clear" w:color="auto" w:fill="D8D8D8"/>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shd w:val="clear" w:color="auto" w:fill="D8D8D8"/>
          </w:tcPr>
          <w:p>
            <w:pPr>
              <w:spacing w:after="0"/>
              <w:rPr>
                <w:sz w:val="5"/>
                <w:szCs w:val="5"/>
                <w:color w:val="auto"/>
              </w:rPr>
            </w:pPr>
          </w:p>
        </w:tc>
        <w:tc>
          <w:tcPr>
            <w:tcW w:w="680" w:type="dxa"/>
            <w:vAlign w:val="bottom"/>
            <w:tcBorders>
              <w:bottom w:val="single" w:sz="8" w:color="auto"/>
            </w:tcBorders>
            <w:shd w:val="clear" w:color="auto" w:fill="D8D8D8"/>
          </w:tcPr>
          <w:p>
            <w:pPr>
              <w:spacing w:after="0"/>
              <w:rPr>
                <w:sz w:val="5"/>
                <w:szCs w:val="5"/>
                <w:color w:val="auto"/>
              </w:rPr>
            </w:pPr>
          </w:p>
        </w:tc>
        <w:tc>
          <w:tcPr>
            <w:tcW w:w="100" w:type="dxa"/>
            <w:vAlign w:val="bottom"/>
            <w:tcBorders>
              <w:bottom w:val="single" w:sz="8" w:color="auto"/>
            </w:tcBorders>
            <w:shd w:val="clear" w:color="auto" w:fill="D8D8D8"/>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shd w:val="clear" w:color="auto" w:fill="D8D8D8"/>
          </w:tcPr>
          <w:p>
            <w:pPr>
              <w:spacing w:after="0"/>
              <w:rPr>
                <w:sz w:val="5"/>
                <w:szCs w:val="5"/>
                <w:color w:val="auto"/>
              </w:rPr>
            </w:pPr>
          </w:p>
        </w:tc>
        <w:tc>
          <w:tcPr>
            <w:tcW w:w="780" w:type="dxa"/>
            <w:vAlign w:val="bottom"/>
            <w:tcBorders>
              <w:bottom w:val="single" w:sz="8" w:color="auto"/>
            </w:tcBorders>
            <w:shd w:val="clear" w:color="auto" w:fill="D8D8D8"/>
          </w:tcPr>
          <w:p>
            <w:pPr>
              <w:spacing w:after="0"/>
              <w:rPr>
                <w:sz w:val="5"/>
                <w:szCs w:val="5"/>
                <w:color w:val="auto"/>
              </w:rPr>
            </w:pPr>
          </w:p>
        </w:tc>
        <w:tc>
          <w:tcPr>
            <w:tcW w:w="80" w:type="dxa"/>
            <w:vAlign w:val="bottom"/>
            <w:tcBorders>
              <w:bottom w:val="single" w:sz="8" w:color="auto"/>
            </w:tcBorders>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720" w:type="dxa"/>
            <w:vAlign w:val="bottom"/>
            <w:gridSpan w:val="2"/>
          </w:tcPr>
          <w:p>
            <w:pPr>
              <w:spacing w:after="0"/>
              <w:rPr>
                <w:sz w:val="20"/>
                <w:szCs w:val="20"/>
                <w:color w:val="auto"/>
              </w:rPr>
            </w:pPr>
            <w:r>
              <w:rPr>
                <w:rFonts w:ascii="Arial" w:cs="Arial" w:eastAsia="Arial" w:hAnsi="Arial"/>
                <w:sz w:val="13"/>
                <w:szCs w:val="13"/>
                <w:color w:val="auto"/>
              </w:rPr>
              <w:t>Khosla, Sanjay</w:t>
            </w:r>
          </w:p>
        </w:tc>
        <w:tc>
          <w:tcPr>
            <w:tcW w:w="360" w:type="dxa"/>
            <w:vAlign w:val="bottom"/>
          </w:tcPr>
          <w:p>
            <w:pPr>
              <w:jc w:val="right"/>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24"/>
                <w:szCs w:val="24"/>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751,019</w:t>
            </w:r>
          </w:p>
        </w:tc>
        <w:tc>
          <w:tcPr>
            <w:tcW w:w="100" w:type="dxa"/>
            <w:vAlign w:val="bottom"/>
            <w:shd w:val="clear" w:color="auto" w:fill="D8D8D8"/>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1,493,661</w:t>
            </w:r>
          </w:p>
        </w:tc>
        <w:tc>
          <w:tcPr>
            <w:tcW w:w="100" w:type="dxa"/>
            <w:vAlign w:val="bottom"/>
          </w:tcPr>
          <w:p>
            <w:pPr>
              <w:spacing w:after="0"/>
              <w:rPr>
                <w:sz w:val="24"/>
                <w:szCs w:val="24"/>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361,997</w:t>
            </w:r>
          </w:p>
        </w:tc>
        <w:tc>
          <w:tcPr>
            <w:tcW w:w="100" w:type="dxa"/>
            <w:vAlign w:val="bottom"/>
            <w:shd w:val="clear" w:color="auto" w:fill="D8D8D8"/>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1,036,000</w:t>
            </w:r>
          </w:p>
        </w:tc>
        <w:tc>
          <w:tcPr>
            <w:tcW w:w="100" w:type="dxa"/>
            <w:vAlign w:val="bottom"/>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9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1,036,000</w:t>
            </w: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372,165</w:t>
            </w:r>
          </w:p>
        </w:tc>
        <w:tc>
          <w:tcPr>
            <w:tcW w:w="100" w:type="dxa"/>
            <w:vAlign w:val="bottom"/>
            <w:shd w:val="clear" w:color="auto" w:fill="D8D8D8"/>
          </w:tcPr>
          <w:p>
            <w:pPr>
              <w:spacing w:after="0"/>
              <w:rPr>
                <w:sz w:val="24"/>
                <w:szCs w:val="2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94,199</w:t>
            </w: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4,109,041</w:t>
            </w:r>
          </w:p>
        </w:tc>
        <w:tc>
          <w:tcPr>
            <w:tcW w:w="8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200"/>
              <w:spacing w:after="0"/>
              <w:rPr>
                <w:sz w:val="20"/>
                <w:szCs w:val="20"/>
                <w:color w:val="auto"/>
              </w:rPr>
            </w:pPr>
            <w:r>
              <w:rPr>
                <w:rFonts w:ascii="Arial" w:cs="Arial" w:eastAsia="Arial" w:hAnsi="Arial"/>
                <w:sz w:val="13"/>
                <w:szCs w:val="13"/>
                <w:color w:val="auto"/>
              </w:rPr>
              <w:t>Executive Vice President and</w:t>
            </w:r>
          </w:p>
        </w:tc>
        <w:tc>
          <w:tcPr>
            <w:tcW w:w="360" w:type="dxa"/>
            <w:vAlign w:val="bottom"/>
          </w:tcPr>
          <w:p>
            <w:pPr>
              <w:jc w:val="right"/>
              <w:spacing w:after="0"/>
              <w:rPr>
                <w:sz w:val="20"/>
                <w:szCs w:val="20"/>
                <w:color w:val="auto"/>
              </w:rPr>
            </w:pPr>
            <w:r>
              <w:rPr>
                <w:rFonts w:ascii="Arial" w:cs="Arial" w:eastAsia="Arial" w:hAnsi="Arial"/>
                <w:sz w:val="13"/>
                <w:szCs w:val="13"/>
                <w:color w:val="auto"/>
              </w:rPr>
              <w:t>2010</w:t>
            </w:r>
          </w:p>
        </w:tc>
        <w:tc>
          <w:tcPr>
            <w:tcW w:w="100" w:type="dxa"/>
            <w:vAlign w:val="bottom"/>
          </w:tcPr>
          <w:p>
            <w:pPr>
              <w:spacing w:after="0"/>
              <w:rPr>
                <w:sz w:val="20"/>
                <w:szCs w:val="20"/>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734,769</w:t>
            </w:r>
          </w:p>
        </w:tc>
        <w:tc>
          <w:tcPr>
            <w:tcW w:w="100" w:type="dxa"/>
            <w:vAlign w:val="bottom"/>
            <w:shd w:val="clear" w:color="auto" w:fill="D8D8D8"/>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1,374,580</w:t>
            </w:r>
          </w:p>
        </w:tc>
        <w:tc>
          <w:tcPr>
            <w:tcW w:w="100" w:type="dxa"/>
            <w:vAlign w:val="bottom"/>
          </w:tcPr>
          <w:p>
            <w:pPr>
              <w:spacing w:after="0"/>
              <w:rPr>
                <w:sz w:val="20"/>
                <w:szCs w:val="20"/>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321,272</w:t>
            </w:r>
          </w:p>
        </w:tc>
        <w:tc>
          <w:tcPr>
            <w:tcW w:w="100" w:type="dxa"/>
            <w:vAlign w:val="bottom"/>
            <w:shd w:val="clear" w:color="auto" w:fill="D8D8D8"/>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847,200</w:t>
            </w:r>
          </w:p>
        </w:tc>
        <w:tc>
          <w:tcPr>
            <w:tcW w:w="100" w:type="dxa"/>
            <w:vAlign w:val="bottom"/>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9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847,200</w:t>
            </w: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297,788</w:t>
            </w:r>
          </w:p>
        </w:tc>
        <w:tc>
          <w:tcPr>
            <w:tcW w:w="100" w:type="dxa"/>
            <w:vAlign w:val="bottom"/>
            <w:shd w:val="clear" w:color="auto" w:fill="D8D8D8"/>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101,118</w:t>
            </w: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3,676,727</w:t>
            </w:r>
          </w:p>
        </w:tc>
        <w:tc>
          <w:tcPr>
            <w:tcW w:w="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720" w:type="dxa"/>
            <w:vAlign w:val="bottom"/>
            <w:gridSpan w:val="2"/>
          </w:tcPr>
          <w:p>
            <w:pPr>
              <w:ind w:left="200"/>
              <w:spacing w:after="0" w:line="141" w:lineRule="exact"/>
              <w:rPr>
                <w:sz w:val="20"/>
                <w:szCs w:val="20"/>
                <w:color w:val="auto"/>
              </w:rPr>
            </w:pPr>
            <w:r>
              <w:rPr>
                <w:rFonts w:ascii="Arial" w:cs="Arial" w:eastAsia="Arial" w:hAnsi="Arial"/>
                <w:sz w:val="13"/>
                <w:szCs w:val="13"/>
                <w:color w:val="auto"/>
              </w:rPr>
              <w:t>President,</w:t>
            </w: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2009</w:t>
            </w:r>
          </w:p>
        </w:tc>
        <w:tc>
          <w:tcPr>
            <w:tcW w:w="100" w:type="dxa"/>
            <w:vAlign w:val="bottom"/>
          </w:tcPr>
          <w:p>
            <w:pPr>
              <w:spacing w:after="0"/>
              <w:rPr>
                <w:sz w:val="12"/>
                <w:szCs w:val="12"/>
                <w:color w:val="auto"/>
              </w:rPr>
            </w:pPr>
          </w:p>
        </w:tc>
        <w:tc>
          <w:tcPr>
            <w:tcW w:w="780" w:type="dxa"/>
            <w:vAlign w:val="bottom"/>
            <w:gridSpan w:val="2"/>
            <w:vMerge w:val="restart"/>
            <w:shd w:val="clear" w:color="auto" w:fill="D8D8D8"/>
          </w:tcPr>
          <w:p>
            <w:pPr>
              <w:jc w:val="right"/>
              <w:spacing w:after="0"/>
              <w:rPr>
                <w:sz w:val="20"/>
                <w:szCs w:val="20"/>
                <w:color w:val="auto"/>
              </w:rPr>
            </w:pPr>
            <w:r>
              <w:rPr>
                <w:rFonts w:ascii="Arial" w:cs="Arial" w:eastAsia="Arial" w:hAnsi="Arial"/>
                <w:sz w:val="13"/>
                <w:szCs w:val="13"/>
                <w:color w:val="auto"/>
              </w:rPr>
              <w:t>720,000</w:t>
            </w:r>
          </w:p>
        </w:tc>
        <w:tc>
          <w:tcPr>
            <w:tcW w:w="100" w:type="dxa"/>
            <w:vAlign w:val="bottom"/>
            <w:shd w:val="clear" w:color="auto" w:fill="D8D8D8"/>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2,389,562</w:t>
            </w:r>
          </w:p>
        </w:tc>
        <w:tc>
          <w:tcPr>
            <w:tcW w:w="100" w:type="dxa"/>
            <w:vAlign w:val="bottom"/>
          </w:tcPr>
          <w:p>
            <w:pPr>
              <w:spacing w:after="0"/>
              <w:rPr>
                <w:sz w:val="12"/>
                <w:szCs w:val="12"/>
                <w:color w:val="auto"/>
              </w:rPr>
            </w:pPr>
          </w:p>
        </w:tc>
        <w:tc>
          <w:tcPr>
            <w:tcW w:w="780" w:type="dxa"/>
            <w:vAlign w:val="bottom"/>
            <w:gridSpan w:val="2"/>
            <w:vMerge w:val="restart"/>
            <w:shd w:val="clear" w:color="auto" w:fill="D8D8D8"/>
          </w:tcPr>
          <w:p>
            <w:pPr>
              <w:jc w:val="right"/>
              <w:spacing w:after="0"/>
              <w:rPr>
                <w:sz w:val="20"/>
                <w:szCs w:val="20"/>
                <w:color w:val="auto"/>
              </w:rPr>
            </w:pPr>
            <w:r>
              <w:rPr>
                <w:rFonts w:ascii="Arial" w:cs="Arial" w:eastAsia="Arial" w:hAnsi="Arial"/>
                <w:sz w:val="13"/>
                <w:szCs w:val="13"/>
                <w:color w:val="auto"/>
              </w:rPr>
              <w:t>215,472</w:t>
            </w:r>
          </w:p>
        </w:tc>
        <w:tc>
          <w:tcPr>
            <w:tcW w:w="100" w:type="dxa"/>
            <w:vAlign w:val="bottom"/>
            <w:shd w:val="clear" w:color="auto" w:fill="D8D8D8"/>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1,050,000</w:t>
            </w:r>
          </w:p>
        </w:tc>
        <w:tc>
          <w:tcPr>
            <w:tcW w:w="100" w:type="dxa"/>
            <w:vAlign w:val="bottom"/>
          </w:tcPr>
          <w:p>
            <w:pPr>
              <w:spacing w:after="0"/>
              <w:rPr>
                <w:sz w:val="12"/>
                <w:szCs w:val="12"/>
                <w:color w:val="auto"/>
              </w:rPr>
            </w:pPr>
          </w:p>
        </w:tc>
        <w:tc>
          <w:tcPr>
            <w:tcW w:w="1080" w:type="dxa"/>
            <w:vAlign w:val="bottom"/>
            <w:gridSpan w:val="3"/>
            <w:vMerge w:val="restart"/>
            <w:shd w:val="clear" w:color="auto" w:fill="D8D8D8"/>
          </w:tcPr>
          <w:p>
            <w:pPr>
              <w:jc w:val="right"/>
              <w:ind w:right="100"/>
              <w:spacing w:after="0"/>
              <w:rPr>
                <w:sz w:val="20"/>
                <w:szCs w:val="20"/>
                <w:color w:val="auto"/>
              </w:rPr>
            </w:pPr>
            <w:r>
              <w:rPr>
                <w:rFonts w:ascii="Arial" w:cs="Arial" w:eastAsia="Arial" w:hAnsi="Arial"/>
                <w:sz w:val="13"/>
                <w:szCs w:val="13"/>
                <w:color w:val="auto"/>
              </w:rPr>
              <w:t>900,583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1,950,583</w:t>
            </w:r>
          </w:p>
        </w:tc>
        <w:tc>
          <w:tcPr>
            <w:tcW w:w="780" w:type="dxa"/>
            <w:vAlign w:val="bottom"/>
            <w:gridSpan w:val="2"/>
            <w:vMerge w:val="restart"/>
            <w:shd w:val="clear" w:color="auto" w:fill="D8D8D8"/>
          </w:tcPr>
          <w:p>
            <w:pPr>
              <w:jc w:val="right"/>
              <w:spacing w:after="0"/>
              <w:rPr>
                <w:sz w:val="20"/>
                <w:szCs w:val="20"/>
                <w:color w:val="auto"/>
              </w:rPr>
            </w:pPr>
            <w:r>
              <w:rPr>
                <w:rFonts w:ascii="Arial" w:cs="Arial" w:eastAsia="Arial" w:hAnsi="Arial"/>
                <w:sz w:val="13"/>
                <w:szCs w:val="13"/>
                <w:color w:val="auto"/>
              </w:rPr>
              <w:t>237,206</w:t>
            </w:r>
          </w:p>
        </w:tc>
        <w:tc>
          <w:tcPr>
            <w:tcW w:w="100" w:type="dxa"/>
            <w:vAlign w:val="bottom"/>
            <w:shd w:val="clear" w:color="auto" w:fill="D8D8D8"/>
          </w:tcPr>
          <w:p>
            <w:pPr>
              <w:spacing w:after="0"/>
              <w:rPr>
                <w:sz w:val="12"/>
                <w:szCs w:val="12"/>
                <w:color w:val="auto"/>
              </w:rPr>
            </w:pPr>
          </w:p>
        </w:tc>
        <w:tc>
          <w:tcPr>
            <w:tcW w:w="84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275,190</w:t>
            </w:r>
          </w:p>
        </w:tc>
        <w:tc>
          <w:tcPr>
            <w:tcW w:w="880" w:type="dxa"/>
            <w:vAlign w:val="bottom"/>
            <w:gridSpan w:val="2"/>
            <w:vMerge w:val="restart"/>
            <w:shd w:val="clear" w:color="auto" w:fill="D8D8D8"/>
          </w:tcPr>
          <w:p>
            <w:pPr>
              <w:jc w:val="right"/>
              <w:spacing w:after="0"/>
              <w:rPr>
                <w:sz w:val="20"/>
                <w:szCs w:val="20"/>
                <w:color w:val="auto"/>
              </w:rPr>
            </w:pPr>
            <w:r>
              <w:rPr>
                <w:rFonts w:ascii="Arial" w:cs="Arial" w:eastAsia="Arial" w:hAnsi="Arial"/>
                <w:sz w:val="13"/>
                <w:szCs w:val="13"/>
                <w:color w:val="auto"/>
              </w:rPr>
              <w:t>5,788,013</w:t>
            </w: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720" w:type="dxa"/>
            <w:vAlign w:val="bottom"/>
            <w:gridSpan w:val="2"/>
            <w:vMerge w:val="restart"/>
          </w:tcPr>
          <w:p>
            <w:pPr>
              <w:ind w:left="200"/>
              <w:spacing w:after="0" w:line="141" w:lineRule="exact"/>
              <w:rPr>
                <w:sz w:val="20"/>
                <w:szCs w:val="20"/>
                <w:color w:val="auto"/>
              </w:rPr>
            </w:pPr>
            <w:r>
              <w:rPr>
                <w:rFonts w:ascii="Arial" w:cs="Arial" w:eastAsia="Arial" w:hAnsi="Arial"/>
                <w:sz w:val="13"/>
                <w:szCs w:val="13"/>
                <w:color w:val="auto"/>
              </w:rPr>
              <w:t>Developing</w:t>
            </w:r>
          </w:p>
        </w:tc>
        <w:tc>
          <w:tcPr>
            <w:tcW w:w="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shd w:val="clear" w:color="auto" w:fill="D8D8D8"/>
          </w:tcPr>
          <w:p>
            <w:pPr>
              <w:spacing w:after="0"/>
              <w:rPr>
                <w:sz w:val="7"/>
                <w:szCs w:val="7"/>
                <w:color w:val="auto"/>
              </w:rPr>
            </w:pPr>
          </w:p>
        </w:tc>
        <w:tc>
          <w:tcPr>
            <w:tcW w:w="100" w:type="dxa"/>
            <w:vAlign w:val="bottom"/>
            <w:shd w:val="clear" w:color="auto" w:fill="D8D8D8"/>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shd w:val="clear" w:color="auto" w:fill="D8D8D8"/>
          </w:tcPr>
          <w:p>
            <w:pPr>
              <w:spacing w:after="0"/>
              <w:rPr>
                <w:sz w:val="7"/>
                <w:szCs w:val="7"/>
                <w:color w:val="auto"/>
              </w:rPr>
            </w:pPr>
          </w:p>
        </w:tc>
        <w:tc>
          <w:tcPr>
            <w:tcW w:w="100" w:type="dxa"/>
            <w:vAlign w:val="bottom"/>
            <w:shd w:val="clear" w:color="auto" w:fill="D8D8D8"/>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3"/>
            <w:vMerge w:val="continue"/>
            <w:shd w:val="clear" w:color="auto" w:fill="D8D8D8"/>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80" w:type="dxa"/>
            <w:vAlign w:val="bottom"/>
            <w:gridSpan w:val="2"/>
            <w:vMerge w:val="continue"/>
            <w:shd w:val="clear" w:color="auto" w:fill="D8D8D8"/>
          </w:tcPr>
          <w:p>
            <w:pPr>
              <w:spacing w:after="0"/>
              <w:rPr>
                <w:sz w:val="7"/>
                <w:szCs w:val="7"/>
                <w:color w:val="auto"/>
              </w:rPr>
            </w:pPr>
          </w:p>
        </w:tc>
        <w:tc>
          <w:tcPr>
            <w:tcW w:w="100" w:type="dxa"/>
            <w:vAlign w:val="bottom"/>
            <w:shd w:val="clear" w:color="auto" w:fill="D8D8D8"/>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880" w:type="dxa"/>
            <w:vAlign w:val="bottom"/>
            <w:gridSpan w:val="2"/>
            <w:vMerge w:val="continue"/>
            <w:shd w:val="clear" w:color="auto" w:fill="D8D8D8"/>
          </w:tcPr>
          <w:p>
            <w:pPr>
              <w:spacing w:after="0"/>
              <w:rPr>
                <w:sz w:val="7"/>
                <w:szCs w:val="7"/>
                <w:color w:val="auto"/>
              </w:rPr>
            </w:pPr>
          </w:p>
        </w:tc>
        <w:tc>
          <w:tcPr>
            <w:tcW w:w="8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7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shd w:val="clear" w:color="auto" w:fill="D8D8D8"/>
          </w:tcPr>
          <w:p>
            <w:pPr>
              <w:spacing w:after="0"/>
              <w:rPr>
                <w:sz w:val="4"/>
                <w:szCs w:val="4"/>
                <w:color w:val="auto"/>
              </w:rPr>
            </w:pPr>
          </w:p>
        </w:tc>
        <w:tc>
          <w:tcPr>
            <w:tcW w:w="680" w:type="dxa"/>
            <w:vAlign w:val="bottom"/>
            <w:shd w:val="clear" w:color="auto" w:fill="D8D8D8"/>
          </w:tcPr>
          <w:p>
            <w:pPr>
              <w:spacing w:after="0"/>
              <w:rPr>
                <w:sz w:val="4"/>
                <w:szCs w:val="4"/>
                <w:color w:val="auto"/>
              </w:rPr>
            </w:pPr>
          </w:p>
        </w:tc>
        <w:tc>
          <w:tcPr>
            <w:tcW w:w="100" w:type="dxa"/>
            <w:vAlign w:val="bottom"/>
            <w:shd w:val="clear" w:color="auto" w:fill="D8D8D8"/>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shd w:val="clear" w:color="auto" w:fill="D8D8D8"/>
          </w:tcPr>
          <w:p>
            <w:pPr>
              <w:spacing w:after="0"/>
              <w:rPr>
                <w:sz w:val="4"/>
                <w:szCs w:val="4"/>
                <w:color w:val="auto"/>
              </w:rPr>
            </w:pPr>
          </w:p>
        </w:tc>
        <w:tc>
          <w:tcPr>
            <w:tcW w:w="680" w:type="dxa"/>
            <w:vAlign w:val="bottom"/>
            <w:shd w:val="clear" w:color="auto" w:fill="D8D8D8"/>
          </w:tcPr>
          <w:p>
            <w:pPr>
              <w:spacing w:after="0"/>
              <w:rPr>
                <w:sz w:val="4"/>
                <w:szCs w:val="4"/>
                <w:color w:val="auto"/>
              </w:rPr>
            </w:pPr>
          </w:p>
        </w:tc>
        <w:tc>
          <w:tcPr>
            <w:tcW w:w="100" w:type="dxa"/>
            <w:vAlign w:val="bottom"/>
            <w:shd w:val="clear" w:color="auto" w:fill="D8D8D8"/>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shd w:val="clear" w:color="auto" w:fill="D8D8D8"/>
          </w:tcPr>
          <w:p>
            <w:pPr>
              <w:spacing w:after="0"/>
              <w:rPr>
                <w:sz w:val="4"/>
                <w:szCs w:val="4"/>
                <w:color w:val="auto"/>
              </w:rPr>
            </w:pPr>
          </w:p>
        </w:tc>
        <w:tc>
          <w:tcPr>
            <w:tcW w:w="880" w:type="dxa"/>
            <w:vAlign w:val="bottom"/>
            <w:shd w:val="clear" w:color="auto" w:fill="D8D8D8"/>
          </w:tcPr>
          <w:p>
            <w:pPr>
              <w:spacing w:after="0"/>
              <w:rPr>
                <w:sz w:val="4"/>
                <w:szCs w:val="4"/>
                <w:color w:val="auto"/>
              </w:rPr>
            </w:pPr>
          </w:p>
        </w:tc>
        <w:tc>
          <w:tcPr>
            <w:tcW w:w="100" w:type="dxa"/>
            <w:vAlign w:val="bottom"/>
            <w:shd w:val="clear" w:color="auto" w:fill="D8D8D8"/>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shd w:val="clear" w:color="auto" w:fill="D8D8D8"/>
          </w:tcPr>
          <w:p>
            <w:pPr>
              <w:spacing w:after="0"/>
              <w:rPr>
                <w:sz w:val="4"/>
                <w:szCs w:val="4"/>
                <w:color w:val="auto"/>
              </w:rPr>
            </w:pPr>
          </w:p>
        </w:tc>
        <w:tc>
          <w:tcPr>
            <w:tcW w:w="680" w:type="dxa"/>
            <w:vAlign w:val="bottom"/>
            <w:shd w:val="clear" w:color="auto" w:fill="D8D8D8"/>
          </w:tcPr>
          <w:p>
            <w:pPr>
              <w:spacing w:after="0"/>
              <w:rPr>
                <w:sz w:val="4"/>
                <w:szCs w:val="4"/>
                <w:color w:val="auto"/>
              </w:rPr>
            </w:pPr>
          </w:p>
        </w:tc>
        <w:tc>
          <w:tcPr>
            <w:tcW w:w="100" w:type="dxa"/>
            <w:vAlign w:val="bottom"/>
            <w:shd w:val="clear" w:color="auto" w:fill="D8D8D8"/>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shd w:val="clear" w:color="auto" w:fill="D8D8D8"/>
          </w:tcPr>
          <w:p>
            <w:pPr>
              <w:spacing w:after="0"/>
              <w:rPr>
                <w:sz w:val="4"/>
                <w:szCs w:val="4"/>
                <w:color w:val="auto"/>
              </w:rPr>
            </w:pPr>
          </w:p>
        </w:tc>
        <w:tc>
          <w:tcPr>
            <w:tcW w:w="780" w:type="dxa"/>
            <w:vAlign w:val="bottom"/>
            <w:shd w:val="clear" w:color="auto" w:fill="D8D8D8"/>
          </w:tcPr>
          <w:p>
            <w:pPr>
              <w:spacing w:after="0"/>
              <w:rPr>
                <w:sz w:val="4"/>
                <w:szCs w:val="4"/>
                <w:color w:val="auto"/>
              </w:rPr>
            </w:pPr>
          </w:p>
        </w:tc>
        <w:tc>
          <w:tcPr>
            <w:tcW w:w="80" w:type="dxa"/>
            <w:vAlign w:val="bottom"/>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72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color w:val="auto"/>
              </w:rPr>
              <w:t>Markets</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6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6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8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6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780" w:type="dxa"/>
            <w:vAlign w:val="bottom"/>
            <w:tcBorders>
              <w:bottom w:val="single" w:sz="8" w:color="auto"/>
            </w:tcBorders>
            <w:shd w:val="clear" w:color="auto" w:fill="D8D8D8"/>
          </w:tcPr>
          <w:p>
            <w:pPr>
              <w:spacing w:after="0"/>
              <w:rPr>
                <w:sz w:val="13"/>
                <w:szCs w:val="13"/>
                <w:color w:val="auto"/>
              </w:rPr>
            </w:pPr>
          </w:p>
        </w:tc>
        <w:tc>
          <w:tcPr>
            <w:tcW w:w="80" w:type="dxa"/>
            <w:vAlign w:val="bottom"/>
            <w:tcBorders>
              <w:bottom w:val="single" w:sz="8" w:color="auto"/>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376"/>
        </w:trPr>
        <w:tc>
          <w:tcPr>
            <w:tcW w:w="2720" w:type="dxa"/>
            <w:vAlign w:val="bottom"/>
            <w:gridSpan w:val="2"/>
          </w:tcPr>
          <w:p>
            <w:pPr>
              <w:spacing w:after="0"/>
              <w:rPr>
                <w:sz w:val="20"/>
                <w:szCs w:val="20"/>
                <w:color w:val="auto"/>
              </w:rPr>
            </w:pPr>
            <w:r>
              <w:rPr>
                <w:rFonts w:ascii="Arial" w:cs="Arial" w:eastAsia="Arial" w:hAnsi="Arial"/>
                <w:sz w:val="13"/>
                <w:szCs w:val="13"/>
                <w:color w:val="auto"/>
              </w:rPr>
              <w:t>Vernon, W. Anthony</w:t>
            </w:r>
          </w:p>
        </w:tc>
        <w:tc>
          <w:tcPr>
            <w:tcW w:w="360" w:type="dxa"/>
            <w:vAlign w:val="bottom"/>
          </w:tcPr>
          <w:p>
            <w:pPr>
              <w:jc w:val="right"/>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24"/>
                <w:szCs w:val="24"/>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758,081</w:t>
            </w:r>
          </w:p>
        </w:tc>
        <w:tc>
          <w:tcPr>
            <w:tcW w:w="100" w:type="dxa"/>
            <w:vAlign w:val="bottom"/>
            <w:shd w:val="clear" w:color="auto" w:fill="D8D8D8"/>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2,016,702</w:t>
            </w:r>
          </w:p>
        </w:tc>
        <w:tc>
          <w:tcPr>
            <w:tcW w:w="100" w:type="dxa"/>
            <w:vAlign w:val="bottom"/>
          </w:tcPr>
          <w:p>
            <w:pPr>
              <w:spacing w:after="0"/>
              <w:rPr>
                <w:sz w:val="24"/>
                <w:szCs w:val="24"/>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506,803</w:t>
            </w:r>
          </w:p>
        </w:tc>
        <w:tc>
          <w:tcPr>
            <w:tcW w:w="100" w:type="dxa"/>
            <w:vAlign w:val="bottom"/>
            <w:shd w:val="clear" w:color="auto" w:fill="D8D8D8"/>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1,167,000</w:t>
            </w:r>
          </w:p>
        </w:tc>
        <w:tc>
          <w:tcPr>
            <w:tcW w:w="100" w:type="dxa"/>
            <w:vAlign w:val="bottom"/>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9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1,167,000</w:t>
            </w:r>
          </w:p>
        </w:tc>
        <w:tc>
          <w:tcPr>
            <w:tcW w:w="100" w:type="dxa"/>
            <w:vAlign w:val="bottom"/>
            <w:shd w:val="clear" w:color="auto" w:fill="D8D8D8"/>
          </w:tcPr>
          <w:p>
            <w:pPr>
              <w:spacing w:after="0"/>
              <w:rPr>
                <w:sz w:val="24"/>
                <w:szCs w:val="24"/>
                <w:color w:val="auto"/>
              </w:rPr>
            </w:pPr>
          </w:p>
        </w:tc>
        <w:tc>
          <w:tcPr>
            <w:tcW w:w="780" w:type="dxa"/>
            <w:vAlign w:val="bottom"/>
            <w:gridSpan w:val="2"/>
            <w:shd w:val="clear" w:color="auto" w:fill="D8D8D8"/>
          </w:tcPr>
          <w:p>
            <w:pPr>
              <w:ind w:left="480"/>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133,055</w:t>
            </w: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4,581,641</w:t>
            </w:r>
          </w:p>
        </w:tc>
        <w:tc>
          <w:tcPr>
            <w:tcW w:w="8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ind w:left="200"/>
              <w:spacing w:after="0"/>
              <w:rPr>
                <w:sz w:val="20"/>
                <w:szCs w:val="20"/>
                <w:color w:val="auto"/>
              </w:rPr>
            </w:pPr>
            <w:r>
              <w:rPr>
                <w:rFonts w:ascii="Arial" w:cs="Arial" w:eastAsia="Arial" w:hAnsi="Arial"/>
                <w:sz w:val="13"/>
                <w:szCs w:val="13"/>
                <w:color w:val="auto"/>
              </w:rPr>
              <w:t>Executive Vice President and</w:t>
            </w:r>
          </w:p>
        </w:tc>
        <w:tc>
          <w:tcPr>
            <w:tcW w:w="360" w:type="dxa"/>
            <w:vAlign w:val="bottom"/>
          </w:tcPr>
          <w:p>
            <w:pPr>
              <w:jc w:val="right"/>
              <w:spacing w:after="0"/>
              <w:rPr>
                <w:sz w:val="20"/>
                <w:szCs w:val="20"/>
                <w:color w:val="auto"/>
              </w:rPr>
            </w:pPr>
            <w:r>
              <w:rPr>
                <w:rFonts w:ascii="Arial" w:cs="Arial" w:eastAsia="Arial" w:hAnsi="Arial"/>
                <w:sz w:val="13"/>
                <w:szCs w:val="13"/>
                <w:color w:val="auto"/>
              </w:rPr>
              <w:t>2010</w:t>
            </w:r>
          </w:p>
        </w:tc>
        <w:tc>
          <w:tcPr>
            <w:tcW w:w="100" w:type="dxa"/>
            <w:vAlign w:val="bottom"/>
          </w:tcPr>
          <w:p>
            <w:pPr>
              <w:spacing w:after="0"/>
              <w:rPr>
                <w:sz w:val="20"/>
                <w:szCs w:val="20"/>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743,462</w:t>
            </w:r>
          </w:p>
        </w:tc>
        <w:tc>
          <w:tcPr>
            <w:tcW w:w="100" w:type="dxa"/>
            <w:vAlign w:val="bottom"/>
            <w:shd w:val="clear" w:color="auto" w:fill="D8D8D8"/>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1,900,236</w:t>
            </w:r>
          </w:p>
        </w:tc>
        <w:tc>
          <w:tcPr>
            <w:tcW w:w="100" w:type="dxa"/>
            <w:vAlign w:val="bottom"/>
          </w:tcPr>
          <w:p>
            <w:pPr>
              <w:spacing w:after="0"/>
              <w:rPr>
                <w:sz w:val="20"/>
                <w:szCs w:val="20"/>
                <w:color w:val="auto"/>
              </w:rPr>
            </w:pP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491,266</w:t>
            </w:r>
          </w:p>
        </w:tc>
        <w:tc>
          <w:tcPr>
            <w:tcW w:w="100" w:type="dxa"/>
            <w:vAlign w:val="bottom"/>
            <w:shd w:val="clear" w:color="auto" w:fill="D8D8D8"/>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409,450</w:t>
            </w:r>
          </w:p>
        </w:tc>
        <w:tc>
          <w:tcPr>
            <w:tcW w:w="100" w:type="dxa"/>
            <w:vAlign w:val="bottom"/>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9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409,450</w:t>
            </w:r>
          </w:p>
        </w:tc>
        <w:tc>
          <w:tcPr>
            <w:tcW w:w="100" w:type="dxa"/>
            <w:vAlign w:val="bottom"/>
            <w:shd w:val="clear" w:color="auto" w:fill="D8D8D8"/>
          </w:tcPr>
          <w:p>
            <w:pPr>
              <w:spacing w:after="0"/>
              <w:rPr>
                <w:sz w:val="20"/>
                <w:szCs w:val="20"/>
                <w:color w:val="auto"/>
              </w:rPr>
            </w:pPr>
          </w:p>
        </w:tc>
        <w:tc>
          <w:tcPr>
            <w:tcW w:w="780" w:type="dxa"/>
            <w:vAlign w:val="bottom"/>
            <w:gridSpan w:val="2"/>
            <w:shd w:val="clear" w:color="auto" w:fill="D8D8D8"/>
          </w:tcPr>
          <w:p>
            <w:pPr>
              <w:ind w:left="480"/>
              <w:spacing w:after="0"/>
              <w:rPr>
                <w:sz w:val="20"/>
                <w:szCs w:val="20"/>
                <w:color w:val="auto"/>
              </w:rPr>
            </w:pPr>
            <w:r>
              <w:rPr>
                <w:rFonts w:ascii="Arial" w:cs="Arial" w:eastAsia="Arial" w:hAnsi="Arial"/>
                <w:sz w:val="13"/>
                <w:szCs w:val="13"/>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113,413</w:t>
            </w:r>
          </w:p>
        </w:tc>
        <w:tc>
          <w:tcPr>
            <w:tcW w:w="88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3,657,827</w:t>
            </w:r>
          </w:p>
        </w:tc>
        <w:tc>
          <w:tcPr>
            <w:tcW w:w="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72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color w:val="auto"/>
              </w:rPr>
              <w:t>President, North America</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6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6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8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68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shd w:val="clear" w:color="auto" w:fill="D8D8D8"/>
          </w:tcPr>
          <w:p>
            <w:pPr>
              <w:spacing w:after="0"/>
              <w:rPr>
                <w:sz w:val="13"/>
                <w:szCs w:val="13"/>
                <w:color w:val="auto"/>
              </w:rPr>
            </w:pPr>
          </w:p>
        </w:tc>
        <w:tc>
          <w:tcPr>
            <w:tcW w:w="780" w:type="dxa"/>
            <w:vAlign w:val="bottom"/>
            <w:tcBorders>
              <w:bottom w:val="single" w:sz="8" w:color="auto"/>
            </w:tcBorders>
            <w:shd w:val="clear" w:color="auto" w:fill="D8D8D8"/>
          </w:tcPr>
          <w:p>
            <w:pPr>
              <w:spacing w:after="0"/>
              <w:rPr>
                <w:sz w:val="13"/>
                <w:szCs w:val="13"/>
                <w:color w:val="auto"/>
              </w:rPr>
            </w:pPr>
          </w:p>
        </w:tc>
        <w:tc>
          <w:tcPr>
            <w:tcW w:w="80" w:type="dxa"/>
            <w:vAlign w:val="bottom"/>
            <w:tcBorders>
              <w:bottom w:val="single" w:sz="8" w:color="auto"/>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2720" w:type="dxa"/>
            <w:vAlign w:val="bottom"/>
            <w:gridSpan w:val="2"/>
          </w:tcPr>
          <w:p>
            <w:pPr>
              <w:spacing w:after="0"/>
              <w:rPr>
                <w:sz w:val="20"/>
                <w:szCs w:val="20"/>
                <w:color w:val="auto"/>
              </w:rPr>
            </w:pPr>
            <w:r>
              <w:rPr>
                <w:rFonts w:ascii="Arial" w:cs="Arial" w:eastAsia="Arial" w:hAnsi="Arial"/>
                <w:sz w:val="13"/>
                <w:szCs w:val="13"/>
                <w:color w:val="auto"/>
              </w:rPr>
              <w:t>West, Mary Beth</w:t>
            </w:r>
          </w:p>
        </w:tc>
        <w:tc>
          <w:tcPr>
            <w:tcW w:w="360" w:type="dxa"/>
            <w:vAlign w:val="bottom"/>
          </w:tcPr>
          <w:p>
            <w:pPr>
              <w:jc w:val="right"/>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657,346</w:t>
            </w:r>
          </w:p>
        </w:tc>
        <w:tc>
          <w:tcPr>
            <w:tcW w:w="100" w:type="dxa"/>
            <w:vAlign w:val="bottom"/>
            <w:shd w:val="clear" w:color="auto" w:fill="D8D8D8"/>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1,297,769</w:t>
            </w:r>
          </w:p>
        </w:tc>
        <w:tc>
          <w:tcPr>
            <w:tcW w:w="100" w:type="dxa"/>
            <w:vAlign w:val="bottom"/>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307,699</w:t>
            </w:r>
          </w:p>
        </w:tc>
        <w:tc>
          <w:tcPr>
            <w:tcW w:w="100" w:type="dxa"/>
            <w:vAlign w:val="bottom"/>
            <w:shd w:val="clear" w:color="auto" w:fill="D8D8D8"/>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1,050,000</w:t>
            </w:r>
          </w:p>
        </w:tc>
        <w:tc>
          <w:tcPr>
            <w:tcW w:w="100" w:type="dxa"/>
            <w:vAlign w:val="bottom"/>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9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1,050,000</w:t>
            </w:r>
          </w:p>
        </w:tc>
        <w:tc>
          <w:tcPr>
            <w:tcW w:w="100" w:type="dxa"/>
            <w:vAlign w:val="bottom"/>
            <w:shd w:val="clear" w:color="auto" w:fill="D8D8D8"/>
          </w:tcPr>
          <w:p>
            <w:pPr>
              <w:spacing w:after="0"/>
              <w:rPr>
                <w:sz w:val="24"/>
                <w:szCs w:val="24"/>
                <w:color w:val="auto"/>
              </w:rPr>
            </w:pPr>
          </w:p>
        </w:tc>
        <w:tc>
          <w:tcPr>
            <w:tcW w:w="6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819,804</w:t>
            </w:r>
          </w:p>
        </w:tc>
        <w:tc>
          <w:tcPr>
            <w:tcW w:w="100" w:type="dxa"/>
            <w:vAlign w:val="bottom"/>
            <w:shd w:val="clear" w:color="auto" w:fill="D8D8D8"/>
          </w:tcPr>
          <w:p>
            <w:pPr>
              <w:spacing w:after="0"/>
              <w:rPr>
                <w:sz w:val="24"/>
                <w:szCs w:val="2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71,403</w:t>
            </w:r>
          </w:p>
        </w:tc>
        <w:tc>
          <w:tcPr>
            <w:tcW w:w="100" w:type="dxa"/>
            <w:vAlign w:val="bottom"/>
            <w:shd w:val="clear" w:color="auto" w:fill="D8D8D8"/>
          </w:tcPr>
          <w:p>
            <w:pPr>
              <w:spacing w:after="0"/>
              <w:rPr>
                <w:sz w:val="24"/>
                <w:szCs w:val="24"/>
                <w:color w:val="auto"/>
              </w:rPr>
            </w:pPr>
          </w:p>
        </w:tc>
        <w:tc>
          <w:tcPr>
            <w:tcW w:w="7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4,204,021</w:t>
            </w:r>
          </w:p>
        </w:tc>
        <w:tc>
          <w:tcPr>
            <w:tcW w:w="8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2720" w:type="dxa"/>
            <w:vAlign w:val="bottom"/>
            <w:gridSpan w:val="2"/>
          </w:tcPr>
          <w:p>
            <w:pPr>
              <w:ind w:left="200"/>
              <w:spacing w:after="0" w:line="141" w:lineRule="exact"/>
              <w:rPr>
                <w:sz w:val="20"/>
                <w:szCs w:val="20"/>
                <w:color w:val="auto"/>
              </w:rPr>
            </w:pPr>
            <w:r>
              <w:rPr>
                <w:rFonts w:ascii="Arial" w:cs="Arial" w:eastAsia="Arial" w:hAnsi="Arial"/>
                <w:sz w:val="13"/>
                <w:szCs w:val="13"/>
                <w:color w:val="auto"/>
              </w:rPr>
              <w:t>Executive Vice President &amp; Chief</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720" w:type="dxa"/>
            <w:vAlign w:val="bottom"/>
            <w:gridSpan w:val="2"/>
          </w:tcPr>
          <w:p>
            <w:pPr>
              <w:ind w:left="200"/>
              <w:spacing w:after="0" w:line="141" w:lineRule="exact"/>
              <w:rPr>
                <w:sz w:val="20"/>
                <w:szCs w:val="20"/>
                <w:color w:val="auto"/>
              </w:rPr>
            </w:pPr>
            <w:r>
              <w:rPr>
                <w:rFonts w:ascii="Arial" w:cs="Arial" w:eastAsia="Arial" w:hAnsi="Arial"/>
                <w:sz w:val="13"/>
                <w:szCs w:val="13"/>
                <w:color w:val="auto"/>
              </w:rPr>
              <w:t>Category &amp;</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720" w:type="dxa"/>
            <w:vAlign w:val="bottom"/>
            <w:gridSpan w:val="2"/>
          </w:tcPr>
          <w:p>
            <w:pPr>
              <w:ind w:left="200"/>
              <w:spacing w:after="0"/>
              <w:rPr>
                <w:sz w:val="20"/>
                <w:szCs w:val="20"/>
                <w:color w:val="auto"/>
              </w:rPr>
            </w:pPr>
            <w:r>
              <w:rPr>
                <w:rFonts w:ascii="Arial" w:cs="Arial" w:eastAsia="Arial" w:hAnsi="Arial"/>
                <w:sz w:val="13"/>
                <w:szCs w:val="13"/>
                <w:color w:val="auto"/>
              </w:rPr>
              <w:t>Marketing Officer</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68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68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88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68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780" w:type="dxa"/>
            <w:vAlign w:val="bottom"/>
            <w:shd w:val="clear" w:color="auto" w:fill="D8D8D8"/>
          </w:tcPr>
          <w:p>
            <w:pPr>
              <w:spacing w:after="0"/>
              <w:rPr>
                <w:sz w:val="13"/>
                <w:szCs w:val="13"/>
                <w:color w:val="auto"/>
              </w:rPr>
            </w:pPr>
          </w:p>
        </w:tc>
        <w:tc>
          <w:tcPr>
            <w:tcW w:w="8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26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0" w:lineRule="exact"/>
        <w:rPr>
          <w:sz w:val="20"/>
          <w:szCs w:val="20"/>
          <w:color w:val="auto"/>
        </w:rPr>
      </w:pPr>
    </w:p>
    <w:p>
      <w:pPr>
        <w:ind w:left="340" w:right="100" w:hanging="338"/>
        <w:spacing w:after="0" w:line="230" w:lineRule="auto"/>
        <w:tabs>
          <w:tab w:leader="none" w:pos="3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stock awards column includes restricted stock and performance shares. The amounts shown in this column represent the full grant date fair value of the stock awards granted in each year as computed in accordance with FASB ASC Topic 718. For performance shares, the amounts are based on the probable outcome of the performance conditions as of the grant date. Assumptions used in calculating these amounts are included in Note 10 to the consolidated financial statements contained in our Annual Report on Form 10-K for the fiscal year ended December 31, 2011 (the “Form 10-K”). Below is a breakout of the 2011 – 2013, 2010 – 2012 and 2009 – 2011 performance share grant date fair values assuming target performance and maximum performance (in the case of maximum, based on the maximum number of shares multiplied by the stock price on the grant date).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443" w:right="2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6"/>
              </w:rPr>
              <w:t>Payment at Maximum</w:t>
            </w:r>
          </w:p>
        </w:tc>
        <w:tc>
          <w:tcPr>
            <w:tcW w:w="0" w:type="dxa"/>
            <w:vAlign w:val="bottom"/>
          </w:tcPr>
          <w:p>
            <w:pPr>
              <w:spacing w:after="0"/>
              <w:rPr>
                <w:sz w:val="1"/>
                <w:szCs w:val="1"/>
                <w:color w:val="auto"/>
              </w:rPr>
            </w:pPr>
          </w:p>
        </w:tc>
      </w:tr>
      <w:tr>
        <w:trPr>
          <w:trHeight w:val="141"/>
        </w:trPr>
        <w:tc>
          <w:tcPr>
            <w:tcW w:w="41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6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Grant Date Fair Value</w:t>
            </w:r>
          </w:p>
        </w:tc>
        <w:tc>
          <w:tcPr>
            <w:tcW w:w="1380" w:type="dxa"/>
            <w:vAlign w:val="bottom"/>
            <w:gridSpan w:val="2"/>
          </w:tcPr>
          <w:p>
            <w:pPr>
              <w:jc w:val="right"/>
              <w:ind w:right="340"/>
              <w:spacing w:after="0" w:line="141" w:lineRule="exact"/>
              <w:rPr>
                <w:sz w:val="20"/>
                <w:szCs w:val="20"/>
                <w:color w:val="auto"/>
              </w:rPr>
            </w:pPr>
            <w:r>
              <w:rPr>
                <w:rFonts w:ascii="Arial" w:cs="Arial" w:eastAsia="Arial" w:hAnsi="Arial"/>
                <w:sz w:val="13"/>
                <w:szCs w:val="13"/>
                <w:b w:val="1"/>
                <w:bCs w:val="1"/>
                <w:color w:val="auto"/>
              </w:rPr>
              <w:t>Performance</w:t>
            </w:r>
          </w:p>
        </w:tc>
        <w:tc>
          <w:tcPr>
            <w:tcW w:w="0" w:type="dxa"/>
            <w:vAlign w:val="bottom"/>
          </w:tcPr>
          <w:p>
            <w:pPr>
              <w:spacing w:after="0"/>
              <w:rPr>
                <w:sz w:val="1"/>
                <w:szCs w:val="1"/>
                <w:color w:val="auto"/>
              </w:rPr>
            </w:pPr>
          </w:p>
        </w:tc>
      </w:tr>
      <w:tr>
        <w:trPr>
          <w:trHeight w:val="157"/>
        </w:trPr>
        <w:tc>
          <w:tcPr>
            <w:tcW w:w="418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2320" w:type="dxa"/>
            <w:vAlign w:val="bottom"/>
            <w:gridSpan w:val="2"/>
          </w:tcPr>
          <w:p>
            <w:pPr>
              <w:jc w:val="right"/>
              <w:ind w:right="1160"/>
              <w:spacing w:after="0"/>
              <w:rPr>
                <w:sz w:val="20"/>
                <w:szCs w:val="20"/>
                <w:color w:val="auto"/>
              </w:rPr>
            </w:pPr>
            <w:r>
              <w:rPr>
                <w:rFonts w:ascii="Arial" w:cs="Arial" w:eastAsia="Arial" w:hAnsi="Arial"/>
                <w:sz w:val="13"/>
                <w:szCs w:val="13"/>
                <w:b w:val="1"/>
                <w:bCs w:val="1"/>
                <w:color w:val="auto"/>
                <w:w w:val="96"/>
              </w:rPr>
              <w:t>Performance Cycle</w:t>
            </w:r>
          </w:p>
        </w:tc>
        <w:tc>
          <w:tcPr>
            <w:tcW w:w="1300" w:type="dxa"/>
            <w:vAlign w:val="bottom"/>
          </w:tcPr>
          <w:p>
            <w:pPr>
              <w:jc w:val="right"/>
              <w:ind w:right="516"/>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spacing w:after="0"/>
              <w:rPr>
                <w:sz w:val="13"/>
                <w:szCs w:val="13"/>
                <w:color w:val="auto"/>
              </w:rPr>
            </w:pPr>
          </w:p>
        </w:tc>
        <w:tc>
          <w:tcPr>
            <w:tcW w:w="1300" w:type="dxa"/>
            <w:vAlign w:val="bottom"/>
          </w:tcPr>
          <w:p>
            <w:pPr>
              <w:jc w:val="right"/>
              <w:ind w:right="516"/>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180" w:type="dxa"/>
            <w:vAlign w:val="bottom"/>
            <w:tcBorders>
              <w:top w:val="single" w:sz="8" w:color="auto"/>
            </w:tcBorders>
          </w:tcPr>
          <w:p>
            <w:pPr>
              <w:spacing w:after="0" w:line="133" w:lineRule="exact"/>
              <w:rPr>
                <w:sz w:val="20"/>
                <w:szCs w:val="20"/>
                <w:color w:val="auto"/>
              </w:rPr>
            </w:pPr>
            <w:r>
              <w:rPr>
                <w:rFonts w:ascii="Arial" w:cs="Arial" w:eastAsia="Arial" w:hAnsi="Arial"/>
                <w:sz w:val="13"/>
                <w:szCs w:val="13"/>
                <w:color w:val="auto"/>
              </w:rPr>
              <w:t>Ms. Rosenfeld</w:t>
            </w:r>
          </w:p>
        </w:tc>
        <w:tc>
          <w:tcPr>
            <w:tcW w:w="1080" w:type="dxa"/>
            <w:vAlign w:val="bottom"/>
          </w:tcPr>
          <w:p>
            <w:pPr>
              <w:spacing w:after="0"/>
              <w:rPr>
                <w:sz w:val="11"/>
                <w:szCs w:val="11"/>
                <w:color w:val="auto"/>
              </w:rPr>
            </w:pPr>
          </w:p>
        </w:tc>
        <w:tc>
          <w:tcPr>
            <w:tcW w:w="11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2011 - 2013</w:t>
            </w:r>
          </w:p>
        </w:tc>
        <w:tc>
          <w:tcPr>
            <w:tcW w:w="1160" w:type="dxa"/>
            <w:vAlign w:val="bottom"/>
          </w:tcPr>
          <w:p>
            <w:pPr>
              <w:spacing w:after="0"/>
              <w:rPr>
                <w:sz w:val="11"/>
                <w:szCs w:val="11"/>
                <w:color w:val="auto"/>
              </w:rPr>
            </w:pPr>
          </w:p>
        </w:tc>
        <w:tc>
          <w:tcPr>
            <w:tcW w:w="13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5,083,400</w:t>
            </w:r>
          </w:p>
        </w:tc>
        <w:tc>
          <w:tcPr>
            <w:tcW w:w="1160" w:type="dxa"/>
            <w:vAlign w:val="bottom"/>
          </w:tcPr>
          <w:p>
            <w:pPr>
              <w:spacing w:after="0"/>
              <w:rPr>
                <w:sz w:val="11"/>
                <w:szCs w:val="11"/>
                <w:color w:val="auto"/>
              </w:rPr>
            </w:pPr>
          </w:p>
        </w:tc>
        <w:tc>
          <w:tcPr>
            <w:tcW w:w="13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9,847,733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180" w:type="dxa"/>
            <w:vAlign w:val="bottom"/>
          </w:tcPr>
          <w:p>
            <w:pPr>
              <w:spacing w:after="0"/>
              <w:rPr>
                <w:sz w:val="12"/>
                <w:szCs w:val="12"/>
                <w:color w:val="auto"/>
              </w:rPr>
            </w:pPr>
          </w:p>
        </w:tc>
        <w:tc>
          <w:tcPr>
            <w:tcW w:w="22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2010 - 2012</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4,621,521</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9,114,527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180" w:type="dxa"/>
            <w:vAlign w:val="bottom"/>
          </w:tcPr>
          <w:p>
            <w:pPr>
              <w:spacing w:after="0"/>
              <w:rPr>
                <w:sz w:val="12"/>
                <w:szCs w:val="12"/>
                <w:color w:val="auto"/>
              </w:rPr>
            </w:pPr>
          </w:p>
        </w:tc>
        <w:tc>
          <w:tcPr>
            <w:tcW w:w="22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2009 - 2011</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3,732,819</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7,350,480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80" w:type="dxa"/>
            <w:vAlign w:val="bottom"/>
            <w:shd w:val="clear" w:color="auto" w:fill="D8D8D8"/>
          </w:tcPr>
          <w:p>
            <w:pPr>
              <w:spacing w:after="0"/>
              <w:rPr>
                <w:sz w:val="20"/>
                <w:szCs w:val="20"/>
                <w:color w:val="auto"/>
              </w:rPr>
            </w:pPr>
            <w:r>
              <w:rPr>
                <w:rFonts w:ascii="Arial" w:cs="Arial" w:eastAsia="Arial" w:hAnsi="Arial"/>
                <w:sz w:val="13"/>
                <w:szCs w:val="13"/>
                <w:color w:val="auto"/>
              </w:rPr>
              <w:t>Mr. Brearton</w:t>
            </w:r>
          </w:p>
        </w:tc>
        <w:tc>
          <w:tcPr>
            <w:tcW w:w="224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2011 - 2013</w:t>
            </w:r>
          </w:p>
        </w:tc>
        <w:tc>
          <w:tcPr>
            <w:tcW w:w="1160" w:type="dxa"/>
            <w:vAlign w:val="bottom"/>
            <w:shd w:val="clear" w:color="auto" w:fill="D8D8D8"/>
          </w:tcPr>
          <w:p>
            <w:pPr>
              <w:spacing w:after="0"/>
              <w:rPr>
                <w:sz w:val="17"/>
                <w:szCs w:val="17"/>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443,312</w:t>
            </w:r>
          </w:p>
        </w:tc>
        <w:tc>
          <w:tcPr>
            <w:tcW w:w="1160" w:type="dxa"/>
            <w:vAlign w:val="bottom"/>
            <w:shd w:val="clear" w:color="auto" w:fill="D8D8D8"/>
          </w:tcPr>
          <w:p>
            <w:pPr>
              <w:spacing w:after="0"/>
              <w:rPr>
                <w:sz w:val="17"/>
                <w:szCs w:val="17"/>
                <w:color w:val="auto"/>
              </w:rPr>
            </w:pPr>
          </w:p>
        </w:tc>
        <w:tc>
          <w:tcPr>
            <w:tcW w:w="1380" w:type="dxa"/>
            <w:vAlign w:val="bottom"/>
            <w:gridSpan w:val="2"/>
            <w:shd w:val="clear" w:color="auto" w:fill="D8D8D8"/>
          </w:tcPr>
          <w:p>
            <w:pPr>
              <w:jc w:val="right"/>
              <w:ind w:right="80"/>
              <w:spacing w:after="0"/>
              <w:rPr>
                <w:sz w:val="20"/>
                <w:szCs w:val="20"/>
                <w:color w:val="auto"/>
              </w:rPr>
            </w:pPr>
            <w:r>
              <w:rPr>
                <w:rFonts w:ascii="Arial" w:cs="Arial" w:eastAsia="Arial" w:hAnsi="Arial"/>
                <w:sz w:val="13"/>
                <w:szCs w:val="13"/>
                <w:color w:val="auto"/>
              </w:rPr>
              <w:t>858,799</w:t>
            </w:r>
          </w:p>
        </w:tc>
        <w:tc>
          <w:tcPr>
            <w:tcW w:w="0" w:type="dxa"/>
            <w:vAlign w:val="bottom"/>
          </w:tcPr>
          <w:p>
            <w:pPr>
              <w:spacing w:after="0"/>
              <w:rPr>
                <w:sz w:val="1"/>
                <w:szCs w:val="1"/>
                <w:color w:val="auto"/>
              </w:rPr>
            </w:pPr>
          </w:p>
        </w:tc>
      </w:tr>
      <w:tr>
        <w:trPr>
          <w:trHeight w:val="204"/>
        </w:trPr>
        <w:tc>
          <w:tcPr>
            <w:tcW w:w="4180" w:type="dxa"/>
            <w:vAlign w:val="bottom"/>
          </w:tcPr>
          <w:p>
            <w:pPr>
              <w:spacing w:after="0"/>
              <w:rPr>
                <w:sz w:val="20"/>
                <w:szCs w:val="20"/>
                <w:color w:val="auto"/>
              </w:rPr>
            </w:pPr>
            <w:r>
              <w:rPr>
                <w:rFonts w:ascii="Arial" w:cs="Arial" w:eastAsia="Arial" w:hAnsi="Arial"/>
                <w:sz w:val="13"/>
                <w:szCs w:val="13"/>
                <w:color w:val="auto"/>
              </w:rPr>
              <w:t>Mr. McLevish</w:t>
            </w:r>
          </w:p>
        </w:tc>
        <w:tc>
          <w:tcPr>
            <w:tcW w:w="2240" w:type="dxa"/>
            <w:vAlign w:val="bottom"/>
            <w:gridSpan w:val="2"/>
          </w:tcPr>
          <w:p>
            <w:pPr>
              <w:jc w:val="right"/>
              <w:spacing w:after="0"/>
              <w:rPr>
                <w:sz w:val="20"/>
                <w:szCs w:val="20"/>
                <w:color w:val="auto"/>
              </w:rPr>
            </w:pPr>
            <w:r>
              <w:rPr>
                <w:rFonts w:ascii="Arial" w:cs="Arial" w:eastAsia="Arial" w:hAnsi="Arial"/>
                <w:sz w:val="13"/>
                <w:szCs w:val="13"/>
                <w:color w:val="auto"/>
              </w:rPr>
              <w:t>2011 - 2013</w:t>
            </w:r>
          </w:p>
        </w:tc>
        <w:tc>
          <w:tcPr>
            <w:tcW w:w="1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1,316,552</w:t>
            </w:r>
          </w:p>
        </w:tc>
        <w:tc>
          <w:tcPr>
            <w:tcW w:w="1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2,550,469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4180" w:type="dxa"/>
            <w:vAlign w:val="bottom"/>
          </w:tcPr>
          <w:p>
            <w:pPr>
              <w:spacing w:after="0"/>
              <w:rPr>
                <w:sz w:val="12"/>
                <w:szCs w:val="12"/>
                <w:color w:val="auto"/>
              </w:rPr>
            </w:pPr>
          </w:p>
        </w:tc>
        <w:tc>
          <w:tcPr>
            <w:tcW w:w="22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2010 - 2012</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1,206,783</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2,380,008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180" w:type="dxa"/>
            <w:vAlign w:val="bottom"/>
          </w:tcPr>
          <w:p>
            <w:pPr>
              <w:spacing w:after="0"/>
              <w:rPr>
                <w:sz w:val="12"/>
                <w:szCs w:val="12"/>
                <w:color w:val="auto"/>
              </w:rPr>
            </w:pPr>
          </w:p>
        </w:tc>
        <w:tc>
          <w:tcPr>
            <w:tcW w:w="22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2009 - 2011</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1,066,480</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2,100,060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180" w:type="dxa"/>
            <w:vAlign w:val="bottom"/>
            <w:shd w:val="clear" w:color="auto" w:fill="D8D8D8"/>
          </w:tcPr>
          <w:p>
            <w:pPr>
              <w:spacing w:after="0"/>
              <w:rPr>
                <w:sz w:val="20"/>
                <w:szCs w:val="20"/>
                <w:color w:val="auto"/>
              </w:rPr>
            </w:pPr>
            <w:r>
              <w:rPr>
                <w:rFonts w:ascii="Arial" w:cs="Arial" w:eastAsia="Arial" w:hAnsi="Arial"/>
                <w:sz w:val="13"/>
                <w:szCs w:val="13"/>
                <w:color w:val="auto"/>
              </w:rPr>
              <w:t>Mr. Khosla</w:t>
            </w:r>
          </w:p>
        </w:tc>
        <w:tc>
          <w:tcPr>
            <w:tcW w:w="1080" w:type="dxa"/>
            <w:vAlign w:val="bottom"/>
            <w:shd w:val="clear" w:color="auto" w:fill="D8D8D8"/>
          </w:tcPr>
          <w:p>
            <w:pPr>
              <w:spacing w:after="0"/>
              <w:rPr>
                <w:sz w:val="17"/>
                <w:szCs w:val="17"/>
                <w:color w:val="auto"/>
              </w:rPr>
            </w:pPr>
          </w:p>
        </w:tc>
        <w:tc>
          <w:tcPr>
            <w:tcW w:w="11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2011 - 2013</w:t>
            </w:r>
          </w:p>
        </w:tc>
        <w:tc>
          <w:tcPr>
            <w:tcW w:w="1160" w:type="dxa"/>
            <w:vAlign w:val="bottom"/>
            <w:shd w:val="clear" w:color="auto" w:fill="D8D8D8"/>
          </w:tcPr>
          <w:p>
            <w:pPr>
              <w:spacing w:after="0"/>
              <w:rPr>
                <w:sz w:val="17"/>
                <w:szCs w:val="17"/>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993,372</w:t>
            </w:r>
          </w:p>
        </w:tc>
        <w:tc>
          <w:tcPr>
            <w:tcW w:w="1160" w:type="dxa"/>
            <w:vAlign w:val="bottom"/>
            <w:shd w:val="clear" w:color="auto" w:fill="D8D8D8"/>
          </w:tcPr>
          <w:p>
            <w:pPr>
              <w:spacing w:after="0"/>
              <w:rPr>
                <w:sz w:val="17"/>
                <w:szCs w:val="17"/>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1,924,393</w:t>
            </w:r>
          </w:p>
        </w:tc>
        <w:tc>
          <w:tcPr>
            <w:tcW w:w="8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4180" w:type="dxa"/>
            <w:vAlign w:val="bottom"/>
            <w:shd w:val="clear" w:color="auto" w:fill="D8D8D8"/>
          </w:tcPr>
          <w:p>
            <w:pPr>
              <w:spacing w:after="0"/>
              <w:rPr>
                <w:sz w:val="12"/>
                <w:szCs w:val="12"/>
                <w:color w:val="auto"/>
              </w:rPr>
            </w:pPr>
          </w:p>
        </w:tc>
        <w:tc>
          <w:tcPr>
            <w:tcW w:w="1080" w:type="dxa"/>
            <w:vAlign w:val="bottom"/>
            <w:shd w:val="clear" w:color="auto" w:fill="D8D8D8"/>
          </w:tcPr>
          <w:p>
            <w:pPr>
              <w:spacing w:after="0"/>
              <w:rPr>
                <w:sz w:val="12"/>
                <w:szCs w:val="12"/>
                <w:color w:val="auto"/>
              </w:rPr>
            </w:pPr>
          </w:p>
        </w:tc>
        <w:tc>
          <w:tcPr>
            <w:tcW w:w="11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2010 - 2012</w:t>
            </w:r>
          </w:p>
        </w:tc>
        <w:tc>
          <w:tcPr>
            <w:tcW w:w="1160" w:type="dxa"/>
            <w:vAlign w:val="bottom"/>
            <w:shd w:val="clear" w:color="auto" w:fill="D8D8D8"/>
          </w:tcPr>
          <w:p>
            <w:pPr>
              <w:spacing w:after="0"/>
              <w:rPr>
                <w:sz w:val="12"/>
                <w:szCs w:val="12"/>
                <w:color w:val="auto"/>
              </w:rPr>
            </w:pPr>
          </w:p>
        </w:tc>
        <w:tc>
          <w:tcPr>
            <w:tcW w:w="13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949,354</w:t>
            </w:r>
          </w:p>
        </w:tc>
        <w:tc>
          <w:tcPr>
            <w:tcW w:w="1160" w:type="dxa"/>
            <w:vAlign w:val="bottom"/>
            <w:shd w:val="clear" w:color="auto" w:fill="D8D8D8"/>
          </w:tcPr>
          <w:p>
            <w:pPr>
              <w:spacing w:after="0"/>
              <w:rPr>
                <w:sz w:val="12"/>
                <w:szCs w:val="12"/>
                <w:color w:val="auto"/>
              </w:rPr>
            </w:pPr>
          </w:p>
        </w:tc>
        <w:tc>
          <w:tcPr>
            <w:tcW w:w="13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1,872,309</w:t>
            </w: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180" w:type="dxa"/>
            <w:vAlign w:val="bottom"/>
            <w:shd w:val="clear" w:color="auto" w:fill="D8D8D8"/>
          </w:tcPr>
          <w:p>
            <w:pPr>
              <w:spacing w:after="0"/>
              <w:rPr>
                <w:sz w:val="12"/>
                <w:szCs w:val="12"/>
                <w:color w:val="auto"/>
              </w:rPr>
            </w:pPr>
          </w:p>
        </w:tc>
        <w:tc>
          <w:tcPr>
            <w:tcW w:w="1080" w:type="dxa"/>
            <w:vAlign w:val="bottom"/>
            <w:shd w:val="clear" w:color="auto" w:fill="D8D8D8"/>
          </w:tcPr>
          <w:p>
            <w:pPr>
              <w:spacing w:after="0"/>
              <w:rPr>
                <w:sz w:val="12"/>
                <w:szCs w:val="12"/>
                <w:color w:val="auto"/>
              </w:rPr>
            </w:pPr>
          </w:p>
        </w:tc>
        <w:tc>
          <w:tcPr>
            <w:tcW w:w="11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2009 - 2011</w:t>
            </w:r>
          </w:p>
        </w:tc>
        <w:tc>
          <w:tcPr>
            <w:tcW w:w="1160" w:type="dxa"/>
            <w:vAlign w:val="bottom"/>
            <w:shd w:val="clear" w:color="auto" w:fill="D8D8D8"/>
          </w:tcPr>
          <w:p>
            <w:pPr>
              <w:spacing w:after="0"/>
              <w:rPr>
                <w:sz w:val="12"/>
                <w:szCs w:val="12"/>
                <w:color w:val="auto"/>
              </w:rPr>
            </w:pPr>
          </w:p>
        </w:tc>
        <w:tc>
          <w:tcPr>
            <w:tcW w:w="13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914,283</w:t>
            </w:r>
          </w:p>
        </w:tc>
        <w:tc>
          <w:tcPr>
            <w:tcW w:w="1160" w:type="dxa"/>
            <w:vAlign w:val="bottom"/>
            <w:shd w:val="clear" w:color="auto" w:fill="D8D8D8"/>
          </w:tcPr>
          <w:p>
            <w:pPr>
              <w:spacing w:after="0"/>
              <w:rPr>
                <w:sz w:val="12"/>
                <w:szCs w:val="12"/>
                <w:color w:val="auto"/>
              </w:rPr>
            </w:pPr>
          </w:p>
        </w:tc>
        <w:tc>
          <w:tcPr>
            <w:tcW w:w="13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1,800,360</w:t>
            </w: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180" w:type="dxa"/>
            <w:vAlign w:val="bottom"/>
          </w:tcPr>
          <w:p>
            <w:pPr>
              <w:spacing w:after="0"/>
              <w:rPr>
                <w:sz w:val="20"/>
                <w:szCs w:val="20"/>
                <w:color w:val="auto"/>
              </w:rPr>
            </w:pPr>
            <w:r>
              <w:rPr>
                <w:rFonts w:ascii="Arial" w:cs="Arial" w:eastAsia="Arial" w:hAnsi="Arial"/>
                <w:sz w:val="13"/>
                <w:szCs w:val="13"/>
                <w:color w:val="auto"/>
              </w:rPr>
              <w:t>Mr. Vernon</w:t>
            </w:r>
          </w:p>
        </w:tc>
        <w:tc>
          <w:tcPr>
            <w:tcW w:w="2240" w:type="dxa"/>
            <w:vAlign w:val="bottom"/>
            <w:gridSpan w:val="2"/>
          </w:tcPr>
          <w:p>
            <w:pPr>
              <w:jc w:val="right"/>
              <w:spacing w:after="0"/>
              <w:rPr>
                <w:sz w:val="20"/>
                <w:szCs w:val="20"/>
                <w:color w:val="auto"/>
              </w:rPr>
            </w:pPr>
            <w:r>
              <w:rPr>
                <w:rFonts w:ascii="Arial" w:cs="Arial" w:eastAsia="Arial" w:hAnsi="Arial"/>
                <w:sz w:val="13"/>
                <w:szCs w:val="13"/>
                <w:color w:val="auto"/>
              </w:rPr>
              <w:t>2011 - 2013</w:t>
            </w:r>
          </w:p>
        </w:tc>
        <w:tc>
          <w:tcPr>
            <w:tcW w:w="1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1,316,552</w:t>
            </w:r>
          </w:p>
        </w:tc>
        <w:tc>
          <w:tcPr>
            <w:tcW w:w="1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2,550,469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4180" w:type="dxa"/>
            <w:vAlign w:val="bottom"/>
          </w:tcPr>
          <w:p>
            <w:pPr>
              <w:spacing w:after="0"/>
              <w:rPr>
                <w:sz w:val="12"/>
                <w:szCs w:val="12"/>
                <w:color w:val="auto"/>
              </w:rPr>
            </w:pPr>
          </w:p>
        </w:tc>
        <w:tc>
          <w:tcPr>
            <w:tcW w:w="22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2010 - 2012</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1,250,011</w:t>
            </w:r>
          </w:p>
        </w:tc>
        <w:tc>
          <w:tcPr>
            <w:tcW w:w="1160" w:type="dxa"/>
            <w:vAlign w:val="bottom"/>
          </w:tcPr>
          <w:p>
            <w:pPr>
              <w:spacing w:after="0"/>
              <w:rPr>
                <w:sz w:val="12"/>
                <w:szCs w:val="12"/>
                <w:color w:val="auto"/>
              </w:rPr>
            </w:pPr>
          </w:p>
        </w:tc>
        <w:tc>
          <w:tcPr>
            <w:tcW w:w="1300" w:type="dxa"/>
            <w:vAlign w:val="bottom"/>
          </w:tcPr>
          <w:p>
            <w:pPr>
              <w:jc w:val="right"/>
              <w:spacing w:after="0" w:line="141" w:lineRule="exact"/>
              <w:rPr>
                <w:sz w:val="20"/>
                <w:szCs w:val="20"/>
                <w:color w:val="auto"/>
              </w:rPr>
            </w:pPr>
            <w:r>
              <w:rPr>
                <w:rFonts w:ascii="Arial" w:cs="Arial" w:eastAsia="Arial" w:hAnsi="Arial"/>
                <w:sz w:val="13"/>
                <w:szCs w:val="13"/>
                <w:color w:val="auto"/>
              </w:rPr>
              <w:t>2,465,262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80" w:type="dxa"/>
            <w:vAlign w:val="bottom"/>
            <w:shd w:val="clear" w:color="auto" w:fill="D8D8D8"/>
          </w:tcPr>
          <w:p>
            <w:pPr>
              <w:spacing w:after="0"/>
              <w:rPr>
                <w:sz w:val="20"/>
                <w:szCs w:val="20"/>
                <w:color w:val="auto"/>
              </w:rPr>
            </w:pPr>
            <w:r>
              <w:rPr>
                <w:rFonts w:ascii="Arial" w:cs="Arial" w:eastAsia="Arial" w:hAnsi="Arial"/>
                <w:sz w:val="13"/>
                <w:szCs w:val="13"/>
                <w:color w:val="auto"/>
              </w:rPr>
              <w:t>Ms. West</w:t>
            </w:r>
          </w:p>
        </w:tc>
        <w:tc>
          <w:tcPr>
            <w:tcW w:w="2240" w:type="dxa"/>
            <w:vAlign w:val="bottom"/>
            <w:gridSpan w:val="2"/>
            <w:shd w:val="clear" w:color="auto" w:fill="D8D8D8"/>
          </w:tcPr>
          <w:p>
            <w:pPr>
              <w:jc w:val="right"/>
              <w:spacing w:after="0"/>
              <w:rPr>
                <w:sz w:val="20"/>
                <w:szCs w:val="20"/>
                <w:color w:val="auto"/>
              </w:rPr>
            </w:pPr>
            <w:r>
              <w:rPr>
                <w:rFonts w:ascii="Arial" w:cs="Arial" w:eastAsia="Arial" w:hAnsi="Arial"/>
                <w:sz w:val="13"/>
                <w:szCs w:val="13"/>
                <w:color w:val="auto"/>
              </w:rPr>
              <w:t>2011 - 2013</w:t>
            </w:r>
          </w:p>
        </w:tc>
        <w:tc>
          <w:tcPr>
            <w:tcW w:w="1160" w:type="dxa"/>
            <w:vAlign w:val="bottom"/>
            <w:shd w:val="clear" w:color="auto" w:fill="D8D8D8"/>
          </w:tcPr>
          <w:p>
            <w:pPr>
              <w:spacing w:after="0"/>
              <w:rPr>
                <w:sz w:val="17"/>
                <w:szCs w:val="17"/>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872,587</w:t>
            </w:r>
          </w:p>
        </w:tc>
        <w:tc>
          <w:tcPr>
            <w:tcW w:w="1160" w:type="dxa"/>
            <w:vAlign w:val="bottom"/>
            <w:shd w:val="clear" w:color="auto" w:fill="D8D8D8"/>
          </w:tcPr>
          <w:p>
            <w:pPr>
              <w:spacing w:after="0"/>
              <w:rPr>
                <w:sz w:val="17"/>
                <w:szCs w:val="17"/>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1,690,405</w:t>
            </w:r>
          </w:p>
        </w:tc>
        <w:tc>
          <w:tcPr>
            <w:tcW w:w="8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40" w:hanging="338"/>
        <w:spacing w:after="0" w:line="232" w:lineRule="auto"/>
        <w:tabs>
          <w:tab w:leader="none" w:pos="3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option awards column includes option awards granted in 2011, 2010 and 2009. The amounts shown in this column represent the full grant date fair value of the option awards granted in each year as computed in accordance with FASB ASC Topic 718. Assumptions used in the calculation of these amounts are included in Note 10 to the consolidated financial statements contained in our Form 10-K.</w:t>
      </w:r>
    </w:p>
    <w:p>
      <w:pPr>
        <w:spacing w:after="0" w:line="65" w:lineRule="exact"/>
        <w:rPr>
          <w:rFonts w:ascii="Arial" w:cs="Arial" w:eastAsia="Arial" w:hAnsi="Arial"/>
          <w:sz w:val="13"/>
          <w:szCs w:val="13"/>
          <w:color w:val="auto"/>
        </w:rPr>
      </w:pPr>
    </w:p>
    <w:p>
      <w:pPr>
        <w:ind w:left="340" w:hanging="338"/>
        <w:spacing w:after="0"/>
        <w:tabs>
          <w:tab w:leader="none" w:pos="3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amounts shown in this column represent awards paid under our Annual Cash Incentive Program. Awards are paid in March of the following plan year.</w:t>
      </w:r>
    </w:p>
    <w:p>
      <w:pPr>
        <w:spacing w:after="0" w:line="67" w:lineRule="exact"/>
        <w:rPr>
          <w:rFonts w:ascii="Arial" w:cs="Arial" w:eastAsia="Arial" w:hAnsi="Arial"/>
          <w:sz w:val="13"/>
          <w:szCs w:val="13"/>
          <w:color w:val="auto"/>
        </w:rPr>
      </w:pPr>
    </w:p>
    <w:p>
      <w:pPr>
        <w:ind w:left="340" w:right="120" w:hanging="338"/>
        <w:spacing w:after="0" w:line="231" w:lineRule="auto"/>
        <w:tabs>
          <w:tab w:leader="none" w:pos="3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amounts shown in this column for Mses. Rosenfeld and West and Messrs. Brearton, McLevish and Khosla represent the aggregate increase in the actuarial present value of each Named Executive Officer’s benefits under our U.S. Tax-Qualified Pension Plan and other U.S. supplemental defined benefit pension plans. U.S. employees hired on or after January 1, 2009, including Mr. Vernon, are not eligible to participate in the U.S. pension plans. However, Mr. Vernon is eligible to participate in an enhanced defined contribution plan similar to all other U.S. employees hired after December 31, 2008. For Mr. Brearton, the amount includes benefits earned under the Canadian Pension Plan and Canadian Non Registered Pension Plan.</w:t>
      </w:r>
    </w:p>
    <w:p>
      <w:pPr>
        <w:spacing w:after="0" w:line="64" w:lineRule="exact"/>
        <w:rPr>
          <w:rFonts w:ascii="Arial" w:cs="Arial" w:eastAsia="Arial" w:hAnsi="Arial"/>
          <w:sz w:val="13"/>
          <w:szCs w:val="13"/>
          <w:color w:val="auto"/>
        </w:rPr>
      </w:pPr>
    </w:p>
    <w:p>
      <w:pPr>
        <w:ind w:left="340" w:hanging="338"/>
        <w:spacing w:after="0"/>
        <w:tabs>
          <w:tab w:leader="none" w:pos="34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amounts shown in the “All Other Compensation” column for 2011 include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4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I. Rosenfeld</w:t>
            </w:r>
          </w:p>
        </w:tc>
        <w:tc>
          <w:tcPr>
            <w:tcW w:w="11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8"/>
              </w:rPr>
              <w:t>D. Brearton</w:t>
            </w:r>
          </w:p>
        </w:tc>
        <w:tc>
          <w:tcPr>
            <w:tcW w:w="11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T. McLevish</w:t>
            </w: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S. Khosla</w:t>
            </w:r>
          </w:p>
        </w:tc>
        <w:tc>
          <w:tcPr>
            <w:tcW w:w="10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W. Vernon</w:t>
            </w:r>
          </w:p>
        </w:tc>
        <w:tc>
          <w:tcPr>
            <w:tcW w:w="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7"/>
              </w:rPr>
              <w:t>M. West</w:t>
            </w:r>
          </w:p>
        </w:tc>
        <w:tc>
          <w:tcPr>
            <w:tcW w:w="0" w:type="dxa"/>
            <w:vAlign w:val="bottom"/>
          </w:tcPr>
          <w:p>
            <w:pPr>
              <w:spacing w:after="0"/>
              <w:rPr>
                <w:sz w:val="1"/>
                <w:szCs w:val="1"/>
                <w:color w:val="auto"/>
              </w:rPr>
            </w:pPr>
          </w:p>
        </w:tc>
      </w:tr>
      <w:tr>
        <w:trPr>
          <w:trHeight w:val="157"/>
        </w:trPr>
        <w:tc>
          <w:tcPr>
            <w:tcW w:w="5240" w:type="dxa"/>
            <w:vAlign w:val="bottom"/>
            <w:vMerge w:val="restart"/>
          </w:tcPr>
          <w:p>
            <w:pPr>
              <w:spacing w:after="0"/>
              <w:rPr>
                <w:sz w:val="20"/>
                <w:szCs w:val="20"/>
                <w:color w:val="auto"/>
              </w:rPr>
            </w:pPr>
            <w:r>
              <w:rPr>
                <w:rFonts w:ascii="Arial" w:cs="Arial" w:eastAsia="Arial" w:hAnsi="Arial"/>
                <w:sz w:val="13"/>
                <w:szCs w:val="13"/>
                <w:color w:val="auto"/>
              </w:rPr>
              <w:t>Personal use of company aircraft</w:t>
            </w:r>
            <w:r>
              <w:rPr>
                <w:rFonts w:ascii="Arial" w:cs="Arial" w:eastAsia="Arial" w:hAnsi="Arial"/>
                <w:sz w:val="21"/>
                <w:szCs w:val="21"/>
                <w:color w:val="auto"/>
                <w:vertAlign w:val="superscript"/>
              </w:rPr>
              <w:t>(a)</w:t>
            </w: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3"/>
                <w:szCs w:val="13"/>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74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240" w:type="dxa"/>
            <w:vAlign w:val="bottom"/>
            <w:vMerge w:val="continue"/>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86,881</w:t>
            </w:r>
          </w:p>
        </w:tc>
        <w:tc>
          <w:tcPr>
            <w:tcW w:w="300" w:type="dxa"/>
            <w:vAlign w:val="bottom"/>
          </w:tcPr>
          <w:p>
            <w:pPr>
              <w:spacing w:after="0"/>
              <w:rPr>
                <w:sz w:val="11"/>
                <w:szCs w:val="11"/>
                <w:color w:val="auto"/>
              </w:rPr>
            </w:pPr>
          </w:p>
        </w:tc>
        <w:tc>
          <w:tcPr>
            <w:tcW w:w="820" w:type="dxa"/>
            <w:vAlign w:val="bottom"/>
          </w:tcPr>
          <w:p>
            <w:pPr>
              <w:ind w:left="620"/>
              <w:spacing w:after="0" w:line="134"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680" w:type="dxa"/>
            <w:vAlign w:val="bottom"/>
          </w:tcPr>
          <w:p>
            <w:pPr>
              <w:ind w:left="480"/>
              <w:spacing w:after="0" w:line="134"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580" w:type="dxa"/>
            <w:vAlign w:val="bottom"/>
          </w:tcPr>
          <w:p>
            <w:pPr>
              <w:ind w:left="38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5240" w:type="dxa"/>
            <w:vAlign w:val="bottom"/>
            <w:shd w:val="clear" w:color="auto" w:fill="D8D8D8"/>
          </w:tcPr>
          <w:p>
            <w:pPr>
              <w:spacing w:after="0" w:line="141" w:lineRule="exact"/>
              <w:rPr>
                <w:sz w:val="20"/>
                <w:szCs w:val="20"/>
                <w:color w:val="auto"/>
              </w:rPr>
            </w:pPr>
            <w:r>
              <w:rPr>
                <w:rFonts w:ascii="Arial" w:cs="Arial" w:eastAsia="Arial" w:hAnsi="Arial"/>
                <w:sz w:val="13"/>
                <w:szCs w:val="13"/>
                <w:color w:val="auto"/>
              </w:rPr>
              <w:t>Car expenses</w:t>
            </w:r>
          </w:p>
        </w:tc>
        <w:tc>
          <w:tcPr>
            <w:tcW w:w="1140" w:type="dxa"/>
            <w:vAlign w:val="bottom"/>
            <w:gridSpan w:val="2"/>
            <w:shd w:val="clear" w:color="auto" w:fill="D8D8D8"/>
          </w:tcPr>
          <w:p>
            <w:pPr>
              <w:jc w:val="right"/>
              <w:ind w:right="300"/>
              <w:spacing w:after="0" w:line="141" w:lineRule="exact"/>
              <w:rPr>
                <w:sz w:val="20"/>
                <w:szCs w:val="20"/>
                <w:color w:val="auto"/>
              </w:rPr>
            </w:pPr>
            <w:r>
              <w:rPr>
                <w:rFonts w:ascii="Arial" w:cs="Arial" w:eastAsia="Arial" w:hAnsi="Arial"/>
                <w:sz w:val="13"/>
                <w:szCs w:val="13"/>
                <w:color w:val="auto"/>
              </w:rPr>
              <w:t>24,274</w:t>
            </w:r>
          </w:p>
        </w:tc>
        <w:tc>
          <w:tcPr>
            <w:tcW w:w="1140" w:type="dxa"/>
            <w:vAlign w:val="bottom"/>
            <w:gridSpan w:val="2"/>
            <w:shd w:val="clear" w:color="auto" w:fill="D8D8D8"/>
          </w:tcPr>
          <w:p>
            <w:pPr>
              <w:jc w:val="right"/>
              <w:ind w:right="320"/>
              <w:spacing w:after="0" w:line="141" w:lineRule="exact"/>
              <w:rPr>
                <w:sz w:val="20"/>
                <w:szCs w:val="20"/>
                <w:color w:val="auto"/>
              </w:rPr>
            </w:pPr>
            <w:r>
              <w:rPr>
                <w:rFonts w:ascii="Arial" w:cs="Arial" w:eastAsia="Arial" w:hAnsi="Arial"/>
                <w:sz w:val="13"/>
                <w:szCs w:val="13"/>
                <w:color w:val="auto"/>
              </w:rPr>
              <w:t>15,000</w:t>
            </w:r>
          </w:p>
        </w:tc>
        <w:tc>
          <w:tcPr>
            <w:tcW w:w="1160" w:type="dxa"/>
            <w:vAlign w:val="bottom"/>
            <w:gridSpan w:val="2"/>
            <w:shd w:val="clear" w:color="auto" w:fill="D8D8D8"/>
          </w:tcPr>
          <w:p>
            <w:pPr>
              <w:jc w:val="right"/>
              <w:ind w:right="320"/>
              <w:spacing w:after="0" w:line="141" w:lineRule="exact"/>
              <w:rPr>
                <w:sz w:val="20"/>
                <w:szCs w:val="20"/>
                <w:color w:val="auto"/>
              </w:rPr>
            </w:pPr>
            <w:r>
              <w:rPr>
                <w:rFonts w:ascii="Arial" w:cs="Arial" w:eastAsia="Arial" w:hAnsi="Arial"/>
                <w:sz w:val="13"/>
                <w:szCs w:val="13"/>
                <w:color w:val="auto"/>
              </w:rPr>
              <w:t>18,705</w:t>
            </w:r>
          </w:p>
        </w:tc>
        <w:tc>
          <w:tcPr>
            <w:tcW w:w="1000" w:type="dxa"/>
            <w:vAlign w:val="bottom"/>
            <w:gridSpan w:val="2"/>
            <w:shd w:val="clear" w:color="auto" w:fill="D8D8D8"/>
          </w:tcPr>
          <w:p>
            <w:pPr>
              <w:jc w:val="right"/>
              <w:ind w:right="320"/>
              <w:spacing w:after="0" w:line="141" w:lineRule="exact"/>
              <w:rPr>
                <w:sz w:val="20"/>
                <w:szCs w:val="20"/>
                <w:color w:val="auto"/>
              </w:rPr>
            </w:pPr>
            <w:r>
              <w:rPr>
                <w:rFonts w:ascii="Arial" w:cs="Arial" w:eastAsia="Arial" w:hAnsi="Arial"/>
                <w:sz w:val="13"/>
                <w:szCs w:val="13"/>
                <w:color w:val="auto"/>
              </w:rPr>
              <w:t>14,779</w:t>
            </w:r>
          </w:p>
        </w:tc>
        <w:tc>
          <w:tcPr>
            <w:tcW w:w="1060" w:type="dxa"/>
            <w:vAlign w:val="bottom"/>
            <w:gridSpan w:val="2"/>
            <w:shd w:val="clear" w:color="auto" w:fill="D8D8D8"/>
          </w:tcPr>
          <w:p>
            <w:pPr>
              <w:jc w:val="right"/>
              <w:ind w:right="320"/>
              <w:spacing w:after="0" w:line="141" w:lineRule="exact"/>
              <w:rPr>
                <w:sz w:val="20"/>
                <w:szCs w:val="20"/>
                <w:color w:val="auto"/>
              </w:rPr>
            </w:pPr>
            <w:r>
              <w:rPr>
                <w:rFonts w:ascii="Arial" w:cs="Arial" w:eastAsia="Arial" w:hAnsi="Arial"/>
                <w:sz w:val="13"/>
                <w:szCs w:val="13"/>
                <w:color w:val="auto"/>
              </w:rPr>
              <w:t>15,000</w:t>
            </w:r>
          </w:p>
        </w:tc>
        <w:tc>
          <w:tcPr>
            <w:tcW w:w="6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15,652</w:t>
            </w:r>
          </w:p>
        </w:tc>
        <w:tc>
          <w:tcPr>
            <w:tcW w:w="0" w:type="dxa"/>
            <w:vAlign w:val="bottom"/>
          </w:tcPr>
          <w:p>
            <w:pPr>
              <w:spacing w:after="0"/>
              <w:rPr>
                <w:sz w:val="1"/>
                <w:szCs w:val="1"/>
                <w:color w:val="auto"/>
              </w:rPr>
            </w:pPr>
          </w:p>
        </w:tc>
      </w:tr>
      <w:tr>
        <w:trPr>
          <w:trHeight w:val="141"/>
        </w:trPr>
        <w:tc>
          <w:tcPr>
            <w:tcW w:w="5240" w:type="dxa"/>
            <w:vAlign w:val="bottom"/>
          </w:tcPr>
          <w:p>
            <w:pPr>
              <w:spacing w:after="0" w:line="141" w:lineRule="exact"/>
              <w:rPr>
                <w:sz w:val="20"/>
                <w:szCs w:val="20"/>
                <w:color w:val="auto"/>
              </w:rPr>
            </w:pPr>
            <w:r>
              <w:rPr>
                <w:rFonts w:ascii="Arial" w:cs="Arial" w:eastAsia="Arial" w:hAnsi="Arial"/>
                <w:sz w:val="13"/>
                <w:szCs w:val="13"/>
                <w:color w:val="auto"/>
              </w:rPr>
              <w:t>Financial counseling allowance</w:t>
            </w:r>
          </w:p>
        </w:tc>
        <w:tc>
          <w:tcPr>
            <w:tcW w:w="1140" w:type="dxa"/>
            <w:vAlign w:val="bottom"/>
            <w:gridSpan w:val="2"/>
          </w:tcPr>
          <w:p>
            <w:pPr>
              <w:ind w:left="640"/>
              <w:spacing w:after="0" w:line="141"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320"/>
              <w:spacing w:after="0" w:line="141" w:lineRule="exact"/>
              <w:rPr>
                <w:sz w:val="20"/>
                <w:szCs w:val="20"/>
                <w:color w:val="auto"/>
              </w:rPr>
            </w:pPr>
            <w:r>
              <w:rPr>
                <w:rFonts w:ascii="Arial" w:cs="Arial" w:eastAsia="Arial" w:hAnsi="Arial"/>
                <w:sz w:val="13"/>
                <w:szCs w:val="13"/>
                <w:color w:val="auto"/>
              </w:rPr>
              <w:t>7,500</w:t>
            </w:r>
          </w:p>
        </w:tc>
        <w:tc>
          <w:tcPr>
            <w:tcW w:w="1160" w:type="dxa"/>
            <w:vAlign w:val="bottom"/>
            <w:gridSpan w:val="2"/>
          </w:tcPr>
          <w:p>
            <w:pPr>
              <w:jc w:val="right"/>
              <w:ind w:right="320"/>
              <w:spacing w:after="0" w:line="141" w:lineRule="exact"/>
              <w:rPr>
                <w:sz w:val="20"/>
                <w:szCs w:val="20"/>
                <w:color w:val="auto"/>
              </w:rPr>
            </w:pPr>
            <w:r>
              <w:rPr>
                <w:rFonts w:ascii="Arial" w:cs="Arial" w:eastAsia="Arial" w:hAnsi="Arial"/>
                <w:sz w:val="13"/>
                <w:szCs w:val="13"/>
                <w:color w:val="auto"/>
              </w:rPr>
              <w:t>7,500</w:t>
            </w:r>
          </w:p>
        </w:tc>
        <w:tc>
          <w:tcPr>
            <w:tcW w:w="1000" w:type="dxa"/>
            <w:vAlign w:val="bottom"/>
            <w:gridSpan w:val="2"/>
          </w:tcPr>
          <w:p>
            <w:pPr>
              <w:jc w:val="right"/>
              <w:ind w:right="320"/>
              <w:spacing w:after="0" w:line="141" w:lineRule="exact"/>
              <w:rPr>
                <w:sz w:val="20"/>
                <w:szCs w:val="20"/>
                <w:color w:val="auto"/>
              </w:rPr>
            </w:pPr>
            <w:r>
              <w:rPr>
                <w:rFonts w:ascii="Arial" w:cs="Arial" w:eastAsia="Arial" w:hAnsi="Arial"/>
                <w:sz w:val="13"/>
                <w:szCs w:val="13"/>
                <w:color w:val="auto"/>
              </w:rPr>
              <w:t>7,500</w:t>
            </w:r>
          </w:p>
        </w:tc>
        <w:tc>
          <w:tcPr>
            <w:tcW w:w="1060" w:type="dxa"/>
            <w:vAlign w:val="bottom"/>
            <w:gridSpan w:val="2"/>
          </w:tcPr>
          <w:p>
            <w:pPr>
              <w:jc w:val="right"/>
              <w:ind w:right="320"/>
              <w:spacing w:after="0" w:line="141" w:lineRule="exact"/>
              <w:rPr>
                <w:sz w:val="20"/>
                <w:szCs w:val="20"/>
                <w:color w:val="auto"/>
              </w:rPr>
            </w:pPr>
            <w:r>
              <w:rPr>
                <w:rFonts w:ascii="Arial" w:cs="Arial" w:eastAsia="Arial" w:hAnsi="Arial"/>
                <w:sz w:val="13"/>
                <w:szCs w:val="13"/>
                <w:color w:val="auto"/>
              </w:rPr>
              <w:t>5,075</w:t>
            </w:r>
          </w:p>
        </w:tc>
        <w:tc>
          <w:tcPr>
            <w:tcW w:w="6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7,500</w:t>
            </w:r>
          </w:p>
        </w:tc>
        <w:tc>
          <w:tcPr>
            <w:tcW w:w="0" w:type="dxa"/>
            <w:vAlign w:val="bottom"/>
          </w:tcPr>
          <w:p>
            <w:pPr>
              <w:spacing w:after="0"/>
              <w:rPr>
                <w:sz w:val="1"/>
                <w:szCs w:val="1"/>
                <w:color w:val="auto"/>
              </w:rPr>
            </w:pPr>
          </w:p>
        </w:tc>
      </w:tr>
      <w:tr>
        <w:trPr>
          <w:trHeight w:val="140"/>
        </w:trPr>
        <w:tc>
          <w:tcPr>
            <w:tcW w:w="5240" w:type="dxa"/>
            <w:vAlign w:val="bottom"/>
            <w:shd w:val="clear" w:color="auto" w:fill="D8D8D8"/>
          </w:tcPr>
          <w:p>
            <w:pPr>
              <w:spacing w:after="0" w:line="140" w:lineRule="exact"/>
              <w:rPr>
                <w:sz w:val="20"/>
                <w:szCs w:val="20"/>
                <w:color w:val="auto"/>
              </w:rPr>
            </w:pPr>
            <w:r>
              <w:rPr>
                <w:rFonts w:ascii="Arial" w:cs="Arial" w:eastAsia="Arial" w:hAnsi="Arial"/>
                <w:sz w:val="13"/>
                <w:szCs w:val="13"/>
                <w:color w:val="auto"/>
              </w:rPr>
              <w:t>Employer match on defined contribution</w:t>
            </w:r>
          </w:p>
        </w:tc>
        <w:tc>
          <w:tcPr>
            <w:tcW w:w="84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82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84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74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5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240" w:type="dxa"/>
            <w:vAlign w:val="bottom"/>
            <w:shd w:val="clear" w:color="auto" w:fill="D8D8D8"/>
          </w:tcPr>
          <w:p>
            <w:pPr>
              <w:ind w:left="140"/>
              <w:spacing w:after="0"/>
              <w:rPr>
                <w:sz w:val="20"/>
                <w:szCs w:val="20"/>
                <w:color w:val="auto"/>
              </w:rPr>
            </w:pPr>
            <w:r>
              <w:rPr>
                <w:rFonts w:ascii="Arial" w:cs="Arial" w:eastAsia="Arial" w:hAnsi="Arial"/>
                <w:sz w:val="13"/>
                <w:szCs w:val="13"/>
                <w:color w:val="auto"/>
              </w:rPr>
              <w:t>plans</w:t>
            </w:r>
          </w:p>
        </w:tc>
        <w:tc>
          <w:tcPr>
            <w:tcW w:w="1140" w:type="dxa"/>
            <w:vAlign w:val="bottom"/>
            <w:gridSpan w:val="2"/>
            <w:shd w:val="clear" w:color="auto" w:fill="D8D8D8"/>
          </w:tcPr>
          <w:p>
            <w:pPr>
              <w:jc w:val="right"/>
              <w:ind w:right="300"/>
              <w:spacing w:after="0"/>
              <w:rPr>
                <w:sz w:val="20"/>
                <w:szCs w:val="20"/>
                <w:color w:val="auto"/>
              </w:rPr>
            </w:pPr>
            <w:r>
              <w:rPr>
                <w:rFonts w:ascii="Arial" w:cs="Arial" w:eastAsia="Arial" w:hAnsi="Arial"/>
                <w:sz w:val="13"/>
                <w:szCs w:val="13"/>
                <w:color w:val="auto"/>
              </w:rPr>
              <w:t>165,218</w:t>
            </w:r>
          </w:p>
        </w:tc>
        <w:tc>
          <w:tcPr>
            <w:tcW w:w="1140" w:type="dxa"/>
            <w:vAlign w:val="bottom"/>
            <w:gridSpan w:val="2"/>
            <w:shd w:val="clear" w:color="auto" w:fill="D8D8D8"/>
          </w:tcPr>
          <w:p>
            <w:pPr>
              <w:jc w:val="right"/>
              <w:ind w:right="320"/>
              <w:spacing w:after="0"/>
              <w:rPr>
                <w:sz w:val="20"/>
                <w:szCs w:val="20"/>
                <w:color w:val="auto"/>
              </w:rPr>
            </w:pPr>
            <w:r>
              <w:rPr>
                <w:rFonts w:ascii="Arial" w:cs="Arial" w:eastAsia="Arial" w:hAnsi="Arial"/>
                <w:sz w:val="13"/>
                <w:szCs w:val="13"/>
                <w:color w:val="auto"/>
              </w:rPr>
              <w:t>40,053</w:t>
            </w:r>
          </w:p>
        </w:tc>
        <w:tc>
          <w:tcPr>
            <w:tcW w:w="1160" w:type="dxa"/>
            <w:vAlign w:val="bottom"/>
            <w:gridSpan w:val="2"/>
            <w:shd w:val="clear" w:color="auto" w:fill="D8D8D8"/>
          </w:tcPr>
          <w:p>
            <w:pPr>
              <w:jc w:val="right"/>
              <w:ind w:right="320"/>
              <w:spacing w:after="0"/>
              <w:rPr>
                <w:sz w:val="20"/>
                <w:szCs w:val="20"/>
                <w:color w:val="auto"/>
              </w:rPr>
            </w:pPr>
            <w:r>
              <w:rPr>
                <w:rFonts w:ascii="Arial" w:cs="Arial" w:eastAsia="Arial" w:hAnsi="Arial"/>
                <w:sz w:val="13"/>
                <w:szCs w:val="13"/>
                <w:color w:val="auto"/>
              </w:rPr>
              <w:t>64,039</w:t>
            </w:r>
          </w:p>
        </w:tc>
        <w:tc>
          <w:tcPr>
            <w:tcW w:w="1000" w:type="dxa"/>
            <w:vAlign w:val="bottom"/>
            <w:gridSpan w:val="2"/>
            <w:shd w:val="clear" w:color="auto" w:fill="D8D8D8"/>
          </w:tcPr>
          <w:p>
            <w:pPr>
              <w:jc w:val="right"/>
              <w:ind w:right="320"/>
              <w:spacing w:after="0"/>
              <w:rPr>
                <w:sz w:val="20"/>
                <w:szCs w:val="20"/>
                <w:color w:val="auto"/>
              </w:rPr>
            </w:pPr>
            <w:r>
              <w:rPr>
                <w:rFonts w:ascii="Arial" w:cs="Arial" w:eastAsia="Arial" w:hAnsi="Arial"/>
                <w:sz w:val="13"/>
                <w:szCs w:val="13"/>
                <w:color w:val="auto"/>
              </w:rPr>
              <w:t>71,920</w:t>
            </w:r>
          </w:p>
        </w:tc>
        <w:tc>
          <w:tcPr>
            <w:tcW w:w="740" w:type="dxa"/>
            <w:vAlign w:val="bottom"/>
            <w:shd w:val="clear" w:color="auto" w:fill="D8D8D8"/>
          </w:tcPr>
          <w:p>
            <w:pPr>
              <w:ind w:left="280"/>
              <w:spacing w:after="0"/>
              <w:rPr>
                <w:sz w:val="20"/>
                <w:szCs w:val="20"/>
                <w:color w:val="auto"/>
              </w:rPr>
            </w:pPr>
            <w:r>
              <w:rPr>
                <w:rFonts w:ascii="Arial" w:cs="Arial" w:eastAsia="Arial" w:hAnsi="Arial"/>
                <w:sz w:val="13"/>
                <w:szCs w:val="13"/>
                <w:color w:val="auto"/>
                <w:w w:val="93"/>
              </w:rPr>
              <w:t>112,980</w:t>
            </w:r>
          </w:p>
        </w:tc>
        <w:tc>
          <w:tcPr>
            <w:tcW w:w="320" w:type="dxa"/>
            <w:vAlign w:val="bottom"/>
            <w:shd w:val="clear" w:color="auto" w:fill="D8D8D8"/>
          </w:tcPr>
          <w:p>
            <w:pPr>
              <w:spacing w:after="0"/>
              <w:rPr>
                <w:sz w:val="13"/>
                <w:szCs w:val="13"/>
                <w:color w:val="auto"/>
              </w:rPr>
            </w:pPr>
          </w:p>
        </w:tc>
        <w:tc>
          <w:tcPr>
            <w:tcW w:w="680" w:type="dxa"/>
            <w:vAlign w:val="bottom"/>
            <w:gridSpan w:val="2"/>
            <w:shd w:val="clear" w:color="auto" w:fill="D8D8D8"/>
          </w:tcPr>
          <w:p>
            <w:pPr>
              <w:jc w:val="right"/>
              <w:ind w:right="100"/>
              <w:spacing w:after="0"/>
              <w:rPr>
                <w:sz w:val="20"/>
                <w:szCs w:val="20"/>
                <w:color w:val="auto"/>
              </w:rPr>
            </w:pPr>
            <w:r>
              <w:rPr>
                <w:rFonts w:ascii="Arial" w:cs="Arial" w:eastAsia="Arial" w:hAnsi="Arial"/>
                <w:sz w:val="13"/>
                <w:szCs w:val="13"/>
                <w:color w:val="auto"/>
              </w:rPr>
              <w:t>48,251</w:t>
            </w:r>
          </w:p>
        </w:tc>
        <w:tc>
          <w:tcPr>
            <w:tcW w:w="0" w:type="dxa"/>
            <w:vAlign w:val="bottom"/>
          </w:tcPr>
          <w:p>
            <w:pPr>
              <w:spacing w:after="0"/>
              <w:rPr>
                <w:sz w:val="1"/>
                <w:szCs w:val="1"/>
                <w:color w:val="auto"/>
              </w:rPr>
            </w:pPr>
          </w:p>
        </w:tc>
      </w:tr>
      <w:tr>
        <w:trPr>
          <w:trHeight w:val="170"/>
        </w:trPr>
        <w:tc>
          <w:tcPr>
            <w:tcW w:w="5240" w:type="dxa"/>
            <w:vAlign w:val="bottom"/>
          </w:tcPr>
          <w:p>
            <w:pPr>
              <w:spacing w:after="0"/>
              <w:rPr>
                <w:sz w:val="20"/>
                <w:szCs w:val="20"/>
                <w:color w:val="auto"/>
              </w:rPr>
            </w:pPr>
            <w:r>
              <w:rPr>
                <w:rFonts w:ascii="Arial" w:cs="Arial" w:eastAsia="Arial" w:hAnsi="Arial"/>
                <w:sz w:val="13"/>
                <w:szCs w:val="13"/>
                <w:b w:val="1"/>
                <w:bCs w:val="1"/>
                <w:color w:val="auto"/>
              </w:rPr>
              <w:t>Total All Other Compensation</w:t>
            </w:r>
          </w:p>
        </w:tc>
        <w:tc>
          <w:tcPr>
            <w:tcW w:w="11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276,373</w:t>
            </w:r>
          </w:p>
        </w:tc>
        <w:tc>
          <w:tcPr>
            <w:tcW w:w="11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62,553</w:t>
            </w:r>
          </w:p>
        </w:tc>
        <w:tc>
          <w:tcPr>
            <w:tcW w:w="11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90,244</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94,199</w:t>
            </w:r>
          </w:p>
        </w:tc>
        <w:tc>
          <w:tcPr>
            <w:tcW w:w="740" w:type="dxa"/>
            <w:vAlign w:val="bottom"/>
          </w:tcPr>
          <w:p>
            <w:pPr>
              <w:ind w:left="280"/>
              <w:spacing w:after="0"/>
              <w:rPr>
                <w:sz w:val="20"/>
                <w:szCs w:val="20"/>
                <w:color w:val="auto"/>
              </w:rPr>
            </w:pPr>
            <w:r>
              <w:rPr>
                <w:rFonts w:ascii="Arial" w:cs="Arial" w:eastAsia="Arial" w:hAnsi="Arial"/>
                <w:sz w:val="13"/>
                <w:szCs w:val="13"/>
                <w:b w:val="1"/>
                <w:bCs w:val="1"/>
                <w:color w:val="auto"/>
                <w:w w:val="93"/>
              </w:rPr>
              <w:t>133,055</w:t>
            </w:r>
          </w:p>
        </w:tc>
        <w:tc>
          <w:tcPr>
            <w:tcW w:w="3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71,403</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780" w:hanging="445"/>
        <w:spacing w:after="0" w:line="230" w:lineRule="auto"/>
        <w:tabs>
          <w:tab w:leader="none" w:pos="780" w:val="left"/>
        </w:tabs>
        <w:numPr>
          <w:ilvl w:val="1"/>
          <w:numId w:val="70"/>
        </w:numPr>
        <w:rPr>
          <w:rFonts w:ascii="Arial" w:cs="Arial" w:eastAsia="Arial" w:hAnsi="Arial"/>
          <w:sz w:val="13"/>
          <w:szCs w:val="13"/>
          <w:color w:val="auto"/>
        </w:rPr>
      </w:pPr>
      <w:r>
        <w:rPr>
          <w:rFonts w:ascii="Arial" w:cs="Arial" w:eastAsia="Arial" w:hAnsi="Arial"/>
          <w:sz w:val="13"/>
          <w:szCs w:val="13"/>
          <w:color w:val="auto"/>
        </w:rPr>
        <w:t>For reasons of security and personal safety, we require Ms. Rosenfeld to use our aircraft for all travel. The incremental cost of personal use of our aircraft includes the costs of trip-related crew hotels and meals, in-flight food and beverages, landing and ground handling fees, hourly maintenance contract costs, hangar or aircraft parking costs, fuel costs based on the average annual cost of fuel per hour flown and other smaller variable costs. Fixed costs that would be incurred in any event to operate our aircraft (for example, aircraft purchase costs, maintenance not related to personal trips and flight crew salaries) are not included in the incremental cost of Ms. Rosenfeld’s use of our aircraft. Ms. Rosenfeld is responsible for taxes in connection with her personal use of our aircraft and is not reimbursed for these taxes.</w:t>
      </w:r>
    </w:p>
    <w:p>
      <w:pPr>
        <w:spacing w:after="0" w:line="63" w:lineRule="exact"/>
        <w:rPr>
          <w:rFonts w:ascii="Arial" w:cs="Arial" w:eastAsia="Arial" w:hAnsi="Arial"/>
          <w:sz w:val="13"/>
          <w:szCs w:val="13"/>
          <w:color w:val="auto"/>
        </w:rPr>
      </w:pPr>
    </w:p>
    <w:p>
      <w:pPr>
        <w:ind w:left="340" w:hanging="338"/>
        <w:spacing w:after="0"/>
        <w:tabs>
          <w:tab w:leader="none" w:pos="3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Mr. Brearton was appointed Chief Financial Officer effective May 9, 2011. Prior to that, he served as our Executive Vice President, Operations and Business Services.</w:t>
      </w:r>
    </w:p>
    <w:p>
      <w:pPr>
        <w:spacing w:after="0" w:line="67" w:lineRule="exact"/>
        <w:rPr>
          <w:rFonts w:ascii="Arial" w:cs="Arial" w:eastAsia="Arial" w:hAnsi="Arial"/>
          <w:sz w:val="13"/>
          <w:szCs w:val="13"/>
          <w:color w:val="auto"/>
        </w:rPr>
      </w:pPr>
    </w:p>
    <w:p>
      <w:pPr>
        <w:ind w:left="340" w:right="520" w:hanging="338"/>
        <w:spacing w:after="0" w:line="236" w:lineRule="auto"/>
        <w:tabs>
          <w:tab w:leader="none" w:pos="340" w:val="left"/>
        </w:tabs>
        <w:numPr>
          <w:ilvl w:val="0"/>
          <w:numId w:val="71"/>
        </w:numPr>
        <w:rPr>
          <w:rFonts w:ascii="Arial" w:cs="Arial" w:eastAsia="Arial" w:hAnsi="Arial"/>
          <w:sz w:val="13"/>
          <w:szCs w:val="13"/>
          <w:color w:val="auto"/>
        </w:rPr>
      </w:pPr>
      <w:r>
        <w:rPr>
          <w:rFonts w:ascii="Arial" w:cs="Arial" w:eastAsia="Arial" w:hAnsi="Arial"/>
          <w:sz w:val="13"/>
          <w:szCs w:val="13"/>
          <w:color w:val="auto"/>
        </w:rPr>
        <w:t>Mr. McLevish served as our Chief Financial Officer until May 9, 2011, when Mr. Brearton’s appointment as Chief Financial Officer became effective. Mr. McLevish continues to serve as our Executive Vice President.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444" w:right="23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Grants of Plan-Based Awards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All</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7"/>
              </w:rPr>
              <w:t>Other</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5"/>
              </w:rPr>
              <w:t>Stock</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7"/>
              </w:rPr>
              <w:t>Estimated Future</w:t>
            </w:r>
          </w:p>
        </w:tc>
        <w:tc>
          <w:tcPr>
            <w:tcW w:w="14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Estimated Future</w:t>
            </w:r>
          </w:p>
        </w:tc>
        <w:tc>
          <w:tcPr>
            <w:tcW w:w="2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Awards:</w:t>
            </w: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8"/>
              </w:rPr>
              <w:t>All Other</w:t>
            </w: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gridSpan w:val="4"/>
            <w:vMerge w:val="restart"/>
          </w:tcPr>
          <w:p>
            <w:pPr>
              <w:jc w:val="center"/>
              <w:ind w:right="180"/>
              <w:spacing w:after="0"/>
              <w:rPr>
                <w:sz w:val="20"/>
                <w:szCs w:val="20"/>
                <w:color w:val="auto"/>
              </w:rPr>
            </w:pPr>
            <w:r>
              <w:rPr>
                <w:rFonts w:ascii="Arial" w:cs="Arial" w:eastAsia="Arial" w:hAnsi="Arial"/>
                <w:sz w:val="13"/>
                <w:szCs w:val="13"/>
                <w:b w:val="1"/>
                <w:bCs w:val="1"/>
                <w:color w:val="auto"/>
                <w:w w:val="98"/>
              </w:rPr>
              <w:t>Payouts Under</w:t>
            </w:r>
          </w:p>
        </w:tc>
        <w:tc>
          <w:tcPr>
            <w:tcW w:w="14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8"/>
              </w:rPr>
              <w:t>Payouts Under</w:t>
            </w:r>
          </w:p>
        </w:tc>
        <w:tc>
          <w:tcPr>
            <w:tcW w:w="20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Number</w:t>
            </w:r>
          </w:p>
        </w:tc>
        <w:tc>
          <w:tcPr>
            <w:tcW w:w="98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4"/>
            <w:vMerge w:val="continue"/>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98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rPr>
              <w:t>Option</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86"/>
        </w:trPr>
        <w:tc>
          <w:tcPr>
            <w:tcW w:w="9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0" w:type="dxa"/>
            <w:vAlign w:val="bottom"/>
            <w:gridSpan w:val="4"/>
          </w:tcPr>
          <w:p>
            <w:pPr>
              <w:jc w:val="center"/>
              <w:ind w:right="200"/>
              <w:spacing w:after="0" w:line="86" w:lineRule="exact"/>
              <w:rPr>
                <w:sz w:val="20"/>
                <w:szCs w:val="20"/>
                <w:color w:val="auto"/>
              </w:rPr>
            </w:pPr>
            <w:r>
              <w:rPr>
                <w:rFonts w:ascii="Arial" w:cs="Arial" w:eastAsia="Arial" w:hAnsi="Arial"/>
                <w:sz w:val="9"/>
                <w:szCs w:val="9"/>
                <w:b w:val="1"/>
                <w:bCs w:val="1"/>
                <w:color w:val="auto"/>
              </w:rPr>
              <w:t>Non-Equity</w:t>
            </w:r>
          </w:p>
        </w:tc>
        <w:tc>
          <w:tcPr>
            <w:tcW w:w="1480" w:type="dxa"/>
            <w:vAlign w:val="bottom"/>
            <w:gridSpan w:val="3"/>
          </w:tcPr>
          <w:p>
            <w:pPr>
              <w:jc w:val="center"/>
              <w:spacing w:after="0" w:line="86" w:lineRule="exact"/>
              <w:rPr>
                <w:sz w:val="20"/>
                <w:szCs w:val="20"/>
                <w:color w:val="auto"/>
              </w:rPr>
            </w:pPr>
            <w:r>
              <w:rPr>
                <w:rFonts w:ascii="Arial" w:cs="Arial" w:eastAsia="Arial" w:hAnsi="Arial"/>
                <w:sz w:val="9"/>
                <w:szCs w:val="9"/>
                <w:b w:val="1"/>
                <w:bCs w:val="1"/>
                <w:color w:val="auto"/>
              </w:rPr>
              <w:t>Equity</w:t>
            </w:r>
          </w:p>
        </w:tc>
        <w:tc>
          <w:tcPr>
            <w:tcW w:w="200" w:type="dxa"/>
            <w:vAlign w:val="bottom"/>
          </w:tcPr>
          <w:p>
            <w:pPr>
              <w:spacing w:after="0"/>
              <w:rPr>
                <w:sz w:val="7"/>
                <w:szCs w:val="7"/>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of</w:t>
            </w: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Awards:</w:t>
            </w: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Date Fair</w:t>
            </w:r>
          </w:p>
        </w:tc>
        <w:tc>
          <w:tcPr>
            <w:tcW w:w="0" w:type="dxa"/>
            <w:vAlign w:val="bottom"/>
          </w:tcPr>
          <w:p>
            <w:pPr>
              <w:spacing w:after="0"/>
              <w:rPr>
                <w:sz w:val="1"/>
                <w:szCs w:val="1"/>
                <w:color w:val="auto"/>
              </w:rPr>
            </w:pPr>
          </w:p>
        </w:tc>
      </w:tr>
      <w:tr>
        <w:trPr>
          <w:trHeight w:val="64"/>
        </w:trPr>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gridSpan w:val="4"/>
            <w:vMerge w:val="restart"/>
          </w:tcPr>
          <w:p>
            <w:pPr>
              <w:jc w:val="center"/>
              <w:ind w:right="180"/>
              <w:spacing w:after="0" w:line="132" w:lineRule="exact"/>
              <w:rPr>
                <w:sz w:val="20"/>
                <w:szCs w:val="20"/>
                <w:color w:val="auto"/>
              </w:rPr>
            </w:pPr>
            <w:r>
              <w:rPr>
                <w:rFonts w:ascii="Arial" w:cs="Arial" w:eastAsia="Arial" w:hAnsi="Arial"/>
                <w:sz w:val="13"/>
                <w:szCs w:val="13"/>
                <w:b w:val="1"/>
                <w:bCs w:val="1"/>
                <w:color w:val="auto"/>
                <w:w w:val="98"/>
              </w:rPr>
              <w:t>Incentive Plan</w:t>
            </w:r>
          </w:p>
        </w:tc>
        <w:tc>
          <w:tcPr>
            <w:tcW w:w="1480" w:type="dxa"/>
            <w:vAlign w:val="bottom"/>
            <w:gridSpan w:val="3"/>
            <w:vMerge w:val="restart"/>
          </w:tcPr>
          <w:p>
            <w:pPr>
              <w:jc w:val="center"/>
              <w:spacing w:after="0" w:line="132" w:lineRule="exact"/>
              <w:rPr>
                <w:sz w:val="20"/>
                <w:szCs w:val="20"/>
                <w:color w:val="auto"/>
              </w:rPr>
            </w:pPr>
            <w:r>
              <w:rPr>
                <w:rFonts w:ascii="Arial" w:cs="Arial" w:eastAsia="Arial" w:hAnsi="Arial"/>
                <w:sz w:val="13"/>
                <w:szCs w:val="13"/>
                <w:b w:val="1"/>
                <w:bCs w:val="1"/>
                <w:color w:val="auto"/>
                <w:w w:val="99"/>
              </w:rPr>
              <w:t>Incentive</w:t>
            </w: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0" w:type="dxa"/>
            <w:vAlign w:val="bottom"/>
            <w:gridSpan w:val="4"/>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gridSpan w:val="2"/>
            <w:vMerge w:val="restart"/>
          </w:tcPr>
          <w:p>
            <w:pPr>
              <w:jc w:val="center"/>
              <w:ind w:right="200"/>
              <w:spacing w:after="0" w:line="141" w:lineRule="exact"/>
              <w:rPr>
                <w:sz w:val="20"/>
                <w:szCs w:val="20"/>
                <w:color w:val="auto"/>
              </w:rPr>
            </w:pPr>
            <w:r>
              <w:rPr>
                <w:rFonts w:ascii="Arial" w:cs="Arial" w:eastAsia="Arial" w:hAnsi="Arial"/>
                <w:sz w:val="13"/>
                <w:szCs w:val="13"/>
                <w:b w:val="1"/>
                <w:bCs w:val="1"/>
                <w:color w:val="auto"/>
                <w:w w:val="96"/>
              </w:rPr>
              <w:t>Shares</w:t>
            </w:r>
          </w:p>
        </w:tc>
        <w:tc>
          <w:tcPr>
            <w:tcW w:w="980" w:type="dxa"/>
            <w:vAlign w:val="bottom"/>
            <w:gridSpan w:val="2"/>
            <w:vMerge w:val="restart"/>
          </w:tcPr>
          <w:p>
            <w:pPr>
              <w:jc w:val="center"/>
              <w:ind w:right="180"/>
              <w:spacing w:after="0" w:line="141" w:lineRule="exact"/>
              <w:rPr>
                <w:sz w:val="20"/>
                <w:szCs w:val="20"/>
                <w:color w:val="auto"/>
              </w:rPr>
            </w:pPr>
            <w:r>
              <w:rPr>
                <w:rFonts w:ascii="Arial" w:cs="Arial" w:eastAsia="Arial" w:hAnsi="Arial"/>
                <w:sz w:val="13"/>
                <w:szCs w:val="13"/>
                <w:b w:val="1"/>
                <w:bCs w:val="1"/>
                <w:color w:val="auto"/>
              </w:rPr>
              <w:t>Number of</w:t>
            </w:r>
          </w:p>
        </w:tc>
        <w:tc>
          <w:tcPr>
            <w:tcW w:w="920" w:type="dxa"/>
            <w:vAlign w:val="bottom"/>
            <w:gridSpan w:val="2"/>
            <w:vMerge w:val="restart"/>
          </w:tcPr>
          <w:p>
            <w:pPr>
              <w:jc w:val="center"/>
              <w:ind w:right="200"/>
              <w:spacing w:after="0" w:line="141" w:lineRule="exact"/>
              <w:rPr>
                <w:sz w:val="20"/>
                <w:szCs w:val="20"/>
                <w:color w:val="auto"/>
              </w:rPr>
            </w:pPr>
            <w:r>
              <w:rPr>
                <w:rFonts w:ascii="Arial" w:cs="Arial" w:eastAsia="Arial" w:hAnsi="Arial"/>
                <w:sz w:val="13"/>
                <w:szCs w:val="13"/>
                <w:b w:val="1"/>
                <w:bCs w:val="1"/>
                <w:color w:val="auto"/>
                <w:w w:val="97"/>
              </w:rPr>
              <w:t>Exercise</w:t>
            </w:r>
          </w:p>
        </w:tc>
        <w:tc>
          <w:tcPr>
            <w:tcW w:w="880" w:type="dxa"/>
            <w:vAlign w:val="bottom"/>
            <w:gridSpan w:val="2"/>
            <w:vMerge w:val="restart"/>
          </w:tcPr>
          <w:p>
            <w:pPr>
              <w:jc w:val="center"/>
              <w:ind w:right="120"/>
              <w:spacing w:after="0" w:line="141" w:lineRule="exact"/>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73"/>
        </w:trPr>
        <w:tc>
          <w:tcPr>
            <w:tcW w:w="9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0" w:type="dxa"/>
            <w:vAlign w:val="bottom"/>
            <w:gridSpan w:val="4"/>
            <w:vMerge w:val="restart"/>
          </w:tcPr>
          <w:p>
            <w:pPr>
              <w:ind w:left="500"/>
              <w:spacing w:after="0" w:line="166"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9"/>
                <w:szCs w:val="19"/>
                <w:b w:val="1"/>
                <w:bCs w:val="1"/>
                <w:color w:val="auto"/>
                <w:vertAlign w:val="superscript"/>
              </w:rPr>
              <w:t>(1)</w:t>
            </w:r>
          </w:p>
        </w:tc>
        <w:tc>
          <w:tcPr>
            <w:tcW w:w="1480" w:type="dxa"/>
            <w:vAlign w:val="bottom"/>
            <w:gridSpan w:val="3"/>
            <w:vMerge w:val="restart"/>
          </w:tcPr>
          <w:p>
            <w:pPr>
              <w:jc w:val="center"/>
              <w:spacing w:after="0" w:line="166" w:lineRule="exact"/>
              <w:rPr>
                <w:sz w:val="20"/>
                <w:szCs w:val="20"/>
                <w:color w:val="auto"/>
              </w:rPr>
            </w:pPr>
            <w:r>
              <w:rPr>
                <w:rFonts w:ascii="Arial" w:cs="Arial" w:eastAsia="Arial" w:hAnsi="Arial"/>
                <w:sz w:val="12"/>
                <w:szCs w:val="12"/>
                <w:b w:val="1"/>
                <w:bCs w:val="1"/>
                <w:color w:val="auto"/>
              </w:rPr>
              <w:t>Plan Awards</w:t>
            </w:r>
            <w:r>
              <w:rPr>
                <w:rFonts w:ascii="Arial" w:cs="Arial" w:eastAsia="Arial" w:hAnsi="Arial"/>
                <w:sz w:val="19"/>
                <w:szCs w:val="19"/>
                <w:b w:val="1"/>
                <w:bCs w:val="1"/>
                <w:color w:val="auto"/>
                <w:vertAlign w:val="superscript"/>
              </w:rPr>
              <w:t>(2)</w:t>
            </w:r>
          </w:p>
        </w:tc>
        <w:tc>
          <w:tcPr>
            <w:tcW w:w="2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9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0" w:type="dxa"/>
            <w:vAlign w:val="bottom"/>
            <w:gridSpan w:val="4"/>
            <w:vMerge w:val="continue"/>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gridSpan w:val="2"/>
            <w:vMerge w:val="restart"/>
          </w:tcPr>
          <w:p>
            <w:pPr>
              <w:jc w:val="center"/>
              <w:ind w:right="200"/>
              <w:spacing w:after="0" w:line="141" w:lineRule="exact"/>
              <w:rPr>
                <w:sz w:val="20"/>
                <w:szCs w:val="20"/>
                <w:color w:val="auto"/>
              </w:rPr>
            </w:pPr>
            <w:r>
              <w:rPr>
                <w:rFonts w:ascii="Arial" w:cs="Arial" w:eastAsia="Arial" w:hAnsi="Arial"/>
                <w:sz w:val="13"/>
                <w:szCs w:val="13"/>
                <w:b w:val="1"/>
                <w:bCs w:val="1"/>
                <w:color w:val="auto"/>
                <w:w w:val="97"/>
              </w:rPr>
              <w:t>of Stock</w:t>
            </w:r>
          </w:p>
        </w:tc>
        <w:tc>
          <w:tcPr>
            <w:tcW w:w="980" w:type="dxa"/>
            <w:vAlign w:val="bottom"/>
            <w:gridSpan w:val="2"/>
            <w:vMerge w:val="restart"/>
          </w:tcPr>
          <w:p>
            <w:pPr>
              <w:jc w:val="center"/>
              <w:ind w:right="200"/>
              <w:spacing w:after="0" w:line="141" w:lineRule="exact"/>
              <w:rPr>
                <w:sz w:val="20"/>
                <w:szCs w:val="20"/>
                <w:color w:val="auto"/>
              </w:rPr>
            </w:pPr>
            <w:r>
              <w:rPr>
                <w:rFonts w:ascii="Arial" w:cs="Arial" w:eastAsia="Arial" w:hAnsi="Arial"/>
                <w:sz w:val="13"/>
                <w:szCs w:val="13"/>
                <w:b w:val="1"/>
                <w:bCs w:val="1"/>
                <w:color w:val="auto"/>
                <w:w w:val="99"/>
              </w:rPr>
              <w:t>Securities</w:t>
            </w:r>
          </w:p>
        </w:tc>
        <w:tc>
          <w:tcPr>
            <w:tcW w:w="920" w:type="dxa"/>
            <w:vAlign w:val="bottom"/>
            <w:gridSpan w:val="2"/>
            <w:vMerge w:val="restart"/>
          </w:tcPr>
          <w:p>
            <w:pPr>
              <w:jc w:val="center"/>
              <w:ind w:right="200"/>
              <w:spacing w:after="0" w:line="141" w:lineRule="exact"/>
              <w:rPr>
                <w:sz w:val="20"/>
                <w:szCs w:val="20"/>
                <w:color w:val="auto"/>
              </w:rPr>
            </w:pPr>
            <w:r>
              <w:rPr>
                <w:rFonts w:ascii="Arial" w:cs="Arial" w:eastAsia="Arial" w:hAnsi="Arial"/>
                <w:sz w:val="13"/>
                <w:szCs w:val="13"/>
                <w:b w:val="1"/>
                <w:bCs w:val="1"/>
                <w:color w:val="auto"/>
              </w:rPr>
              <w:t>Price of</w:t>
            </w:r>
          </w:p>
        </w:tc>
        <w:tc>
          <w:tcPr>
            <w:tcW w:w="880" w:type="dxa"/>
            <w:vAlign w:val="bottom"/>
            <w:gridSpan w:val="2"/>
            <w:vMerge w:val="restart"/>
          </w:tcPr>
          <w:p>
            <w:pPr>
              <w:jc w:val="center"/>
              <w:ind w:right="100"/>
              <w:spacing w:after="0" w:line="141" w:lineRule="exact"/>
              <w:rPr>
                <w:sz w:val="20"/>
                <w:szCs w:val="20"/>
                <w:color w:val="auto"/>
              </w:rPr>
            </w:pPr>
            <w:r>
              <w:rPr>
                <w:rFonts w:ascii="Arial" w:cs="Arial" w:eastAsia="Arial" w:hAnsi="Arial"/>
                <w:sz w:val="13"/>
                <w:szCs w:val="13"/>
                <w:b w:val="1"/>
                <w:bCs w:val="1"/>
                <w:color w:val="auto"/>
                <w:w w:val="99"/>
              </w:rPr>
              <w:t>Stock and</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9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rPr>
              <w:t>or</w:t>
            </w:r>
          </w:p>
        </w:tc>
        <w:tc>
          <w:tcPr>
            <w:tcW w:w="98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w w:val="97"/>
              </w:rPr>
              <w:t>Underlying</w:t>
            </w:r>
          </w:p>
        </w:tc>
        <w:tc>
          <w:tcPr>
            <w:tcW w:w="92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w w:val="95"/>
              </w:rPr>
              <w:t>Option</w:t>
            </w:r>
          </w:p>
        </w:tc>
        <w:tc>
          <w:tcPr>
            <w:tcW w:w="88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50"/>
        </w:trPr>
        <w:tc>
          <w:tcPr>
            <w:tcW w:w="22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280"/>
              <w:spacing w:after="0"/>
              <w:rPr>
                <w:sz w:val="20"/>
                <w:szCs w:val="20"/>
                <w:color w:val="auto"/>
              </w:rPr>
            </w:pPr>
            <w:r>
              <w:rPr>
                <w:rFonts w:ascii="Arial" w:cs="Arial" w:eastAsia="Arial" w:hAnsi="Arial"/>
                <w:sz w:val="13"/>
                <w:szCs w:val="13"/>
                <w:b w:val="1"/>
                <w:bCs w:val="1"/>
                <w:color w:val="auto"/>
              </w:rPr>
              <w:t>Grant</w:t>
            </w:r>
          </w:p>
        </w:tc>
        <w:tc>
          <w:tcPr>
            <w:tcW w:w="900" w:type="dxa"/>
            <w:vAlign w:val="bottom"/>
            <w:gridSpan w:val="2"/>
          </w:tcPr>
          <w:p>
            <w:pPr>
              <w:ind w:left="160"/>
              <w:spacing w:after="0"/>
              <w:rPr>
                <w:sz w:val="20"/>
                <w:szCs w:val="20"/>
                <w:color w:val="auto"/>
              </w:rPr>
            </w:pPr>
            <w:r>
              <w:rPr>
                <w:rFonts w:ascii="Arial" w:cs="Arial" w:eastAsia="Arial" w:hAnsi="Arial"/>
                <w:sz w:val="13"/>
                <w:szCs w:val="13"/>
                <w:b w:val="1"/>
                <w:bCs w:val="1"/>
                <w:color w:val="auto"/>
              </w:rPr>
              <w:t>Target</w:t>
            </w: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Maximum</w:t>
            </w:r>
          </w:p>
        </w:tc>
        <w:tc>
          <w:tcPr>
            <w:tcW w:w="780" w:type="dxa"/>
            <w:vAlign w:val="bottom"/>
            <w:gridSpan w:val="2"/>
          </w:tcPr>
          <w:p>
            <w:pPr>
              <w:ind w:left="100"/>
              <w:spacing w:after="0"/>
              <w:rPr>
                <w:sz w:val="20"/>
                <w:szCs w:val="20"/>
                <w:color w:val="auto"/>
              </w:rPr>
            </w:pPr>
            <w:r>
              <w:rPr>
                <w:rFonts w:ascii="Arial" w:cs="Arial" w:eastAsia="Arial" w:hAnsi="Arial"/>
                <w:sz w:val="13"/>
                <w:szCs w:val="13"/>
                <w:b w:val="1"/>
                <w:bCs w:val="1"/>
                <w:color w:val="auto"/>
              </w:rPr>
              <w:t>Target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Maximum</w:t>
            </w:r>
          </w:p>
        </w:tc>
        <w:tc>
          <w:tcPr>
            <w:tcW w:w="200" w:type="dxa"/>
            <w:vAlign w:val="bottom"/>
          </w:tcPr>
          <w:p>
            <w:pPr>
              <w:spacing w:after="0"/>
              <w:rPr>
                <w:sz w:val="13"/>
                <w:szCs w:val="13"/>
                <w:color w:val="auto"/>
              </w:rPr>
            </w:pPr>
          </w:p>
        </w:tc>
        <w:tc>
          <w:tcPr>
            <w:tcW w:w="820" w:type="dxa"/>
            <w:vAlign w:val="bottom"/>
            <w:gridSpan w:val="2"/>
          </w:tcPr>
          <w:p>
            <w:pPr>
              <w:jc w:val="center"/>
              <w:ind w:right="200"/>
              <w:spacing w:after="0" w:line="150" w:lineRule="exact"/>
              <w:rPr>
                <w:sz w:val="20"/>
                <w:szCs w:val="20"/>
                <w:color w:val="auto"/>
              </w:rPr>
            </w:pPr>
            <w:r>
              <w:rPr>
                <w:rFonts w:ascii="Arial" w:cs="Arial" w:eastAsia="Arial" w:hAnsi="Arial"/>
                <w:sz w:val="11"/>
                <w:szCs w:val="11"/>
                <w:b w:val="1"/>
                <w:bCs w:val="1"/>
                <w:color w:val="auto"/>
              </w:rPr>
              <w:t>Units</w:t>
            </w:r>
            <w:r>
              <w:rPr>
                <w:rFonts w:ascii="Arial" w:cs="Arial" w:eastAsia="Arial" w:hAnsi="Arial"/>
                <w:sz w:val="17"/>
                <w:szCs w:val="17"/>
                <w:b w:val="1"/>
                <w:bCs w:val="1"/>
                <w:color w:val="auto"/>
                <w:vertAlign w:val="superscript"/>
              </w:rPr>
              <w:t>(3)</w:t>
            </w:r>
          </w:p>
        </w:tc>
        <w:tc>
          <w:tcPr>
            <w:tcW w:w="9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Options</w:t>
            </w:r>
          </w:p>
        </w:tc>
        <w:tc>
          <w:tcPr>
            <w:tcW w:w="920" w:type="dxa"/>
            <w:vAlign w:val="bottom"/>
            <w:gridSpan w:val="2"/>
          </w:tcPr>
          <w:p>
            <w:pPr>
              <w:jc w:val="center"/>
              <w:ind w:right="200"/>
              <w:spacing w:after="0" w:line="150"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(4)</w:t>
            </w:r>
          </w:p>
        </w:tc>
        <w:tc>
          <w:tcPr>
            <w:tcW w:w="880" w:type="dxa"/>
            <w:vAlign w:val="bottom"/>
            <w:gridSpan w:val="2"/>
          </w:tcPr>
          <w:p>
            <w:pPr>
              <w:jc w:val="right"/>
              <w:ind w:right="220"/>
              <w:spacing w:after="0" w:line="150"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(5)</w:t>
            </w:r>
          </w:p>
        </w:tc>
        <w:tc>
          <w:tcPr>
            <w:tcW w:w="0" w:type="dxa"/>
            <w:vAlign w:val="bottom"/>
          </w:tcPr>
          <w:p>
            <w:pPr>
              <w:spacing w:after="0"/>
              <w:rPr>
                <w:sz w:val="1"/>
                <w:szCs w:val="1"/>
                <w:color w:val="auto"/>
              </w:rPr>
            </w:pPr>
          </w:p>
        </w:tc>
      </w:tr>
      <w:tr>
        <w:trPr>
          <w:trHeight w:val="165"/>
        </w:trPr>
        <w:tc>
          <w:tcPr>
            <w:tcW w:w="2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6"/>
              <w:spacing w:after="0" w:line="145" w:lineRule="exact"/>
              <w:rPr>
                <w:sz w:val="20"/>
                <w:szCs w:val="20"/>
                <w:color w:val="auto"/>
              </w:rPr>
            </w:pPr>
            <w:r>
              <w:rPr>
                <w:rFonts w:ascii="Arial" w:cs="Arial" w:eastAsia="Arial" w:hAnsi="Arial"/>
                <w:sz w:val="13"/>
                <w:szCs w:val="13"/>
                <w:b w:val="1"/>
                <w:bCs w:val="1"/>
                <w:color w:val="auto"/>
              </w:rPr>
              <w:t>Grant Date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300"/>
              <w:spacing w:after="0" w:line="145" w:lineRule="exact"/>
              <w:rPr>
                <w:sz w:val="20"/>
                <w:szCs w:val="20"/>
                <w:color w:val="auto"/>
              </w:rPr>
            </w:pPr>
            <w:r>
              <w:rPr>
                <w:rFonts w:ascii="Arial" w:cs="Arial" w:eastAsia="Arial" w:hAnsi="Arial"/>
                <w:sz w:val="13"/>
                <w:szCs w:val="13"/>
                <w:b w:val="1"/>
                <w:bCs w:val="1"/>
                <w:color w:val="auto"/>
              </w:rPr>
              <w:t>Type</w:t>
            </w:r>
          </w:p>
        </w:tc>
        <w:tc>
          <w:tcPr>
            <w:tcW w:w="700" w:type="dxa"/>
            <w:vAlign w:val="bottom"/>
          </w:tcPr>
          <w:p>
            <w:pPr>
              <w:ind w:left="280"/>
              <w:spacing w:after="0" w:line="14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720" w:type="dxa"/>
            <w:vAlign w:val="bottom"/>
          </w:tcPr>
          <w:p>
            <w:pPr>
              <w:ind w:left="280"/>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600" w:type="dxa"/>
            <w:vAlign w:val="bottom"/>
          </w:tcPr>
          <w:p>
            <w:pPr>
              <w:jc w:val="right"/>
              <w:ind w:right="157"/>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700" w:type="dxa"/>
            <w:vAlign w:val="bottom"/>
          </w:tcPr>
          <w:p>
            <w:pPr>
              <w:jc w:val="right"/>
              <w:ind w:right="196"/>
              <w:spacing w:after="0" w:line="145" w:lineRule="exact"/>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center"/>
              <w:ind w:left="136"/>
              <w:spacing w:after="0" w:line="145" w:lineRule="exact"/>
              <w:rPr>
                <w:sz w:val="20"/>
                <w:szCs w:val="20"/>
                <w:color w:val="auto"/>
              </w:rPr>
            </w:pPr>
            <w:r>
              <w:rPr>
                <w:rFonts w:ascii="Arial" w:cs="Arial" w:eastAsia="Arial" w:hAnsi="Arial"/>
                <w:sz w:val="13"/>
                <w:szCs w:val="13"/>
                <w:b w:val="1"/>
                <w:bCs w:val="1"/>
                <w:color w:val="auto"/>
                <w:w w:val="87"/>
              </w:rPr>
              <w:t>(#)</w:t>
            </w:r>
          </w:p>
        </w:tc>
        <w:tc>
          <w:tcPr>
            <w:tcW w:w="200" w:type="dxa"/>
            <w:vAlign w:val="bottom"/>
          </w:tcPr>
          <w:p>
            <w:pPr>
              <w:spacing w:after="0"/>
              <w:rPr>
                <w:sz w:val="14"/>
                <w:szCs w:val="14"/>
                <w:color w:val="auto"/>
              </w:rPr>
            </w:pPr>
          </w:p>
        </w:tc>
        <w:tc>
          <w:tcPr>
            <w:tcW w:w="80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920" w:type="dxa"/>
            <w:vAlign w:val="bottom"/>
            <w:gridSpan w:val="2"/>
          </w:tcPr>
          <w:p>
            <w:pPr>
              <w:jc w:val="center"/>
              <w:ind w:right="200"/>
              <w:spacing w:after="0" w:line="145" w:lineRule="exact"/>
              <w:rPr>
                <w:sz w:val="20"/>
                <w:szCs w:val="20"/>
                <w:color w:val="auto"/>
              </w:rPr>
            </w:pPr>
            <w:r>
              <w:rPr>
                <w:rFonts w:ascii="Arial" w:cs="Arial" w:eastAsia="Arial" w:hAnsi="Arial"/>
                <w:sz w:val="13"/>
                <w:szCs w:val="13"/>
                <w:b w:val="1"/>
                <w:bCs w:val="1"/>
                <w:color w:val="auto"/>
              </w:rPr>
              <w:t>($/Share)</w:t>
            </w:r>
          </w:p>
        </w:tc>
        <w:tc>
          <w:tcPr>
            <w:tcW w:w="78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920" w:type="dxa"/>
            <w:vAlign w:val="bottom"/>
            <w:tcBorders>
              <w:top w:val="single" w:sz="8" w:color="auto"/>
            </w:tcBorders>
          </w:tcPr>
          <w:p>
            <w:pPr>
              <w:spacing w:after="0" w:line="126" w:lineRule="exact"/>
              <w:rPr>
                <w:sz w:val="20"/>
                <w:szCs w:val="20"/>
                <w:color w:val="auto"/>
              </w:rPr>
            </w:pPr>
            <w:r>
              <w:rPr>
                <w:rFonts w:ascii="Arial" w:cs="Arial" w:eastAsia="Arial" w:hAnsi="Arial"/>
                <w:sz w:val="13"/>
                <w:szCs w:val="13"/>
                <w:color w:val="auto"/>
              </w:rPr>
              <w:t>Ms.Rosenfeld</w:t>
            </w: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ind w:right="16"/>
              <w:spacing w:after="0" w:line="126"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top w:val="single" w:sz="8" w:color="auto"/>
            </w:tcBorders>
          </w:tcPr>
          <w:p>
            <w:pPr>
              <w:spacing w:after="0" w:line="126" w:lineRule="exact"/>
              <w:rPr>
                <w:sz w:val="20"/>
                <w:szCs w:val="20"/>
                <w:color w:val="auto"/>
              </w:rPr>
            </w:pPr>
            <w:r>
              <w:rPr>
                <w:rFonts w:ascii="Arial" w:cs="Arial" w:eastAsia="Arial" w:hAnsi="Arial"/>
                <w:sz w:val="13"/>
                <w:szCs w:val="13"/>
                <w:color w:val="auto"/>
              </w:rPr>
              <w:t>AIP</w:t>
            </w:r>
          </w:p>
        </w:tc>
        <w:tc>
          <w:tcPr>
            <w:tcW w:w="100" w:type="dxa"/>
            <w:vAlign w:val="bottom"/>
          </w:tcPr>
          <w:p>
            <w:pPr>
              <w:spacing w:after="0"/>
              <w:rPr>
                <w:sz w:val="10"/>
                <w:szCs w:val="10"/>
                <w:color w:val="auto"/>
              </w:rPr>
            </w:pPr>
          </w:p>
        </w:tc>
        <w:tc>
          <w:tcPr>
            <w:tcW w:w="7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2,325,000</w:t>
            </w:r>
          </w:p>
        </w:tc>
        <w:tc>
          <w:tcPr>
            <w:tcW w:w="200" w:type="dxa"/>
            <w:vAlign w:val="bottom"/>
          </w:tcPr>
          <w:p>
            <w:pPr>
              <w:spacing w:after="0"/>
              <w:rPr>
                <w:sz w:val="10"/>
                <w:szCs w:val="10"/>
                <w:color w:val="auto"/>
              </w:rPr>
            </w:pPr>
          </w:p>
        </w:tc>
        <w:tc>
          <w:tcPr>
            <w:tcW w:w="720" w:type="dxa"/>
            <w:vAlign w:val="bottom"/>
            <w:tcBorders>
              <w:top w:val="single" w:sz="8" w:color="auto"/>
            </w:tcBorders>
          </w:tcPr>
          <w:p>
            <w:pPr>
              <w:ind w:left="140"/>
              <w:spacing w:after="0" w:line="126" w:lineRule="exact"/>
              <w:rPr>
                <w:sz w:val="20"/>
                <w:szCs w:val="20"/>
                <w:color w:val="auto"/>
              </w:rPr>
            </w:pPr>
            <w:r>
              <w:rPr>
                <w:rFonts w:ascii="Arial" w:cs="Arial" w:eastAsia="Arial" w:hAnsi="Arial"/>
                <w:sz w:val="13"/>
                <w:szCs w:val="13"/>
                <w:color w:val="auto"/>
                <w:w w:val="96"/>
              </w:rPr>
              <w:t>5,812,500</w:t>
            </w:r>
          </w:p>
        </w:tc>
        <w:tc>
          <w:tcPr>
            <w:tcW w:w="180" w:type="dxa"/>
            <w:vAlign w:val="bottom"/>
          </w:tcPr>
          <w:p>
            <w:pPr>
              <w:spacing w:after="0"/>
              <w:rPr>
                <w:sz w:val="10"/>
                <w:szCs w:val="10"/>
                <w:color w:val="auto"/>
              </w:rPr>
            </w:pPr>
          </w:p>
        </w:tc>
        <w:tc>
          <w:tcPr>
            <w:tcW w:w="600" w:type="dxa"/>
            <w:vAlign w:val="bottom"/>
            <w:tcBorders>
              <w:top w:val="single" w:sz="8" w:color="auto"/>
            </w:tcBorders>
          </w:tcPr>
          <w:p>
            <w:pPr>
              <w:jc w:val="right"/>
              <w:ind w:right="17"/>
              <w:spacing w:after="0" w:line="12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620" w:type="dxa"/>
            <w:vAlign w:val="bottom"/>
            <w:tcBorders>
              <w:top w:val="single" w:sz="8" w:color="auto"/>
            </w:tcBorders>
          </w:tcPr>
          <w:p>
            <w:pPr>
              <w:ind w:left="420"/>
              <w:spacing w:after="0" w:line="12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800" w:type="dxa"/>
            <w:vAlign w:val="bottom"/>
            <w:tcBorders>
              <w:top w:val="single" w:sz="8" w:color="auto"/>
            </w:tcBorders>
          </w:tcPr>
          <w:p>
            <w:pPr>
              <w:jc w:val="right"/>
              <w:ind w:right="16"/>
              <w:spacing w:after="0" w:line="126"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720" w:type="dxa"/>
            <w:vAlign w:val="bottom"/>
            <w:tcBorders>
              <w:top w:val="single" w:sz="8" w:color="auto"/>
            </w:tcBorders>
          </w:tcPr>
          <w:p>
            <w:pPr>
              <w:ind w:left="520"/>
              <w:spacing w:after="0" w:line="12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7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01/03/2011</w:t>
            </w: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Performance</w:t>
            </w:r>
          </w:p>
        </w:tc>
        <w:tc>
          <w:tcPr>
            <w:tcW w:w="900" w:type="dxa"/>
            <w:vAlign w:val="bottom"/>
            <w:gridSpan w:val="2"/>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155,720</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311,440</w:t>
            </w:r>
          </w:p>
        </w:tc>
        <w:tc>
          <w:tcPr>
            <w:tcW w:w="200" w:type="dxa"/>
            <w:vAlign w:val="bottom"/>
          </w:tcPr>
          <w:p>
            <w:pPr>
              <w:spacing w:after="0"/>
              <w:rPr>
                <w:sz w:val="12"/>
                <w:szCs w:val="12"/>
                <w:color w:val="auto"/>
              </w:rPr>
            </w:pPr>
          </w:p>
        </w:tc>
        <w:tc>
          <w:tcPr>
            <w:tcW w:w="82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5,083,400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Restricted</w:t>
            </w:r>
          </w:p>
        </w:tc>
        <w:tc>
          <w:tcPr>
            <w:tcW w:w="900" w:type="dxa"/>
            <w:vAlign w:val="bottom"/>
            <w:gridSpan w:val="2"/>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200"/>
              <w:spacing w:after="0" w:line="141" w:lineRule="exact"/>
              <w:rPr>
                <w:sz w:val="20"/>
                <w:szCs w:val="20"/>
                <w:color w:val="auto"/>
              </w:rPr>
            </w:pPr>
            <w:r>
              <w:rPr>
                <w:rFonts w:ascii="Arial" w:cs="Arial" w:eastAsia="Arial" w:hAnsi="Arial"/>
                <w:sz w:val="13"/>
                <w:szCs w:val="13"/>
                <w:color w:val="auto"/>
              </w:rPr>
              <w:t>83,930</w:t>
            </w:r>
          </w:p>
        </w:tc>
        <w:tc>
          <w:tcPr>
            <w:tcW w:w="9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2,671,072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Stock</w:t>
            </w:r>
          </w:p>
        </w:tc>
        <w:tc>
          <w:tcPr>
            <w:tcW w:w="900" w:type="dxa"/>
            <w:vAlign w:val="bottom"/>
            <w:gridSpan w:val="2"/>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1" w:lineRule="exact"/>
              <w:rPr>
                <w:sz w:val="20"/>
                <w:szCs w:val="20"/>
                <w:color w:val="auto"/>
              </w:rPr>
            </w:pPr>
            <w:r>
              <w:rPr>
                <w:rFonts w:ascii="Arial" w:cs="Arial" w:eastAsia="Arial" w:hAnsi="Arial"/>
                <w:sz w:val="13"/>
                <w:szCs w:val="13"/>
                <w:color w:val="auto"/>
              </w:rPr>
              <w:t>503,570</w:t>
            </w:r>
          </w:p>
        </w:tc>
        <w:tc>
          <w:tcPr>
            <w:tcW w:w="180" w:type="dxa"/>
            <w:vAlign w:val="bottom"/>
          </w:tcPr>
          <w:p>
            <w:pPr>
              <w:spacing w:after="0"/>
              <w:rPr>
                <w:sz w:val="12"/>
                <w:szCs w:val="12"/>
                <w:color w:val="auto"/>
              </w:rPr>
            </w:pPr>
          </w:p>
        </w:tc>
        <w:tc>
          <w:tcPr>
            <w:tcW w:w="92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31.825</w:t>
            </w: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1,933,709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Options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28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Mr. Brearton</w:t>
            </w:r>
          </w:p>
        </w:tc>
        <w:tc>
          <w:tcPr>
            <w:tcW w:w="100" w:type="dxa"/>
            <w:vAlign w:val="bottom"/>
            <w:shd w:val="clear" w:color="auto" w:fill="D8D8D8"/>
          </w:tcPr>
          <w:p>
            <w:pPr>
              <w:spacing w:after="0"/>
              <w:rPr>
                <w:sz w:val="17"/>
                <w:szCs w:val="17"/>
                <w:color w:val="auto"/>
              </w:rPr>
            </w:pPr>
          </w:p>
        </w:tc>
        <w:tc>
          <w:tcPr>
            <w:tcW w:w="800" w:type="dxa"/>
            <w:vAlign w:val="bottom"/>
            <w:shd w:val="clear" w:color="auto" w:fill="D8D8D8"/>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shd w:val="clear" w:color="auto" w:fill="D8D8D8"/>
          </w:tcPr>
          <w:p>
            <w:pPr>
              <w:spacing w:after="0"/>
              <w:rPr>
                <w:sz w:val="17"/>
                <w:szCs w:val="17"/>
                <w:color w:val="auto"/>
              </w:rPr>
            </w:pPr>
          </w:p>
        </w:tc>
        <w:tc>
          <w:tcPr>
            <w:tcW w:w="1080" w:type="dxa"/>
            <w:vAlign w:val="bottom"/>
            <w:gridSpan w:val="3"/>
            <w:shd w:val="clear" w:color="auto" w:fill="D8D8D8"/>
          </w:tcPr>
          <w:p>
            <w:pPr>
              <w:ind w:left="100"/>
              <w:spacing w:after="0"/>
              <w:rPr>
                <w:sz w:val="20"/>
                <w:szCs w:val="20"/>
                <w:color w:val="auto"/>
              </w:rPr>
            </w:pPr>
            <w:r>
              <w:rPr>
                <w:rFonts w:ascii="Arial" w:cs="Arial" w:eastAsia="Arial" w:hAnsi="Arial"/>
                <w:sz w:val="13"/>
                <w:szCs w:val="13"/>
                <w:color w:val="auto"/>
              </w:rPr>
              <w:t>AIP</w:t>
            </w: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546,534</w:t>
            </w:r>
          </w:p>
        </w:tc>
        <w:tc>
          <w:tcPr>
            <w:tcW w:w="200" w:type="dxa"/>
            <w:vAlign w:val="bottom"/>
            <w:shd w:val="clear" w:color="auto" w:fill="D8D8D8"/>
          </w:tcPr>
          <w:p>
            <w:pPr>
              <w:spacing w:after="0"/>
              <w:rPr>
                <w:sz w:val="17"/>
                <w:szCs w:val="17"/>
                <w:color w:val="auto"/>
              </w:rPr>
            </w:pPr>
          </w:p>
        </w:tc>
        <w:tc>
          <w:tcPr>
            <w:tcW w:w="720" w:type="dxa"/>
            <w:vAlign w:val="bottom"/>
            <w:shd w:val="clear" w:color="auto" w:fill="D8D8D8"/>
          </w:tcPr>
          <w:p>
            <w:pPr>
              <w:ind w:left="140"/>
              <w:spacing w:after="0"/>
              <w:rPr>
                <w:sz w:val="20"/>
                <w:szCs w:val="20"/>
                <w:color w:val="auto"/>
              </w:rPr>
            </w:pPr>
            <w:r>
              <w:rPr>
                <w:rFonts w:ascii="Arial" w:cs="Arial" w:eastAsia="Arial" w:hAnsi="Arial"/>
                <w:sz w:val="13"/>
                <w:szCs w:val="13"/>
                <w:color w:val="auto"/>
                <w:w w:val="96"/>
              </w:rPr>
              <w:t>1,366,335</w:t>
            </w:r>
          </w:p>
        </w:tc>
        <w:tc>
          <w:tcPr>
            <w:tcW w:w="180" w:type="dxa"/>
            <w:vAlign w:val="bottom"/>
            <w:shd w:val="clear" w:color="auto" w:fill="D8D8D8"/>
          </w:tcPr>
          <w:p>
            <w:pPr>
              <w:spacing w:after="0"/>
              <w:rPr>
                <w:sz w:val="17"/>
                <w:szCs w:val="17"/>
                <w:color w:val="auto"/>
              </w:rPr>
            </w:pPr>
          </w:p>
        </w:tc>
        <w:tc>
          <w:tcPr>
            <w:tcW w:w="600" w:type="dxa"/>
            <w:vAlign w:val="bottom"/>
            <w:shd w:val="clear" w:color="auto" w:fill="D8D8D8"/>
          </w:tcPr>
          <w:p>
            <w:pPr>
              <w:spacing w:after="0"/>
              <w:rPr>
                <w:sz w:val="17"/>
                <w:szCs w:val="17"/>
                <w:color w:val="auto"/>
              </w:rPr>
            </w:pPr>
          </w:p>
        </w:tc>
        <w:tc>
          <w:tcPr>
            <w:tcW w:w="180" w:type="dxa"/>
            <w:vAlign w:val="bottom"/>
            <w:shd w:val="clear" w:color="auto" w:fill="D8D8D8"/>
          </w:tcPr>
          <w:p>
            <w:pPr>
              <w:spacing w:after="0"/>
              <w:rPr>
                <w:sz w:val="17"/>
                <w:szCs w:val="17"/>
                <w:color w:val="auto"/>
              </w:rPr>
            </w:pPr>
          </w:p>
        </w:tc>
        <w:tc>
          <w:tcPr>
            <w:tcW w:w="700" w:type="dxa"/>
            <w:vAlign w:val="bottom"/>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820" w:type="dxa"/>
            <w:vAlign w:val="bottom"/>
            <w:gridSpan w:val="2"/>
            <w:shd w:val="clear" w:color="auto" w:fill="D8D8D8"/>
          </w:tcPr>
          <w:p>
            <w:pPr>
              <w:ind w:left="4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ind w:left="5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01/03/2011</w:t>
            </w: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Performance</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13,580</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27,160</w:t>
            </w:r>
          </w:p>
        </w:tc>
        <w:tc>
          <w:tcPr>
            <w:tcW w:w="20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443,312</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Restricted</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D8D8D8"/>
          </w:tcPr>
          <w:p>
            <w:pPr>
              <w:jc w:val="right"/>
              <w:ind w:right="200"/>
              <w:spacing w:after="0" w:line="141" w:lineRule="exact"/>
              <w:rPr>
                <w:sz w:val="20"/>
                <w:szCs w:val="20"/>
                <w:color w:val="auto"/>
              </w:rPr>
            </w:pPr>
            <w:r>
              <w:rPr>
                <w:rFonts w:ascii="Arial" w:cs="Arial" w:eastAsia="Arial" w:hAnsi="Arial"/>
                <w:sz w:val="13"/>
                <w:szCs w:val="13"/>
                <w:color w:val="auto"/>
              </w:rPr>
              <w:t>7,860</w:t>
            </w:r>
          </w:p>
        </w:tc>
        <w:tc>
          <w:tcPr>
            <w:tcW w:w="9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250,145</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Stock</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47,140</w:t>
            </w:r>
          </w:p>
        </w:tc>
        <w:tc>
          <w:tcPr>
            <w:tcW w:w="920" w:type="dxa"/>
            <w:vAlign w:val="bottom"/>
            <w:gridSpan w:val="2"/>
            <w:shd w:val="clear" w:color="auto" w:fill="D8D8D8"/>
          </w:tcPr>
          <w:p>
            <w:pPr>
              <w:ind w:left="320"/>
              <w:spacing w:after="0" w:line="141" w:lineRule="exact"/>
              <w:rPr>
                <w:sz w:val="20"/>
                <w:szCs w:val="20"/>
                <w:color w:val="auto"/>
              </w:rPr>
            </w:pPr>
            <w:r>
              <w:rPr>
                <w:rFonts w:ascii="Arial" w:cs="Arial" w:eastAsia="Arial" w:hAnsi="Arial"/>
                <w:sz w:val="13"/>
                <w:szCs w:val="13"/>
                <w:color w:val="auto"/>
              </w:rPr>
              <w:t>31.825</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181,018</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Options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05/09/2011</w:t>
            </w:r>
          </w:p>
        </w:tc>
        <w:tc>
          <w:tcPr>
            <w:tcW w:w="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980" w:type="dxa"/>
            <w:vAlign w:val="bottom"/>
            <w:gridSpan w:val="2"/>
            <w:shd w:val="clear" w:color="auto" w:fill="D8D8D8"/>
          </w:tcPr>
          <w:p>
            <w:pPr>
              <w:spacing w:after="0" w:line="141" w:lineRule="exact"/>
              <w:rPr>
                <w:sz w:val="20"/>
                <w:szCs w:val="20"/>
                <w:color w:val="auto"/>
              </w:rPr>
            </w:pPr>
            <w:r>
              <w:rPr>
                <w:rFonts w:ascii="Arial" w:cs="Arial" w:eastAsia="Arial" w:hAnsi="Arial"/>
                <w:sz w:val="13"/>
                <w:szCs w:val="13"/>
                <w:color w:val="auto"/>
              </w:rPr>
              <w:t>Restricted</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D8D8D8"/>
          </w:tcPr>
          <w:p>
            <w:pPr>
              <w:jc w:val="right"/>
              <w:ind w:right="200"/>
              <w:spacing w:after="0" w:line="141" w:lineRule="exact"/>
              <w:rPr>
                <w:sz w:val="20"/>
                <w:szCs w:val="20"/>
                <w:color w:val="auto"/>
              </w:rPr>
            </w:pPr>
            <w:r>
              <w:rPr>
                <w:rFonts w:ascii="Arial" w:cs="Arial" w:eastAsia="Arial" w:hAnsi="Arial"/>
                <w:sz w:val="13"/>
                <w:szCs w:val="13"/>
                <w:color w:val="auto"/>
              </w:rPr>
              <w:t>5,900</w:t>
            </w:r>
          </w:p>
        </w:tc>
        <w:tc>
          <w:tcPr>
            <w:tcW w:w="9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200,305</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980" w:type="dxa"/>
            <w:vAlign w:val="bottom"/>
            <w:gridSpan w:val="2"/>
            <w:shd w:val="clear" w:color="auto" w:fill="D8D8D8"/>
          </w:tcPr>
          <w:p>
            <w:pPr>
              <w:spacing w:after="0" w:line="141" w:lineRule="exact"/>
              <w:rPr>
                <w:sz w:val="20"/>
                <w:szCs w:val="20"/>
                <w:color w:val="auto"/>
              </w:rPr>
            </w:pPr>
            <w:r>
              <w:rPr>
                <w:rFonts w:ascii="Arial" w:cs="Arial" w:eastAsia="Arial" w:hAnsi="Arial"/>
                <w:sz w:val="13"/>
                <w:szCs w:val="13"/>
                <w:color w:val="auto"/>
              </w:rPr>
              <w:t>Shares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05/09/2011</w:t>
            </w:r>
          </w:p>
        </w:tc>
        <w:tc>
          <w:tcPr>
            <w:tcW w:w="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980" w:type="dxa"/>
            <w:vAlign w:val="bottom"/>
            <w:gridSpan w:val="2"/>
            <w:shd w:val="clear" w:color="auto" w:fill="D8D8D8"/>
          </w:tcPr>
          <w:p>
            <w:pPr>
              <w:spacing w:after="0" w:line="141" w:lineRule="exact"/>
              <w:rPr>
                <w:sz w:val="20"/>
                <w:szCs w:val="20"/>
                <w:color w:val="auto"/>
              </w:rPr>
            </w:pPr>
            <w:r>
              <w:rPr>
                <w:rFonts w:ascii="Arial" w:cs="Arial" w:eastAsia="Arial" w:hAnsi="Arial"/>
                <w:sz w:val="13"/>
                <w:szCs w:val="13"/>
                <w:color w:val="auto"/>
              </w:rPr>
              <w:t>Stock</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35,350</w:t>
            </w:r>
          </w:p>
        </w:tc>
        <w:tc>
          <w:tcPr>
            <w:tcW w:w="920" w:type="dxa"/>
            <w:vAlign w:val="bottom"/>
            <w:gridSpan w:val="2"/>
            <w:shd w:val="clear" w:color="auto" w:fill="D8D8D8"/>
          </w:tcPr>
          <w:p>
            <w:pPr>
              <w:ind w:left="320"/>
              <w:spacing w:after="0" w:line="141" w:lineRule="exact"/>
              <w:rPr>
                <w:sz w:val="20"/>
                <w:szCs w:val="20"/>
                <w:color w:val="auto"/>
              </w:rPr>
            </w:pPr>
            <w:r>
              <w:rPr>
                <w:rFonts w:ascii="Arial" w:cs="Arial" w:eastAsia="Arial" w:hAnsi="Arial"/>
                <w:sz w:val="13"/>
                <w:szCs w:val="13"/>
                <w:color w:val="auto"/>
              </w:rPr>
              <w:t>33.950</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144,935</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980" w:type="dxa"/>
            <w:vAlign w:val="bottom"/>
            <w:gridSpan w:val="2"/>
            <w:shd w:val="clear" w:color="auto" w:fill="D8D8D8"/>
          </w:tcPr>
          <w:p>
            <w:pPr>
              <w:spacing w:after="0" w:line="141" w:lineRule="exact"/>
              <w:rPr>
                <w:sz w:val="20"/>
                <w:szCs w:val="20"/>
                <w:color w:val="auto"/>
              </w:rPr>
            </w:pPr>
            <w:r>
              <w:rPr>
                <w:rFonts w:ascii="Arial" w:cs="Arial" w:eastAsia="Arial" w:hAnsi="Arial"/>
                <w:sz w:val="13"/>
                <w:szCs w:val="13"/>
                <w:color w:val="auto"/>
              </w:rPr>
              <w:t>Options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280" w:type="dxa"/>
            <w:vAlign w:val="bottom"/>
            <w:gridSpan w:val="2"/>
          </w:tcPr>
          <w:p>
            <w:pPr>
              <w:spacing w:after="0"/>
              <w:rPr>
                <w:sz w:val="20"/>
                <w:szCs w:val="20"/>
                <w:color w:val="auto"/>
              </w:rPr>
            </w:pPr>
            <w:r>
              <w:rPr>
                <w:rFonts w:ascii="Arial" w:cs="Arial" w:eastAsia="Arial" w:hAnsi="Arial"/>
                <w:sz w:val="13"/>
                <w:szCs w:val="13"/>
                <w:color w:val="auto"/>
              </w:rPr>
              <w:t>Mr. McLevish</w:t>
            </w:r>
          </w:p>
        </w:tc>
        <w:tc>
          <w:tcPr>
            <w:tcW w:w="100" w:type="dxa"/>
            <w:vAlign w:val="bottom"/>
          </w:tcPr>
          <w:p>
            <w:pPr>
              <w:spacing w:after="0"/>
              <w:rPr>
                <w:sz w:val="17"/>
                <w:szCs w:val="17"/>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080" w:type="dxa"/>
            <w:vAlign w:val="bottom"/>
            <w:gridSpan w:val="3"/>
          </w:tcPr>
          <w:p>
            <w:pPr>
              <w:ind w:left="100"/>
              <w:spacing w:after="0"/>
              <w:rPr>
                <w:sz w:val="20"/>
                <w:szCs w:val="20"/>
                <w:color w:val="auto"/>
              </w:rPr>
            </w:pPr>
            <w:r>
              <w:rPr>
                <w:rFonts w:ascii="Arial" w:cs="Arial" w:eastAsia="Arial" w:hAnsi="Arial"/>
                <w:sz w:val="13"/>
                <w:szCs w:val="13"/>
                <w:color w:val="auto"/>
              </w:rPr>
              <w:t>AIP</w:t>
            </w:r>
          </w:p>
        </w:tc>
        <w:tc>
          <w:tcPr>
            <w:tcW w:w="700" w:type="dxa"/>
            <w:vAlign w:val="bottom"/>
          </w:tcPr>
          <w:p>
            <w:pPr>
              <w:jc w:val="right"/>
              <w:spacing w:after="0"/>
              <w:rPr>
                <w:sz w:val="20"/>
                <w:szCs w:val="20"/>
                <w:color w:val="auto"/>
              </w:rPr>
            </w:pPr>
            <w:r>
              <w:rPr>
                <w:rFonts w:ascii="Arial" w:cs="Arial" w:eastAsia="Arial" w:hAnsi="Arial"/>
                <w:sz w:val="13"/>
                <w:szCs w:val="13"/>
                <w:color w:val="auto"/>
              </w:rPr>
              <w:t>684,900</w:t>
            </w:r>
          </w:p>
        </w:tc>
        <w:tc>
          <w:tcPr>
            <w:tcW w:w="200" w:type="dxa"/>
            <w:vAlign w:val="bottom"/>
          </w:tcPr>
          <w:p>
            <w:pPr>
              <w:spacing w:after="0"/>
              <w:rPr>
                <w:sz w:val="17"/>
                <w:szCs w:val="17"/>
                <w:color w:val="auto"/>
              </w:rPr>
            </w:pPr>
          </w:p>
        </w:tc>
        <w:tc>
          <w:tcPr>
            <w:tcW w:w="720" w:type="dxa"/>
            <w:vAlign w:val="bottom"/>
          </w:tcPr>
          <w:p>
            <w:pPr>
              <w:ind w:left="140"/>
              <w:spacing w:after="0"/>
              <w:rPr>
                <w:sz w:val="20"/>
                <w:szCs w:val="20"/>
                <w:color w:val="auto"/>
              </w:rPr>
            </w:pPr>
            <w:r>
              <w:rPr>
                <w:rFonts w:ascii="Arial" w:cs="Arial" w:eastAsia="Arial" w:hAnsi="Arial"/>
                <w:sz w:val="13"/>
                <w:szCs w:val="13"/>
                <w:color w:val="auto"/>
                <w:w w:val="96"/>
              </w:rPr>
              <w:t>1,712,250</w:t>
            </w:r>
          </w:p>
        </w:tc>
        <w:tc>
          <w:tcPr>
            <w:tcW w:w="1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01/03/2011</w:t>
            </w: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Performance</w:t>
            </w:r>
          </w:p>
        </w:tc>
        <w:tc>
          <w:tcPr>
            <w:tcW w:w="900" w:type="dxa"/>
            <w:vAlign w:val="bottom"/>
            <w:gridSpan w:val="2"/>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40,330</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80,660</w:t>
            </w:r>
          </w:p>
        </w:tc>
        <w:tc>
          <w:tcPr>
            <w:tcW w:w="200" w:type="dxa"/>
            <w:vAlign w:val="bottom"/>
          </w:tcPr>
          <w:p>
            <w:pPr>
              <w:spacing w:after="0"/>
              <w:rPr>
                <w:sz w:val="12"/>
                <w:szCs w:val="12"/>
                <w:color w:val="auto"/>
              </w:rPr>
            </w:pPr>
          </w:p>
        </w:tc>
        <w:tc>
          <w:tcPr>
            <w:tcW w:w="82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1,316,552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Restricted</w:t>
            </w:r>
          </w:p>
        </w:tc>
        <w:tc>
          <w:tcPr>
            <w:tcW w:w="900" w:type="dxa"/>
            <w:vAlign w:val="bottom"/>
            <w:gridSpan w:val="2"/>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200"/>
              <w:spacing w:after="0" w:line="141" w:lineRule="exact"/>
              <w:rPr>
                <w:sz w:val="20"/>
                <w:szCs w:val="20"/>
                <w:color w:val="auto"/>
              </w:rPr>
            </w:pPr>
            <w:r>
              <w:rPr>
                <w:rFonts w:ascii="Arial" w:cs="Arial" w:eastAsia="Arial" w:hAnsi="Arial"/>
                <w:sz w:val="13"/>
                <w:szCs w:val="13"/>
                <w:color w:val="auto"/>
              </w:rPr>
              <w:t>23,570</w:t>
            </w:r>
          </w:p>
        </w:tc>
        <w:tc>
          <w:tcPr>
            <w:tcW w:w="9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750,115</w:t>
            </w: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Stock</w:t>
            </w:r>
          </w:p>
        </w:tc>
        <w:tc>
          <w:tcPr>
            <w:tcW w:w="900" w:type="dxa"/>
            <w:vAlign w:val="bottom"/>
            <w:gridSpan w:val="2"/>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1" w:lineRule="exact"/>
              <w:rPr>
                <w:sz w:val="20"/>
                <w:szCs w:val="20"/>
                <w:color w:val="auto"/>
              </w:rPr>
            </w:pPr>
            <w:r>
              <w:rPr>
                <w:rFonts w:ascii="Arial" w:cs="Arial" w:eastAsia="Arial" w:hAnsi="Arial"/>
                <w:sz w:val="13"/>
                <w:szCs w:val="13"/>
                <w:color w:val="auto"/>
              </w:rPr>
              <w:t>141,400</w:t>
            </w:r>
          </w:p>
        </w:tc>
        <w:tc>
          <w:tcPr>
            <w:tcW w:w="180" w:type="dxa"/>
            <w:vAlign w:val="bottom"/>
          </w:tcPr>
          <w:p>
            <w:pPr>
              <w:spacing w:after="0"/>
              <w:rPr>
                <w:sz w:val="12"/>
                <w:szCs w:val="12"/>
                <w:color w:val="auto"/>
              </w:rPr>
            </w:pPr>
          </w:p>
        </w:tc>
        <w:tc>
          <w:tcPr>
            <w:tcW w:w="92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31.825</w:t>
            </w:r>
          </w:p>
        </w:tc>
        <w:tc>
          <w:tcPr>
            <w:tcW w:w="8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542,976</w:t>
            </w: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Options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28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Mr. Khosla</w:t>
            </w:r>
          </w:p>
        </w:tc>
        <w:tc>
          <w:tcPr>
            <w:tcW w:w="100" w:type="dxa"/>
            <w:vAlign w:val="bottom"/>
            <w:shd w:val="clear" w:color="auto" w:fill="D8D8D8"/>
          </w:tcPr>
          <w:p>
            <w:pPr>
              <w:spacing w:after="0"/>
              <w:rPr>
                <w:sz w:val="17"/>
                <w:szCs w:val="17"/>
                <w:color w:val="auto"/>
              </w:rPr>
            </w:pPr>
          </w:p>
        </w:tc>
        <w:tc>
          <w:tcPr>
            <w:tcW w:w="800" w:type="dxa"/>
            <w:vAlign w:val="bottom"/>
            <w:shd w:val="clear" w:color="auto" w:fill="D8D8D8"/>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shd w:val="clear" w:color="auto" w:fill="D8D8D8"/>
          </w:tcPr>
          <w:p>
            <w:pPr>
              <w:spacing w:after="0"/>
              <w:rPr>
                <w:sz w:val="17"/>
                <w:szCs w:val="17"/>
                <w:color w:val="auto"/>
              </w:rPr>
            </w:pPr>
          </w:p>
        </w:tc>
        <w:tc>
          <w:tcPr>
            <w:tcW w:w="1080" w:type="dxa"/>
            <w:vAlign w:val="bottom"/>
            <w:gridSpan w:val="3"/>
            <w:shd w:val="clear" w:color="auto" w:fill="D8D8D8"/>
          </w:tcPr>
          <w:p>
            <w:pPr>
              <w:ind w:left="100"/>
              <w:spacing w:after="0"/>
              <w:rPr>
                <w:sz w:val="20"/>
                <w:szCs w:val="20"/>
                <w:color w:val="auto"/>
              </w:rPr>
            </w:pPr>
            <w:r>
              <w:rPr>
                <w:rFonts w:ascii="Arial" w:cs="Arial" w:eastAsia="Arial" w:hAnsi="Arial"/>
                <w:sz w:val="13"/>
                <w:szCs w:val="13"/>
                <w:color w:val="auto"/>
              </w:rPr>
              <w:t>AIP</w:t>
            </w: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604,000</w:t>
            </w:r>
          </w:p>
        </w:tc>
        <w:tc>
          <w:tcPr>
            <w:tcW w:w="200" w:type="dxa"/>
            <w:vAlign w:val="bottom"/>
            <w:shd w:val="clear" w:color="auto" w:fill="D8D8D8"/>
          </w:tcPr>
          <w:p>
            <w:pPr>
              <w:spacing w:after="0"/>
              <w:rPr>
                <w:sz w:val="17"/>
                <w:szCs w:val="17"/>
                <w:color w:val="auto"/>
              </w:rPr>
            </w:pPr>
          </w:p>
        </w:tc>
        <w:tc>
          <w:tcPr>
            <w:tcW w:w="720" w:type="dxa"/>
            <w:vAlign w:val="bottom"/>
            <w:shd w:val="clear" w:color="auto" w:fill="D8D8D8"/>
          </w:tcPr>
          <w:p>
            <w:pPr>
              <w:ind w:left="140"/>
              <w:spacing w:after="0"/>
              <w:rPr>
                <w:sz w:val="20"/>
                <w:szCs w:val="20"/>
                <w:color w:val="auto"/>
              </w:rPr>
            </w:pPr>
            <w:r>
              <w:rPr>
                <w:rFonts w:ascii="Arial" w:cs="Arial" w:eastAsia="Arial" w:hAnsi="Arial"/>
                <w:sz w:val="13"/>
                <w:szCs w:val="13"/>
                <w:color w:val="auto"/>
                <w:w w:val="96"/>
              </w:rPr>
              <w:t>1,510,000</w:t>
            </w:r>
          </w:p>
        </w:tc>
        <w:tc>
          <w:tcPr>
            <w:tcW w:w="180" w:type="dxa"/>
            <w:vAlign w:val="bottom"/>
            <w:shd w:val="clear" w:color="auto" w:fill="D8D8D8"/>
          </w:tcPr>
          <w:p>
            <w:pPr>
              <w:spacing w:after="0"/>
              <w:rPr>
                <w:sz w:val="17"/>
                <w:szCs w:val="17"/>
                <w:color w:val="auto"/>
              </w:rPr>
            </w:pPr>
          </w:p>
        </w:tc>
        <w:tc>
          <w:tcPr>
            <w:tcW w:w="780" w:type="dxa"/>
            <w:vAlign w:val="bottom"/>
            <w:gridSpan w:val="2"/>
            <w:shd w:val="clear" w:color="auto" w:fill="D8D8D8"/>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D8D8D8"/>
          </w:tcPr>
          <w:p>
            <w:pPr>
              <w:spacing w:after="0"/>
              <w:rPr>
                <w:sz w:val="17"/>
                <w:szCs w:val="17"/>
                <w:color w:val="auto"/>
              </w:rPr>
            </w:pPr>
          </w:p>
        </w:tc>
        <w:tc>
          <w:tcPr>
            <w:tcW w:w="820" w:type="dxa"/>
            <w:vAlign w:val="bottom"/>
            <w:gridSpan w:val="2"/>
            <w:shd w:val="clear" w:color="auto" w:fill="D8D8D8"/>
          </w:tcPr>
          <w:p>
            <w:pPr>
              <w:ind w:left="4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ind w:left="5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01/03/2011</w:t>
            </w: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Performance</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30,430</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60,860</w:t>
            </w:r>
          </w:p>
        </w:tc>
        <w:tc>
          <w:tcPr>
            <w:tcW w:w="20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993,372</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Restricted</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D8D8D8"/>
          </w:tcPr>
          <w:p>
            <w:pPr>
              <w:jc w:val="right"/>
              <w:ind w:right="200"/>
              <w:spacing w:after="0" w:line="141" w:lineRule="exact"/>
              <w:rPr>
                <w:sz w:val="20"/>
                <w:szCs w:val="20"/>
                <w:color w:val="auto"/>
              </w:rPr>
            </w:pPr>
            <w:r>
              <w:rPr>
                <w:rFonts w:ascii="Arial" w:cs="Arial" w:eastAsia="Arial" w:hAnsi="Arial"/>
                <w:sz w:val="13"/>
                <w:szCs w:val="13"/>
                <w:color w:val="auto"/>
              </w:rPr>
              <w:t>15,720</w:t>
            </w:r>
          </w:p>
        </w:tc>
        <w:tc>
          <w:tcPr>
            <w:tcW w:w="9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500,289</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Stock</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94,270</w:t>
            </w:r>
          </w:p>
        </w:tc>
        <w:tc>
          <w:tcPr>
            <w:tcW w:w="920" w:type="dxa"/>
            <w:vAlign w:val="bottom"/>
            <w:gridSpan w:val="2"/>
            <w:shd w:val="clear" w:color="auto" w:fill="D8D8D8"/>
          </w:tcPr>
          <w:p>
            <w:pPr>
              <w:ind w:left="320"/>
              <w:spacing w:after="0" w:line="141" w:lineRule="exact"/>
              <w:rPr>
                <w:sz w:val="20"/>
                <w:szCs w:val="20"/>
                <w:color w:val="auto"/>
              </w:rPr>
            </w:pPr>
            <w:r>
              <w:rPr>
                <w:rFonts w:ascii="Arial" w:cs="Arial" w:eastAsia="Arial" w:hAnsi="Arial"/>
                <w:sz w:val="13"/>
                <w:szCs w:val="13"/>
                <w:color w:val="auto"/>
              </w:rPr>
              <w:t>31.825</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361,997</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Options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280" w:type="dxa"/>
            <w:vAlign w:val="bottom"/>
            <w:gridSpan w:val="2"/>
          </w:tcPr>
          <w:p>
            <w:pPr>
              <w:spacing w:after="0"/>
              <w:rPr>
                <w:sz w:val="20"/>
                <w:szCs w:val="20"/>
                <w:color w:val="auto"/>
              </w:rPr>
            </w:pPr>
            <w:r>
              <w:rPr>
                <w:rFonts w:ascii="Arial" w:cs="Arial" w:eastAsia="Arial" w:hAnsi="Arial"/>
                <w:sz w:val="13"/>
                <w:szCs w:val="13"/>
                <w:color w:val="auto"/>
              </w:rPr>
              <w:t>Mr. Vernon</w:t>
            </w:r>
          </w:p>
        </w:tc>
        <w:tc>
          <w:tcPr>
            <w:tcW w:w="100" w:type="dxa"/>
            <w:vAlign w:val="bottom"/>
          </w:tcPr>
          <w:p>
            <w:pPr>
              <w:spacing w:after="0"/>
              <w:rPr>
                <w:sz w:val="17"/>
                <w:szCs w:val="17"/>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080" w:type="dxa"/>
            <w:vAlign w:val="bottom"/>
            <w:gridSpan w:val="3"/>
          </w:tcPr>
          <w:p>
            <w:pPr>
              <w:ind w:left="100"/>
              <w:spacing w:after="0"/>
              <w:rPr>
                <w:sz w:val="20"/>
                <w:szCs w:val="20"/>
                <w:color w:val="auto"/>
              </w:rPr>
            </w:pPr>
            <w:r>
              <w:rPr>
                <w:rFonts w:ascii="Arial" w:cs="Arial" w:eastAsia="Arial" w:hAnsi="Arial"/>
                <w:sz w:val="13"/>
                <w:szCs w:val="13"/>
                <w:color w:val="auto"/>
              </w:rPr>
              <w:t>AIP</w:t>
            </w:r>
          </w:p>
        </w:tc>
        <w:tc>
          <w:tcPr>
            <w:tcW w:w="700" w:type="dxa"/>
            <w:vAlign w:val="bottom"/>
          </w:tcPr>
          <w:p>
            <w:pPr>
              <w:jc w:val="right"/>
              <w:spacing w:after="0"/>
              <w:rPr>
                <w:sz w:val="20"/>
                <w:szCs w:val="20"/>
                <w:color w:val="auto"/>
              </w:rPr>
            </w:pPr>
            <w:r>
              <w:rPr>
                <w:rFonts w:ascii="Arial" w:cs="Arial" w:eastAsia="Arial" w:hAnsi="Arial"/>
                <w:sz w:val="13"/>
                <w:szCs w:val="13"/>
                <w:color w:val="auto"/>
              </w:rPr>
              <w:t>684,900</w:t>
            </w:r>
          </w:p>
        </w:tc>
        <w:tc>
          <w:tcPr>
            <w:tcW w:w="200" w:type="dxa"/>
            <w:vAlign w:val="bottom"/>
          </w:tcPr>
          <w:p>
            <w:pPr>
              <w:spacing w:after="0"/>
              <w:rPr>
                <w:sz w:val="17"/>
                <w:szCs w:val="17"/>
                <w:color w:val="auto"/>
              </w:rPr>
            </w:pPr>
          </w:p>
        </w:tc>
        <w:tc>
          <w:tcPr>
            <w:tcW w:w="720" w:type="dxa"/>
            <w:vAlign w:val="bottom"/>
          </w:tcPr>
          <w:p>
            <w:pPr>
              <w:ind w:left="140"/>
              <w:spacing w:after="0"/>
              <w:rPr>
                <w:sz w:val="20"/>
                <w:szCs w:val="20"/>
                <w:color w:val="auto"/>
              </w:rPr>
            </w:pPr>
            <w:r>
              <w:rPr>
                <w:rFonts w:ascii="Arial" w:cs="Arial" w:eastAsia="Arial" w:hAnsi="Arial"/>
                <w:sz w:val="13"/>
                <w:szCs w:val="13"/>
                <w:color w:val="auto"/>
                <w:w w:val="96"/>
              </w:rPr>
              <w:t>1,712,250</w:t>
            </w:r>
          </w:p>
        </w:tc>
        <w:tc>
          <w:tcPr>
            <w:tcW w:w="1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01/03/2011</w:t>
            </w: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Performance</w:t>
            </w:r>
          </w:p>
        </w:tc>
        <w:tc>
          <w:tcPr>
            <w:tcW w:w="900" w:type="dxa"/>
            <w:vAlign w:val="bottom"/>
            <w:gridSpan w:val="2"/>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40,330</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80,660</w:t>
            </w:r>
          </w:p>
        </w:tc>
        <w:tc>
          <w:tcPr>
            <w:tcW w:w="200" w:type="dxa"/>
            <w:vAlign w:val="bottom"/>
          </w:tcPr>
          <w:p>
            <w:pPr>
              <w:spacing w:after="0"/>
              <w:rPr>
                <w:sz w:val="12"/>
                <w:szCs w:val="12"/>
                <w:color w:val="auto"/>
              </w:rPr>
            </w:pPr>
          </w:p>
        </w:tc>
        <w:tc>
          <w:tcPr>
            <w:tcW w:w="82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41" w:lineRule="exact"/>
              <w:rPr>
                <w:sz w:val="20"/>
                <w:szCs w:val="20"/>
                <w:color w:val="auto"/>
              </w:rPr>
            </w:pPr>
            <w:r>
              <w:rPr>
                <w:rFonts w:ascii="Arial" w:cs="Arial" w:eastAsia="Arial" w:hAnsi="Arial"/>
                <w:sz w:val="13"/>
                <w:szCs w:val="13"/>
                <w:color w:val="auto"/>
              </w:rPr>
              <w:t>1,316,552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Restricted</w:t>
            </w:r>
          </w:p>
        </w:tc>
        <w:tc>
          <w:tcPr>
            <w:tcW w:w="900" w:type="dxa"/>
            <w:vAlign w:val="bottom"/>
            <w:gridSpan w:val="2"/>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200"/>
              <w:spacing w:after="0" w:line="141" w:lineRule="exact"/>
              <w:rPr>
                <w:sz w:val="20"/>
                <w:szCs w:val="20"/>
                <w:color w:val="auto"/>
              </w:rPr>
            </w:pPr>
            <w:r>
              <w:rPr>
                <w:rFonts w:ascii="Arial" w:cs="Arial" w:eastAsia="Arial" w:hAnsi="Arial"/>
                <w:sz w:val="13"/>
                <w:szCs w:val="13"/>
                <w:color w:val="auto"/>
              </w:rPr>
              <w:t>22,000</w:t>
            </w:r>
          </w:p>
        </w:tc>
        <w:tc>
          <w:tcPr>
            <w:tcW w:w="9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700,150</w:t>
            </w: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Stock</w:t>
            </w:r>
          </w:p>
        </w:tc>
        <w:tc>
          <w:tcPr>
            <w:tcW w:w="900" w:type="dxa"/>
            <w:vAlign w:val="bottom"/>
            <w:gridSpan w:val="2"/>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20" w:type="dxa"/>
            <w:vAlign w:val="bottom"/>
            <w:gridSpan w:val="2"/>
          </w:tcPr>
          <w:p>
            <w:pPr>
              <w:ind w:left="420"/>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41" w:lineRule="exact"/>
              <w:rPr>
                <w:sz w:val="20"/>
                <w:szCs w:val="20"/>
                <w:color w:val="auto"/>
              </w:rPr>
            </w:pPr>
            <w:r>
              <w:rPr>
                <w:rFonts w:ascii="Arial" w:cs="Arial" w:eastAsia="Arial" w:hAnsi="Arial"/>
                <w:sz w:val="13"/>
                <w:szCs w:val="13"/>
                <w:color w:val="auto"/>
              </w:rPr>
              <w:t>131,980</w:t>
            </w:r>
          </w:p>
        </w:tc>
        <w:tc>
          <w:tcPr>
            <w:tcW w:w="180" w:type="dxa"/>
            <w:vAlign w:val="bottom"/>
          </w:tcPr>
          <w:p>
            <w:pPr>
              <w:spacing w:after="0"/>
              <w:rPr>
                <w:sz w:val="12"/>
                <w:szCs w:val="12"/>
                <w:color w:val="auto"/>
              </w:rPr>
            </w:pPr>
          </w:p>
        </w:tc>
        <w:tc>
          <w:tcPr>
            <w:tcW w:w="920" w:type="dxa"/>
            <w:vAlign w:val="bottom"/>
            <w:gridSpan w:val="2"/>
          </w:tcPr>
          <w:p>
            <w:pPr>
              <w:ind w:left="320"/>
              <w:spacing w:after="0" w:line="141" w:lineRule="exact"/>
              <w:rPr>
                <w:sz w:val="20"/>
                <w:szCs w:val="20"/>
                <w:color w:val="auto"/>
              </w:rPr>
            </w:pPr>
            <w:r>
              <w:rPr>
                <w:rFonts w:ascii="Arial" w:cs="Arial" w:eastAsia="Arial" w:hAnsi="Arial"/>
                <w:sz w:val="13"/>
                <w:szCs w:val="13"/>
                <w:color w:val="auto"/>
              </w:rPr>
              <w:t>31.825</w:t>
            </w:r>
          </w:p>
        </w:tc>
        <w:tc>
          <w:tcPr>
            <w:tcW w:w="8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506,803</w:t>
            </w: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Options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28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Ms. West</w:t>
            </w:r>
          </w:p>
        </w:tc>
        <w:tc>
          <w:tcPr>
            <w:tcW w:w="100" w:type="dxa"/>
            <w:vAlign w:val="bottom"/>
            <w:shd w:val="clear" w:color="auto" w:fill="D8D8D8"/>
          </w:tcPr>
          <w:p>
            <w:pPr>
              <w:spacing w:after="0"/>
              <w:rPr>
                <w:sz w:val="17"/>
                <w:szCs w:val="17"/>
                <w:color w:val="auto"/>
              </w:rPr>
            </w:pPr>
          </w:p>
        </w:tc>
        <w:tc>
          <w:tcPr>
            <w:tcW w:w="800" w:type="dxa"/>
            <w:vAlign w:val="bottom"/>
            <w:shd w:val="clear" w:color="auto" w:fill="D8D8D8"/>
          </w:tcPr>
          <w:p>
            <w:pPr>
              <w:jc w:val="right"/>
              <w:ind w:right="16"/>
              <w:spacing w:after="0"/>
              <w:rPr>
                <w:sz w:val="20"/>
                <w:szCs w:val="20"/>
                <w:color w:val="auto"/>
              </w:rPr>
            </w:pPr>
            <w:r>
              <w:rPr>
                <w:rFonts w:ascii="Arial" w:cs="Arial" w:eastAsia="Arial" w:hAnsi="Arial"/>
                <w:sz w:val="13"/>
                <w:szCs w:val="13"/>
                <w:color w:val="auto"/>
              </w:rPr>
              <w:t>—</w:t>
            </w:r>
          </w:p>
        </w:tc>
        <w:tc>
          <w:tcPr>
            <w:tcW w:w="80" w:type="dxa"/>
            <w:vAlign w:val="bottom"/>
            <w:shd w:val="clear" w:color="auto" w:fill="D8D8D8"/>
          </w:tcPr>
          <w:p>
            <w:pPr>
              <w:spacing w:after="0"/>
              <w:rPr>
                <w:sz w:val="17"/>
                <w:szCs w:val="17"/>
                <w:color w:val="auto"/>
              </w:rPr>
            </w:pPr>
          </w:p>
        </w:tc>
        <w:tc>
          <w:tcPr>
            <w:tcW w:w="1080" w:type="dxa"/>
            <w:vAlign w:val="bottom"/>
            <w:gridSpan w:val="3"/>
            <w:shd w:val="clear" w:color="auto" w:fill="D8D8D8"/>
          </w:tcPr>
          <w:p>
            <w:pPr>
              <w:ind w:left="100"/>
              <w:spacing w:after="0"/>
              <w:rPr>
                <w:sz w:val="20"/>
                <w:szCs w:val="20"/>
                <w:color w:val="auto"/>
              </w:rPr>
            </w:pPr>
            <w:r>
              <w:rPr>
                <w:rFonts w:ascii="Arial" w:cs="Arial" w:eastAsia="Arial" w:hAnsi="Arial"/>
                <w:sz w:val="13"/>
                <w:szCs w:val="13"/>
                <w:color w:val="auto"/>
              </w:rPr>
              <w:t>AIP</w:t>
            </w: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528,000</w:t>
            </w:r>
          </w:p>
        </w:tc>
        <w:tc>
          <w:tcPr>
            <w:tcW w:w="200" w:type="dxa"/>
            <w:vAlign w:val="bottom"/>
            <w:shd w:val="clear" w:color="auto" w:fill="D8D8D8"/>
          </w:tcPr>
          <w:p>
            <w:pPr>
              <w:spacing w:after="0"/>
              <w:rPr>
                <w:sz w:val="17"/>
                <w:szCs w:val="17"/>
                <w:color w:val="auto"/>
              </w:rPr>
            </w:pPr>
          </w:p>
        </w:tc>
        <w:tc>
          <w:tcPr>
            <w:tcW w:w="720" w:type="dxa"/>
            <w:vAlign w:val="bottom"/>
            <w:shd w:val="clear" w:color="auto" w:fill="D8D8D8"/>
          </w:tcPr>
          <w:p>
            <w:pPr>
              <w:ind w:left="140"/>
              <w:spacing w:after="0"/>
              <w:rPr>
                <w:sz w:val="20"/>
                <w:szCs w:val="20"/>
                <w:color w:val="auto"/>
              </w:rPr>
            </w:pPr>
            <w:r>
              <w:rPr>
                <w:rFonts w:ascii="Arial" w:cs="Arial" w:eastAsia="Arial" w:hAnsi="Arial"/>
                <w:sz w:val="13"/>
                <w:szCs w:val="13"/>
                <w:color w:val="auto"/>
                <w:w w:val="96"/>
              </w:rPr>
              <w:t>1,320,000</w:t>
            </w:r>
          </w:p>
        </w:tc>
        <w:tc>
          <w:tcPr>
            <w:tcW w:w="180" w:type="dxa"/>
            <w:vAlign w:val="bottom"/>
            <w:shd w:val="clear" w:color="auto" w:fill="D8D8D8"/>
          </w:tcPr>
          <w:p>
            <w:pPr>
              <w:spacing w:after="0"/>
              <w:rPr>
                <w:sz w:val="17"/>
                <w:szCs w:val="17"/>
                <w:color w:val="auto"/>
              </w:rPr>
            </w:pPr>
          </w:p>
        </w:tc>
        <w:tc>
          <w:tcPr>
            <w:tcW w:w="780" w:type="dxa"/>
            <w:vAlign w:val="bottom"/>
            <w:gridSpan w:val="2"/>
            <w:shd w:val="clear" w:color="auto" w:fill="D8D8D8"/>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D8D8D8"/>
          </w:tcPr>
          <w:p>
            <w:pPr>
              <w:spacing w:after="0"/>
              <w:rPr>
                <w:sz w:val="17"/>
                <w:szCs w:val="17"/>
                <w:color w:val="auto"/>
              </w:rPr>
            </w:pPr>
          </w:p>
        </w:tc>
        <w:tc>
          <w:tcPr>
            <w:tcW w:w="820" w:type="dxa"/>
            <w:vAlign w:val="bottom"/>
            <w:gridSpan w:val="2"/>
            <w:shd w:val="clear" w:color="auto" w:fill="D8D8D8"/>
          </w:tcPr>
          <w:p>
            <w:pPr>
              <w:ind w:left="4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ind w:left="5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01/03/2011</w:t>
            </w: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Performance</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26,730</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53,460</w:t>
            </w:r>
          </w:p>
        </w:tc>
        <w:tc>
          <w:tcPr>
            <w:tcW w:w="20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872,587</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Restricted</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D8D8D8"/>
          </w:tcPr>
          <w:p>
            <w:pPr>
              <w:jc w:val="right"/>
              <w:ind w:right="200"/>
              <w:spacing w:after="0" w:line="141" w:lineRule="exact"/>
              <w:rPr>
                <w:sz w:val="20"/>
                <w:szCs w:val="20"/>
                <w:color w:val="auto"/>
              </w:rPr>
            </w:pPr>
            <w:r>
              <w:rPr>
                <w:rFonts w:ascii="Arial" w:cs="Arial" w:eastAsia="Arial" w:hAnsi="Arial"/>
                <w:sz w:val="13"/>
                <w:szCs w:val="13"/>
                <w:color w:val="auto"/>
              </w:rPr>
              <w:t>13,360</w:t>
            </w:r>
          </w:p>
        </w:tc>
        <w:tc>
          <w:tcPr>
            <w:tcW w:w="9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425,182</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Shares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Stock</w:t>
            </w:r>
          </w:p>
        </w:tc>
        <w:tc>
          <w:tcPr>
            <w:tcW w:w="90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80,130</w:t>
            </w:r>
          </w:p>
        </w:tc>
        <w:tc>
          <w:tcPr>
            <w:tcW w:w="920" w:type="dxa"/>
            <w:vAlign w:val="bottom"/>
            <w:gridSpan w:val="2"/>
            <w:shd w:val="clear" w:color="auto" w:fill="D8D8D8"/>
          </w:tcPr>
          <w:p>
            <w:pPr>
              <w:ind w:left="320"/>
              <w:spacing w:after="0" w:line="141" w:lineRule="exact"/>
              <w:rPr>
                <w:sz w:val="20"/>
                <w:szCs w:val="20"/>
                <w:color w:val="auto"/>
              </w:rPr>
            </w:pPr>
            <w:r>
              <w:rPr>
                <w:rFonts w:ascii="Arial" w:cs="Arial" w:eastAsia="Arial" w:hAnsi="Arial"/>
                <w:sz w:val="13"/>
                <w:szCs w:val="13"/>
                <w:color w:val="auto"/>
              </w:rPr>
              <w:t>31.825</w:t>
            </w:r>
          </w:p>
        </w:tc>
        <w:tc>
          <w:tcPr>
            <w:tcW w:w="88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307,699</w:t>
            </w:r>
          </w:p>
        </w:tc>
        <w:tc>
          <w:tcPr>
            <w:tcW w:w="0" w:type="dxa"/>
            <w:vAlign w:val="bottom"/>
          </w:tcPr>
          <w:p>
            <w:pPr>
              <w:spacing w:after="0"/>
              <w:rPr>
                <w:sz w:val="1"/>
                <w:szCs w:val="1"/>
                <w:color w:val="auto"/>
              </w:rPr>
            </w:pPr>
          </w:p>
        </w:tc>
      </w:tr>
      <w:tr>
        <w:trPr>
          <w:trHeight w:val="141"/>
        </w:trPr>
        <w:tc>
          <w:tcPr>
            <w:tcW w:w="920" w:type="dxa"/>
            <w:vAlign w:val="bottom"/>
            <w:shd w:val="clear" w:color="auto" w:fill="D8D8D8"/>
          </w:tcPr>
          <w:p>
            <w:pPr>
              <w:spacing w:after="0"/>
              <w:rPr>
                <w:sz w:val="12"/>
                <w:szCs w:val="12"/>
                <w:color w:val="auto"/>
              </w:rPr>
            </w:pPr>
          </w:p>
        </w:tc>
        <w:tc>
          <w:tcPr>
            <w:tcW w:w="13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080" w:type="dxa"/>
            <w:vAlign w:val="bottom"/>
            <w:gridSpan w:val="3"/>
            <w:shd w:val="clear" w:color="auto" w:fill="D8D8D8"/>
          </w:tcPr>
          <w:p>
            <w:pPr>
              <w:ind w:left="100"/>
              <w:spacing w:after="0" w:line="141" w:lineRule="exact"/>
              <w:rPr>
                <w:sz w:val="20"/>
                <w:szCs w:val="20"/>
                <w:color w:val="auto"/>
              </w:rPr>
            </w:pPr>
            <w:r>
              <w:rPr>
                <w:rFonts w:ascii="Arial" w:cs="Arial" w:eastAsia="Arial" w:hAnsi="Arial"/>
                <w:sz w:val="13"/>
                <w:szCs w:val="13"/>
                <w:color w:val="auto"/>
              </w:rPr>
              <w:t>Options</w:t>
            </w: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6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6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80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26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0" w:lineRule="exact"/>
        <w:rPr>
          <w:sz w:val="20"/>
          <w:szCs w:val="20"/>
          <w:color w:val="auto"/>
        </w:rPr>
      </w:pPr>
    </w:p>
    <w:p>
      <w:pPr>
        <w:ind w:left="340" w:right="340" w:hanging="338"/>
        <w:spacing w:after="0" w:line="272" w:lineRule="auto"/>
        <w:tabs>
          <w:tab w:leader="none" w:pos="3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target amounts represent the potential cash payout if both business and individual performance are at target levels under our 2011 Annual Cash Incentive Program (AIP). Actual amounts under our 2011 Annual Cash Incentive Program were paid in March 2012 and are disclosed in the 2011 Summary Compensation Table. The maximum amounts are equal to 250% of target.</w:t>
      </w:r>
    </w:p>
    <w:p>
      <w:pPr>
        <w:spacing w:after="0" w:line="45" w:lineRule="exact"/>
        <w:rPr>
          <w:rFonts w:ascii="Arial" w:cs="Arial" w:eastAsia="Arial" w:hAnsi="Arial"/>
          <w:sz w:val="12"/>
          <w:szCs w:val="12"/>
          <w:color w:val="auto"/>
        </w:rPr>
      </w:pPr>
    </w:p>
    <w:p>
      <w:pPr>
        <w:jc w:val="both"/>
        <w:ind w:left="340" w:right="100" w:hanging="338"/>
        <w:spacing w:after="0" w:line="232" w:lineRule="auto"/>
        <w:tabs>
          <w:tab w:leader="none" w:pos="3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performance shares are granted under our 2011 – 2013 LTIP. The target number of shares shown in the table reflects the number of shares of our common stock that will be earned if each of the performance metrics are at target levels. Actual shares awarded under the 2011 – 2013 LTIP are scheduled to be paid in March 2014. No dividends or dividend equivalents are paid or earned on unvested performance shares.</w:t>
      </w:r>
    </w:p>
    <w:p>
      <w:pPr>
        <w:spacing w:after="0" w:line="65" w:lineRule="exact"/>
        <w:rPr>
          <w:rFonts w:ascii="Arial" w:cs="Arial" w:eastAsia="Arial" w:hAnsi="Arial"/>
          <w:sz w:val="13"/>
          <w:szCs w:val="13"/>
          <w:color w:val="auto"/>
        </w:rPr>
      </w:pPr>
    </w:p>
    <w:p>
      <w:pPr>
        <w:ind w:left="340" w:hanging="338"/>
        <w:spacing w:after="0"/>
        <w:tabs>
          <w:tab w:leader="none" w:pos="3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Dividends are paid on the unvested restricted stock at the same rate as on Kraft Foods common stock.</w:t>
      </w:r>
    </w:p>
    <w:p>
      <w:pPr>
        <w:spacing w:after="0" w:line="55" w:lineRule="exact"/>
        <w:rPr>
          <w:rFonts w:ascii="Arial" w:cs="Arial" w:eastAsia="Arial" w:hAnsi="Arial"/>
          <w:sz w:val="13"/>
          <w:szCs w:val="13"/>
          <w:color w:val="auto"/>
        </w:rPr>
      </w:pPr>
    </w:p>
    <w:p>
      <w:pPr>
        <w:ind w:left="340" w:right="140" w:hanging="338"/>
        <w:spacing w:after="0" w:line="232" w:lineRule="auto"/>
        <w:tabs>
          <w:tab w:leader="none" w:pos="3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exercise price of the stock option awards represents the fair market value (average of high and low stock prices) of our common stock on the grant date. For the stock options granted on February 23, 2011, the exercise price is greater than the closing stock price ($31.68) on that date. For the stock options granted on May 9, 2011, the exercise price is lower than the closing stock price ($34.04) on that date.</w:t>
      </w:r>
    </w:p>
    <w:p>
      <w:pPr>
        <w:spacing w:after="0" w:line="52" w:lineRule="exact"/>
        <w:rPr>
          <w:rFonts w:ascii="Arial" w:cs="Arial" w:eastAsia="Arial" w:hAnsi="Arial"/>
          <w:sz w:val="13"/>
          <w:szCs w:val="13"/>
          <w:color w:val="auto"/>
        </w:rPr>
      </w:pPr>
    </w:p>
    <w:p>
      <w:pPr>
        <w:ind w:left="340" w:hanging="338"/>
        <w:spacing w:after="0"/>
        <w:tabs>
          <w:tab w:leader="none" w:pos="3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The amounts represent the grant date fair value of the awards as computed in accordance with FASB ASC Topic 718.</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443" w:right="2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Outstanding Equity Awards at Fiscal Year-End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3"/>
                <w:szCs w:val="13"/>
                <w:b w:val="1"/>
                <w:bCs w:val="1"/>
                <w:color w:val="auto"/>
              </w:rPr>
              <w:t>Option Awards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3"/>
                <w:szCs w:val="13"/>
                <w:b w:val="1"/>
                <w:bCs w:val="1"/>
                <w:color w:val="auto"/>
              </w:rPr>
              <w:t>Stock Awards</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5"/>
              </w:rPr>
              <w:t>Incentive</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8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4"/>
              </w:rPr>
              <w:t>Plan</w:t>
            </w:r>
          </w:p>
        </w:tc>
        <w:tc>
          <w:tcPr>
            <w:tcW w:w="0" w:type="dxa"/>
            <w:vAlign w:val="bottom"/>
          </w:tcPr>
          <w:p>
            <w:pPr>
              <w:spacing w:after="0"/>
              <w:rPr>
                <w:sz w:val="1"/>
                <w:szCs w:val="1"/>
                <w:color w:val="auto"/>
              </w:rPr>
            </w:pPr>
          </w:p>
        </w:tc>
      </w:tr>
      <w:tr>
        <w:trPr>
          <w:trHeight w:val="90"/>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40" w:type="dxa"/>
            <w:vAlign w:val="bottom"/>
            <w:gridSpan w:val="2"/>
            <w:vMerge w:val="restart"/>
          </w:tcPr>
          <w:p>
            <w:pPr>
              <w:jc w:val="center"/>
              <w:ind w:right="100"/>
              <w:spacing w:after="0" w:line="141"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51"/>
        </w:trPr>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gridSpan w:val="2"/>
            <w:vMerge w:val="restart"/>
          </w:tcPr>
          <w:p>
            <w:pPr>
              <w:jc w:val="center"/>
              <w:ind w:right="200"/>
              <w:spacing w:after="0" w:line="141" w:lineRule="exact"/>
              <w:rPr>
                <w:sz w:val="20"/>
                <w:szCs w:val="20"/>
                <w:color w:val="auto"/>
              </w:rPr>
            </w:pPr>
            <w:r>
              <w:rPr>
                <w:rFonts w:ascii="Arial" w:cs="Arial" w:eastAsia="Arial" w:hAnsi="Arial"/>
                <w:sz w:val="13"/>
                <w:szCs w:val="13"/>
                <w:b w:val="1"/>
                <w:bCs w:val="1"/>
                <w:color w:val="auto"/>
                <w:w w:val="95"/>
              </w:rPr>
              <w:t>Incentive</w:t>
            </w: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80"/>
        </w:trPr>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gridSpan w:val="2"/>
            <w:vMerge w:val="restart"/>
          </w:tcPr>
          <w:p>
            <w:pPr>
              <w:jc w:val="center"/>
              <w:ind w:right="200"/>
              <w:spacing w:after="0" w:line="141" w:lineRule="exact"/>
              <w:rPr>
                <w:sz w:val="20"/>
                <w:szCs w:val="20"/>
                <w:color w:val="auto"/>
              </w:rPr>
            </w:pPr>
            <w:r>
              <w:rPr>
                <w:rFonts w:ascii="Arial" w:cs="Arial" w:eastAsia="Arial" w:hAnsi="Arial"/>
                <w:sz w:val="13"/>
                <w:szCs w:val="13"/>
                <w:b w:val="1"/>
                <w:bCs w:val="1"/>
                <w:color w:val="auto"/>
                <w:w w:val="94"/>
              </w:rPr>
              <w:t>Plan</w:t>
            </w: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rPr>
              <w:t>or</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7"/>
              </w:rPr>
              <w:t>Awards: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5"/>
              </w:rPr>
              <w:t>Market</w:t>
            </w:r>
          </w:p>
        </w:tc>
        <w:tc>
          <w:tcPr>
            <w:tcW w:w="90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rPr>
              <w:t>Number</w:t>
            </w:r>
          </w:p>
        </w:tc>
        <w:tc>
          <w:tcPr>
            <w:tcW w:w="8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6"/>
              </w:rPr>
              <w:t>Payout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5"/>
              </w:rPr>
              <w:t>Equity</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Number</w:t>
            </w:r>
          </w:p>
        </w:tc>
        <w:tc>
          <w:tcPr>
            <w:tcW w:w="9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Value</w:t>
            </w:r>
          </w:p>
        </w:tc>
        <w:tc>
          <w:tcPr>
            <w:tcW w:w="90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of</w:t>
            </w:r>
          </w:p>
        </w:tc>
        <w:tc>
          <w:tcPr>
            <w:tcW w:w="8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Number</w:t>
            </w:r>
          </w:p>
        </w:tc>
        <w:tc>
          <w:tcPr>
            <w:tcW w:w="7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9"/>
              </w:rPr>
              <w:t>Incentive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of</w:t>
            </w:r>
          </w:p>
        </w:tc>
        <w:tc>
          <w:tcPr>
            <w:tcW w:w="9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7"/>
              </w:rPr>
              <w:t>of</w:t>
            </w:r>
          </w:p>
        </w:tc>
        <w:tc>
          <w:tcPr>
            <w:tcW w:w="90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6"/>
              </w:rPr>
              <w:t>Unearned</w:t>
            </w:r>
          </w:p>
        </w:tc>
        <w:tc>
          <w:tcPr>
            <w:tcW w:w="84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7"/>
              </w:rPr>
              <w:t>of</w:t>
            </w:r>
          </w:p>
        </w:tc>
        <w:tc>
          <w:tcPr>
            <w:tcW w:w="0" w:type="dxa"/>
            <w:vAlign w:val="bottom"/>
          </w:tcPr>
          <w:p>
            <w:pPr>
              <w:spacing w:after="0"/>
              <w:rPr>
                <w:sz w:val="1"/>
                <w:szCs w:val="1"/>
                <w:color w:val="auto"/>
              </w:rPr>
            </w:pPr>
          </w:p>
        </w:tc>
      </w:tr>
      <w:tr>
        <w:trPr>
          <w:trHeight w:val="132"/>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78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4"/>
              </w:rPr>
              <w:t>Plan</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rPr>
              <w:t>Shares</w:t>
            </w:r>
          </w:p>
        </w:tc>
        <w:tc>
          <w:tcPr>
            <w:tcW w:w="92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rPr>
              <w:t>Shares</w:t>
            </w:r>
          </w:p>
        </w:tc>
        <w:tc>
          <w:tcPr>
            <w:tcW w:w="90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w w:val="97"/>
              </w:rPr>
              <w:t>Shares,</w:t>
            </w:r>
          </w:p>
        </w:tc>
        <w:tc>
          <w:tcPr>
            <w:tcW w:w="840" w:type="dxa"/>
            <w:vAlign w:val="bottom"/>
            <w:gridSpan w:val="2"/>
          </w:tcPr>
          <w:p>
            <w:pPr>
              <w:jc w:val="right"/>
              <w:ind w:right="180"/>
              <w:spacing w:after="0" w:line="132" w:lineRule="exact"/>
              <w:rPr>
                <w:sz w:val="20"/>
                <w:szCs w:val="20"/>
                <w:color w:val="auto"/>
              </w:rPr>
            </w:pPr>
            <w:r>
              <w:rPr>
                <w:rFonts w:ascii="Arial" w:cs="Arial" w:eastAsia="Arial" w:hAnsi="Arial"/>
                <w:sz w:val="13"/>
                <w:szCs w:val="13"/>
                <w:b w:val="1"/>
                <w:bCs w:val="1"/>
                <w:color w:val="auto"/>
              </w:rPr>
              <w:t>Unearned</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of</w:t>
            </w:r>
          </w:p>
        </w:tc>
        <w:tc>
          <w:tcPr>
            <w:tcW w:w="7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Awards: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1"/>
              </w:rPr>
              <w:t>or</w:t>
            </w:r>
          </w:p>
        </w:tc>
        <w:tc>
          <w:tcPr>
            <w:tcW w:w="9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1"/>
              </w:rPr>
              <w:t>or</w:t>
            </w:r>
          </w:p>
        </w:tc>
        <w:tc>
          <w:tcPr>
            <w:tcW w:w="90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8"/>
              </w:rPr>
              <w:t>Units</w:t>
            </w:r>
          </w:p>
        </w:tc>
        <w:tc>
          <w:tcPr>
            <w:tcW w:w="8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7"/>
              </w:rPr>
              <w:t>Shares,</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Number</w:t>
            </w:r>
          </w:p>
        </w:tc>
        <w:tc>
          <w:tcPr>
            <w:tcW w:w="12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9"/>
              </w:rPr>
              <w:t>Securities</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8"/>
              </w:rPr>
              <w:t>Units</w:t>
            </w:r>
          </w:p>
        </w:tc>
        <w:tc>
          <w:tcPr>
            <w:tcW w:w="9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8"/>
              </w:rPr>
              <w:t>Units</w:t>
            </w:r>
          </w:p>
        </w:tc>
        <w:tc>
          <w:tcPr>
            <w:tcW w:w="90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rPr>
              <w:t>or</w:t>
            </w:r>
          </w:p>
        </w:tc>
        <w:tc>
          <w:tcPr>
            <w:tcW w:w="84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8"/>
              </w:rPr>
              <w:t>Units</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of Securities</w:t>
            </w:r>
          </w:p>
        </w:tc>
        <w:tc>
          <w:tcPr>
            <w:tcW w:w="12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7"/>
              </w:rPr>
              <w:t>Underlying</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b w:val="1"/>
                <w:bCs w:val="1"/>
                <w:color w:val="auto"/>
              </w:rPr>
              <w:t>Securities</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of</w:t>
            </w:r>
          </w:p>
        </w:tc>
        <w:tc>
          <w:tcPr>
            <w:tcW w:w="9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7"/>
              </w:rPr>
              <w:t>of</w:t>
            </w:r>
          </w:p>
        </w:tc>
        <w:tc>
          <w:tcPr>
            <w:tcW w:w="90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7"/>
              </w:rPr>
              <w:t>Other</w:t>
            </w:r>
          </w:p>
        </w:tc>
        <w:tc>
          <w:tcPr>
            <w:tcW w:w="8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7"/>
              </w:rPr>
              <w:t>or Other</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rPr>
              <w:t>Underlying</w:t>
            </w:r>
          </w:p>
        </w:tc>
        <w:tc>
          <w:tcPr>
            <w:tcW w:w="12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rPr>
              <w:t>Un-</w:t>
            </w:r>
          </w:p>
        </w:tc>
        <w:tc>
          <w:tcPr>
            <w:tcW w:w="7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Underlying</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Stock</w:t>
            </w:r>
          </w:p>
        </w:tc>
        <w:tc>
          <w:tcPr>
            <w:tcW w:w="9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rPr>
              <w:t>Stock</w:t>
            </w:r>
          </w:p>
        </w:tc>
        <w:tc>
          <w:tcPr>
            <w:tcW w:w="90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8"/>
              </w:rPr>
              <w:t>Rights</w:t>
            </w:r>
          </w:p>
        </w:tc>
        <w:tc>
          <w:tcPr>
            <w:tcW w:w="84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8"/>
              </w:rPr>
              <w:t>Rights</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rPr>
              <w:t>Un-</w:t>
            </w: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9"/>
              </w:rPr>
              <w:t>exercised</w:t>
            </w:r>
          </w:p>
        </w:tc>
        <w:tc>
          <w:tcPr>
            <w:tcW w:w="7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rPr>
              <w:t>Un-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That</w:t>
            </w:r>
          </w:p>
        </w:tc>
        <w:tc>
          <w:tcPr>
            <w:tcW w:w="9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rPr>
              <w:t>That</w:t>
            </w:r>
          </w:p>
        </w:tc>
        <w:tc>
          <w:tcPr>
            <w:tcW w:w="90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4"/>
              </w:rPr>
              <w:t>That</w:t>
            </w:r>
          </w:p>
        </w:tc>
        <w:tc>
          <w:tcPr>
            <w:tcW w:w="8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4"/>
              </w:rPr>
              <w:t>That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9"/>
              </w:rPr>
              <w:t>exercised</w:t>
            </w: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Options</w:t>
            </w:r>
          </w:p>
        </w:tc>
        <w:tc>
          <w:tcPr>
            <w:tcW w:w="780" w:type="dxa"/>
            <w:vAlign w:val="bottom"/>
          </w:tcPr>
          <w:p>
            <w:pPr>
              <w:jc w:val="right"/>
              <w:ind w:right="36"/>
              <w:spacing w:after="0" w:line="141" w:lineRule="exact"/>
              <w:rPr>
                <w:sz w:val="20"/>
                <w:szCs w:val="20"/>
                <w:color w:val="auto"/>
              </w:rPr>
            </w:pPr>
            <w:r>
              <w:rPr>
                <w:rFonts w:ascii="Arial" w:cs="Arial" w:eastAsia="Arial" w:hAnsi="Arial"/>
                <w:sz w:val="13"/>
                <w:szCs w:val="13"/>
                <w:b w:val="1"/>
                <w:bCs w:val="1"/>
                <w:color w:val="auto"/>
              </w:rPr>
              <w:t>exercised</w:t>
            </w:r>
          </w:p>
        </w:tc>
        <w:tc>
          <w:tcPr>
            <w:tcW w:w="180" w:type="dxa"/>
            <w:vAlign w:val="bottom"/>
          </w:tcPr>
          <w:p>
            <w:pPr>
              <w:spacing w:after="0"/>
              <w:rPr>
                <w:sz w:val="12"/>
                <w:szCs w:val="12"/>
                <w:color w:val="auto"/>
              </w:rPr>
            </w:pPr>
          </w:p>
        </w:tc>
        <w:tc>
          <w:tcPr>
            <w:tcW w:w="8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5"/>
              </w:rPr>
              <w:t>Option</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Have</w:t>
            </w:r>
          </w:p>
        </w:tc>
        <w:tc>
          <w:tcPr>
            <w:tcW w:w="9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6"/>
              </w:rPr>
              <w:t>Have</w:t>
            </w:r>
          </w:p>
        </w:tc>
        <w:tc>
          <w:tcPr>
            <w:tcW w:w="90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6"/>
              </w:rPr>
              <w:t>Have</w:t>
            </w:r>
          </w:p>
        </w:tc>
        <w:tc>
          <w:tcPr>
            <w:tcW w:w="8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6"/>
              </w:rPr>
              <w:t>Have</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Options</w:t>
            </w:r>
          </w:p>
        </w:tc>
        <w:tc>
          <w:tcPr>
            <w:tcW w:w="12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7"/>
              </w:rPr>
              <w:t>Unexerci-</w:t>
            </w:r>
          </w:p>
        </w:tc>
        <w:tc>
          <w:tcPr>
            <w:tcW w:w="780" w:type="dxa"/>
            <w:vAlign w:val="bottom"/>
          </w:tcPr>
          <w:p>
            <w:pPr>
              <w:jc w:val="right"/>
              <w:ind w:right="36"/>
              <w:spacing w:after="0" w:line="141" w:lineRule="exact"/>
              <w:rPr>
                <w:sz w:val="20"/>
                <w:szCs w:val="20"/>
                <w:color w:val="auto"/>
              </w:rPr>
            </w:pPr>
            <w:r>
              <w:rPr>
                <w:rFonts w:ascii="Arial" w:cs="Arial" w:eastAsia="Arial" w:hAnsi="Arial"/>
                <w:sz w:val="13"/>
                <w:szCs w:val="13"/>
                <w:b w:val="1"/>
                <w:bCs w:val="1"/>
                <w:color w:val="auto"/>
              </w:rPr>
              <w:t>Unearned</w:t>
            </w:r>
          </w:p>
        </w:tc>
        <w:tc>
          <w:tcPr>
            <w:tcW w:w="180" w:type="dxa"/>
            <w:vAlign w:val="bottom"/>
          </w:tcPr>
          <w:p>
            <w:pPr>
              <w:spacing w:after="0"/>
              <w:rPr>
                <w:sz w:val="12"/>
                <w:szCs w:val="12"/>
                <w:color w:val="auto"/>
              </w:rPr>
            </w:pPr>
          </w:p>
        </w:tc>
        <w:tc>
          <w:tcPr>
            <w:tcW w:w="8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Exercise</w:t>
            </w:r>
          </w:p>
        </w:tc>
        <w:tc>
          <w:tcPr>
            <w:tcW w:w="1000" w:type="dxa"/>
            <w:vAlign w:val="bottom"/>
            <w:gridSpan w:val="2"/>
          </w:tcPr>
          <w:p>
            <w:pPr>
              <w:ind w:left="200"/>
              <w:spacing w:after="0" w:line="141" w:lineRule="exact"/>
              <w:rPr>
                <w:sz w:val="20"/>
                <w:szCs w:val="20"/>
                <w:color w:val="auto"/>
              </w:rPr>
            </w:pPr>
            <w:r>
              <w:rPr>
                <w:rFonts w:ascii="Arial" w:cs="Arial" w:eastAsia="Arial" w:hAnsi="Arial"/>
                <w:sz w:val="13"/>
                <w:szCs w:val="13"/>
                <w:b w:val="1"/>
                <w:bCs w:val="1"/>
                <w:color w:val="auto"/>
              </w:rPr>
              <w:t>Option</w:t>
            </w: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2"/>
              </w:rPr>
              <w:t>Not</w:t>
            </w:r>
          </w:p>
        </w:tc>
        <w:tc>
          <w:tcPr>
            <w:tcW w:w="9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2"/>
              </w:rPr>
              <w:t>Not</w:t>
            </w:r>
          </w:p>
        </w:tc>
        <w:tc>
          <w:tcPr>
            <w:tcW w:w="90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rPr>
              <w:t>Not</w:t>
            </w:r>
          </w:p>
        </w:tc>
        <w:tc>
          <w:tcPr>
            <w:tcW w:w="8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rPr>
              <w:t>Not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jc w:val="right"/>
              <w:ind w:right="176"/>
              <w:spacing w:after="0"/>
              <w:rPr>
                <w:sz w:val="20"/>
                <w:szCs w:val="20"/>
                <w:color w:val="auto"/>
              </w:rPr>
            </w:pPr>
            <w:r>
              <w:rPr>
                <w:rFonts w:ascii="Arial" w:cs="Arial" w:eastAsia="Arial" w:hAnsi="Arial"/>
                <w:sz w:val="13"/>
                <w:szCs w:val="13"/>
                <w:b w:val="1"/>
                <w:bCs w:val="1"/>
                <w:color w:val="auto"/>
              </w:rPr>
              <w:t>Grant Date</w:t>
            </w:r>
            <w:r>
              <w:rPr>
                <w:rFonts w:ascii="Arial" w:cs="Arial" w:eastAsia="Arial" w:hAnsi="Arial"/>
                <w:sz w:val="21"/>
                <w:szCs w:val="21"/>
                <w:b w:val="1"/>
                <w:bCs w:val="1"/>
                <w:color w:val="auto"/>
                <w:vertAlign w:val="superscript"/>
              </w:rPr>
              <w:t>(1)</w:t>
            </w: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9"/>
              </w:rPr>
              <w:t>Exercisable</w:t>
            </w:r>
          </w:p>
        </w:tc>
        <w:tc>
          <w:tcPr>
            <w:tcW w:w="12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6"/>
              </w:rPr>
              <w:t>sable</w:t>
            </w:r>
          </w:p>
        </w:tc>
        <w:tc>
          <w:tcPr>
            <w:tcW w:w="7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Options</w:t>
            </w:r>
          </w:p>
        </w:tc>
        <w:tc>
          <w:tcPr>
            <w:tcW w:w="180" w:type="dxa"/>
            <w:vAlign w:val="bottom"/>
          </w:tcPr>
          <w:p>
            <w:pPr>
              <w:spacing w:after="0"/>
              <w:rPr>
                <w:sz w:val="12"/>
                <w:szCs w:val="12"/>
                <w:color w:val="auto"/>
              </w:rPr>
            </w:pPr>
          </w:p>
        </w:tc>
        <w:tc>
          <w:tcPr>
            <w:tcW w:w="8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Price</w:t>
            </w:r>
          </w:p>
        </w:tc>
        <w:tc>
          <w:tcPr>
            <w:tcW w:w="1000" w:type="dxa"/>
            <w:vAlign w:val="bottom"/>
            <w:gridSpan w:val="2"/>
          </w:tcPr>
          <w:p>
            <w:pPr>
              <w:ind w:left="100"/>
              <w:spacing w:after="0" w:line="141" w:lineRule="exact"/>
              <w:rPr>
                <w:sz w:val="20"/>
                <w:szCs w:val="20"/>
                <w:color w:val="auto"/>
              </w:rPr>
            </w:pPr>
            <w:r>
              <w:rPr>
                <w:rFonts w:ascii="Arial" w:cs="Arial" w:eastAsia="Arial" w:hAnsi="Arial"/>
                <w:sz w:val="13"/>
                <w:szCs w:val="13"/>
                <w:b w:val="1"/>
                <w:bCs w:val="1"/>
                <w:color w:val="auto"/>
              </w:rPr>
              <w:t>Expiration</w:t>
            </w: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3"/>
              </w:rPr>
              <w:t>Vested</w:t>
            </w:r>
          </w:p>
        </w:tc>
        <w:tc>
          <w:tcPr>
            <w:tcW w:w="920" w:type="dxa"/>
            <w:vAlign w:val="bottom"/>
            <w:gridSpan w:val="2"/>
          </w:tcPr>
          <w:p>
            <w:pPr>
              <w:jc w:val="center"/>
              <w:ind w:right="180"/>
              <w:spacing w:after="0" w:line="141"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(2)</w:t>
            </w:r>
          </w:p>
        </w:tc>
        <w:tc>
          <w:tcPr>
            <w:tcW w:w="90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8"/>
              </w:rPr>
              <w:t>Vested</w:t>
            </w:r>
          </w:p>
        </w:tc>
        <w:tc>
          <w:tcPr>
            <w:tcW w:w="840" w:type="dxa"/>
            <w:vAlign w:val="bottom"/>
            <w:gridSpan w:val="2"/>
          </w:tcPr>
          <w:p>
            <w:pPr>
              <w:jc w:val="right"/>
              <w:ind w:right="200"/>
              <w:spacing w:after="0" w:line="141"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166"/>
        </w:trPr>
        <w:tc>
          <w:tcPr>
            <w:tcW w:w="126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40" w:type="dxa"/>
            <w:vAlign w:val="bottom"/>
            <w:gridSpan w:val="2"/>
          </w:tcPr>
          <w:p>
            <w:pPr>
              <w:jc w:val="center"/>
              <w:ind w:left="16"/>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780" w:type="dxa"/>
            <w:vAlign w:val="bottom"/>
          </w:tcPr>
          <w:p>
            <w:pPr>
              <w:ind w:left="300"/>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ind w:left="42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1000" w:type="dxa"/>
            <w:vAlign w:val="bottom"/>
            <w:gridSpan w:val="2"/>
          </w:tcPr>
          <w:p>
            <w:pPr>
              <w:ind w:left="280"/>
              <w:spacing w:after="0"/>
              <w:rPr>
                <w:sz w:val="20"/>
                <w:szCs w:val="20"/>
                <w:color w:val="auto"/>
              </w:rPr>
            </w:pPr>
            <w:r>
              <w:rPr>
                <w:rFonts w:ascii="Arial" w:cs="Arial" w:eastAsia="Arial" w:hAnsi="Arial"/>
                <w:sz w:val="13"/>
                <w:szCs w:val="13"/>
                <w:b w:val="1"/>
                <w:bCs w:val="1"/>
                <w:color w:val="auto"/>
              </w:rPr>
              <w:t>Date</w:t>
            </w: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60" w:type="dxa"/>
            <w:vAlign w:val="bottom"/>
            <w:tcBorders>
              <w:top w:val="single" w:sz="8" w:color="auto"/>
            </w:tcBorders>
          </w:tcPr>
          <w:p>
            <w:pPr>
              <w:spacing w:after="0" w:line="133" w:lineRule="exact"/>
              <w:rPr>
                <w:sz w:val="20"/>
                <w:szCs w:val="20"/>
                <w:color w:val="auto"/>
              </w:rPr>
            </w:pPr>
            <w:r>
              <w:rPr>
                <w:rFonts w:ascii="Arial" w:cs="Arial" w:eastAsia="Arial" w:hAnsi="Arial"/>
                <w:sz w:val="13"/>
                <w:szCs w:val="13"/>
                <w:color w:val="auto"/>
              </w:rPr>
              <w:t>Ms. Rosenfeld</w:t>
            </w:r>
          </w:p>
        </w:tc>
        <w:tc>
          <w:tcPr>
            <w:tcW w:w="100" w:type="dxa"/>
            <w:vAlign w:val="bottom"/>
          </w:tcPr>
          <w:p>
            <w:pPr>
              <w:spacing w:after="0"/>
              <w:rPr>
                <w:sz w:val="11"/>
                <w:szCs w:val="11"/>
                <w:color w:val="auto"/>
              </w:rPr>
            </w:pPr>
          </w:p>
        </w:tc>
        <w:tc>
          <w:tcPr>
            <w:tcW w:w="126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05/03/2007</w:t>
            </w:r>
          </w:p>
        </w:tc>
        <w:tc>
          <w:tcPr>
            <w:tcW w:w="100" w:type="dxa"/>
            <w:vAlign w:val="bottom"/>
          </w:tcPr>
          <w:p>
            <w:pPr>
              <w:spacing w:after="0"/>
              <w:rPr>
                <w:sz w:val="11"/>
                <w:szCs w:val="11"/>
                <w:color w:val="auto"/>
              </w:rPr>
            </w:pPr>
          </w:p>
        </w:tc>
        <w:tc>
          <w:tcPr>
            <w:tcW w:w="1140" w:type="dxa"/>
            <w:vAlign w:val="bottom"/>
            <w:tcBorders>
              <w:top w:val="single" w:sz="8" w:color="auto"/>
            </w:tcBorders>
          </w:tcPr>
          <w:p>
            <w:pPr>
              <w:jc w:val="right"/>
              <w:ind w:right="16"/>
              <w:spacing w:after="0" w:line="13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140" w:type="dxa"/>
            <w:vAlign w:val="bottom"/>
            <w:tcBorders>
              <w:top w:val="single" w:sz="8" w:color="auto"/>
            </w:tcBorders>
          </w:tcPr>
          <w:p>
            <w:pPr>
              <w:jc w:val="right"/>
              <w:ind w:right="16"/>
              <w:spacing w:after="0" w:line="13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tcBorders>
              <w:top w:val="single" w:sz="8" w:color="auto"/>
            </w:tcBorders>
          </w:tcPr>
          <w:p>
            <w:pPr>
              <w:ind w:left="320"/>
              <w:spacing w:after="0" w:line="133" w:lineRule="exact"/>
              <w:rPr>
                <w:sz w:val="20"/>
                <w:szCs w:val="20"/>
                <w:color w:val="auto"/>
              </w:rPr>
            </w:pPr>
            <w:r>
              <w:rPr>
                <w:rFonts w:ascii="Arial" w:cs="Arial" w:eastAsia="Arial" w:hAnsi="Arial"/>
                <w:sz w:val="13"/>
                <w:szCs w:val="13"/>
                <w:color w:val="auto"/>
                <w:w w:val="93"/>
              </w:rPr>
              <w:t>300,000</w:t>
            </w:r>
          </w:p>
        </w:tc>
        <w:tc>
          <w:tcPr>
            <w:tcW w:w="180" w:type="dxa"/>
            <w:vAlign w:val="bottom"/>
          </w:tcPr>
          <w:p>
            <w:pPr>
              <w:spacing w:after="0"/>
              <w:rPr>
                <w:sz w:val="11"/>
                <w:szCs w:val="11"/>
                <w:color w:val="auto"/>
              </w:rPr>
            </w:pPr>
          </w:p>
        </w:tc>
        <w:tc>
          <w:tcPr>
            <w:tcW w:w="640" w:type="dxa"/>
            <w:vAlign w:val="bottom"/>
            <w:tcBorders>
              <w:top w:val="single" w:sz="8" w:color="auto"/>
            </w:tcBorders>
          </w:tcPr>
          <w:p>
            <w:pPr>
              <w:ind w:left="240"/>
              <w:spacing w:after="0" w:line="133" w:lineRule="exact"/>
              <w:rPr>
                <w:sz w:val="20"/>
                <w:szCs w:val="20"/>
                <w:color w:val="auto"/>
              </w:rPr>
            </w:pPr>
            <w:r>
              <w:rPr>
                <w:rFonts w:ascii="Arial" w:cs="Arial" w:eastAsia="Arial" w:hAnsi="Arial"/>
                <w:sz w:val="13"/>
                <w:szCs w:val="13"/>
                <w:color w:val="auto"/>
                <w:w w:val="95"/>
              </w:rPr>
              <w:t>33.140</w:t>
            </w:r>
          </w:p>
        </w:tc>
        <w:tc>
          <w:tcPr>
            <w:tcW w:w="180" w:type="dxa"/>
            <w:vAlign w:val="bottom"/>
          </w:tcPr>
          <w:p>
            <w:pPr>
              <w:spacing w:after="0"/>
              <w:rPr>
                <w:sz w:val="11"/>
                <w:szCs w:val="11"/>
                <w:color w:val="auto"/>
              </w:rPr>
            </w:pPr>
          </w:p>
        </w:tc>
        <w:tc>
          <w:tcPr>
            <w:tcW w:w="820" w:type="dxa"/>
            <w:vAlign w:val="bottom"/>
            <w:tcBorders>
              <w:top w:val="single" w:sz="8" w:color="auto"/>
            </w:tcBorders>
          </w:tcPr>
          <w:p>
            <w:pPr>
              <w:ind w:left="180"/>
              <w:spacing w:after="0" w:line="133" w:lineRule="exact"/>
              <w:rPr>
                <w:sz w:val="20"/>
                <w:szCs w:val="20"/>
                <w:color w:val="auto"/>
              </w:rPr>
            </w:pPr>
            <w:r>
              <w:rPr>
                <w:rFonts w:ascii="Arial" w:cs="Arial" w:eastAsia="Arial" w:hAnsi="Arial"/>
                <w:sz w:val="13"/>
                <w:szCs w:val="13"/>
                <w:color w:val="auto"/>
                <w:w w:val="95"/>
              </w:rPr>
              <w:t>05/02/2017</w:t>
            </w:r>
          </w:p>
        </w:tc>
        <w:tc>
          <w:tcPr>
            <w:tcW w:w="180" w:type="dxa"/>
            <w:vAlign w:val="bottom"/>
          </w:tcPr>
          <w:p>
            <w:pPr>
              <w:spacing w:after="0"/>
              <w:rPr>
                <w:sz w:val="11"/>
                <w:szCs w:val="11"/>
                <w:color w:val="auto"/>
              </w:rPr>
            </w:pPr>
          </w:p>
        </w:tc>
        <w:tc>
          <w:tcPr>
            <w:tcW w:w="600" w:type="dxa"/>
            <w:vAlign w:val="bottom"/>
            <w:tcBorders>
              <w:top w:val="single" w:sz="8" w:color="auto"/>
            </w:tcBorders>
          </w:tcPr>
          <w:p>
            <w:pPr>
              <w:jc w:val="right"/>
              <w:ind w:right="16"/>
              <w:spacing w:after="0" w:line="133"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00" w:type="dxa"/>
            <w:vAlign w:val="bottom"/>
            <w:tcBorders>
              <w:top w:val="single" w:sz="8" w:color="auto"/>
            </w:tcBorders>
          </w:tcPr>
          <w:p>
            <w:pPr>
              <w:ind w:left="520"/>
              <w:spacing w:after="0" w:line="13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7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02/04/2008</w:t>
            </w:r>
          </w:p>
        </w:tc>
        <w:tc>
          <w:tcPr>
            <w:tcW w:w="13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524,000</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line="141" w:lineRule="exact"/>
              <w:rPr>
                <w:sz w:val="20"/>
                <w:szCs w:val="20"/>
                <w:color w:val="auto"/>
              </w:rPr>
            </w:pPr>
            <w:r>
              <w:rPr>
                <w:rFonts w:ascii="Arial" w:cs="Arial" w:eastAsia="Arial" w:hAnsi="Arial"/>
                <w:sz w:val="13"/>
                <w:szCs w:val="13"/>
                <w:color w:val="auto"/>
              </w:rPr>
              <w:t>29.485</w:t>
            </w:r>
          </w:p>
        </w:tc>
        <w:tc>
          <w:tcPr>
            <w:tcW w:w="820" w:type="dxa"/>
            <w:vAlign w:val="bottom"/>
          </w:tcPr>
          <w:p>
            <w:pPr>
              <w:ind w:left="180"/>
              <w:spacing w:after="0" w:line="141" w:lineRule="exact"/>
              <w:rPr>
                <w:sz w:val="20"/>
                <w:szCs w:val="20"/>
                <w:color w:val="auto"/>
              </w:rPr>
            </w:pPr>
            <w:r>
              <w:rPr>
                <w:rFonts w:ascii="Arial" w:cs="Arial" w:eastAsia="Arial" w:hAnsi="Arial"/>
                <w:sz w:val="13"/>
                <w:szCs w:val="13"/>
                <w:color w:val="auto"/>
                <w:w w:val="95"/>
              </w:rPr>
              <w:t>02/02/2018</w:t>
            </w: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02/20/2009</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173,300</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6,474,488</w:t>
            </w:r>
          </w:p>
        </w:tc>
        <w:tc>
          <w:tcPr>
            <w:tcW w:w="200" w:type="dxa"/>
            <w:vAlign w:val="bottom"/>
          </w:tcPr>
          <w:p>
            <w:pPr>
              <w:spacing w:after="0"/>
              <w:rPr>
                <w:sz w:val="12"/>
                <w:szCs w:val="12"/>
                <w:color w:val="auto"/>
              </w:rPr>
            </w:pP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02/20/2009</w:t>
            </w:r>
          </w:p>
        </w:tc>
        <w:tc>
          <w:tcPr>
            <w:tcW w:w="13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457,512</w:t>
            </w:r>
          </w:p>
        </w:tc>
        <w:tc>
          <w:tcPr>
            <w:tcW w:w="12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235,688</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line="141" w:lineRule="exact"/>
              <w:rPr>
                <w:sz w:val="20"/>
                <w:szCs w:val="20"/>
                <w:color w:val="auto"/>
              </w:rPr>
            </w:pPr>
            <w:r>
              <w:rPr>
                <w:rFonts w:ascii="Arial" w:cs="Arial" w:eastAsia="Arial" w:hAnsi="Arial"/>
                <w:sz w:val="13"/>
                <w:szCs w:val="13"/>
                <w:color w:val="auto"/>
              </w:rPr>
              <w:t>23.639</w:t>
            </w:r>
          </w:p>
        </w:tc>
        <w:tc>
          <w:tcPr>
            <w:tcW w:w="820" w:type="dxa"/>
            <w:vAlign w:val="bottom"/>
          </w:tcPr>
          <w:p>
            <w:pPr>
              <w:ind w:left="180"/>
              <w:spacing w:after="0" w:line="141" w:lineRule="exact"/>
              <w:rPr>
                <w:sz w:val="20"/>
                <w:szCs w:val="20"/>
                <w:color w:val="auto"/>
              </w:rPr>
            </w:pPr>
            <w:r>
              <w:rPr>
                <w:rFonts w:ascii="Arial" w:cs="Arial" w:eastAsia="Arial" w:hAnsi="Arial"/>
                <w:sz w:val="13"/>
                <w:szCs w:val="13"/>
                <w:color w:val="auto"/>
                <w:w w:val="95"/>
              </w:rPr>
              <w:t>02/20/2019</w:t>
            </w: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01/04/2010</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166,780</w:t>
            </w:r>
          </w:p>
        </w:tc>
        <w:tc>
          <w:tcPr>
            <w:tcW w:w="20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6,230,901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02/23/2010</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95,150</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3,554,804</w:t>
            </w:r>
          </w:p>
        </w:tc>
        <w:tc>
          <w:tcPr>
            <w:tcW w:w="200" w:type="dxa"/>
            <w:vAlign w:val="bottom"/>
          </w:tcPr>
          <w:p>
            <w:pPr>
              <w:spacing w:after="0"/>
              <w:rPr>
                <w:sz w:val="12"/>
                <w:szCs w:val="12"/>
                <w:color w:val="auto"/>
              </w:rPr>
            </w:pP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02/23/2010</w:t>
            </w:r>
          </w:p>
        </w:tc>
        <w:tc>
          <w:tcPr>
            <w:tcW w:w="13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188,397</w:t>
            </w:r>
          </w:p>
        </w:tc>
        <w:tc>
          <w:tcPr>
            <w:tcW w:w="12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382,503</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line="141" w:lineRule="exact"/>
              <w:rPr>
                <w:sz w:val="20"/>
                <w:szCs w:val="20"/>
                <w:color w:val="auto"/>
              </w:rPr>
            </w:pPr>
            <w:r>
              <w:rPr>
                <w:rFonts w:ascii="Arial" w:cs="Arial" w:eastAsia="Arial" w:hAnsi="Arial"/>
                <w:sz w:val="13"/>
                <w:szCs w:val="13"/>
                <w:color w:val="auto"/>
              </w:rPr>
              <w:t>29.145</w:t>
            </w:r>
          </w:p>
        </w:tc>
        <w:tc>
          <w:tcPr>
            <w:tcW w:w="820" w:type="dxa"/>
            <w:vAlign w:val="bottom"/>
          </w:tcPr>
          <w:p>
            <w:pPr>
              <w:ind w:left="180"/>
              <w:spacing w:after="0" w:line="141" w:lineRule="exact"/>
              <w:rPr>
                <w:sz w:val="20"/>
                <w:szCs w:val="20"/>
                <w:color w:val="auto"/>
              </w:rPr>
            </w:pPr>
            <w:r>
              <w:rPr>
                <w:rFonts w:ascii="Arial" w:cs="Arial" w:eastAsia="Arial" w:hAnsi="Arial"/>
                <w:sz w:val="13"/>
                <w:szCs w:val="13"/>
                <w:color w:val="auto"/>
                <w:w w:val="95"/>
              </w:rPr>
              <w:t>02/21/2020</w:t>
            </w: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01/03/2011</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155,720</w:t>
            </w:r>
          </w:p>
        </w:tc>
        <w:tc>
          <w:tcPr>
            <w:tcW w:w="20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5,817,699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83,930</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3,135,625</w:t>
            </w:r>
          </w:p>
        </w:tc>
        <w:tc>
          <w:tcPr>
            <w:tcW w:w="200" w:type="dxa"/>
            <w:vAlign w:val="bottom"/>
          </w:tcPr>
          <w:p>
            <w:pPr>
              <w:spacing w:after="0"/>
              <w:rPr>
                <w:sz w:val="12"/>
                <w:szCs w:val="12"/>
                <w:color w:val="auto"/>
              </w:rPr>
            </w:pP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503,570</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line="141" w:lineRule="exact"/>
              <w:rPr>
                <w:sz w:val="20"/>
                <w:szCs w:val="20"/>
                <w:color w:val="auto"/>
              </w:rPr>
            </w:pPr>
            <w:r>
              <w:rPr>
                <w:rFonts w:ascii="Arial" w:cs="Arial" w:eastAsia="Arial" w:hAnsi="Arial"/>
                <w:sz w:val="13"/>
                <w:szCs w:val="13"/>
                <w:color w:val="auto"/>
              </w:rPr>
              <w:t>31.825</w:t>
            </w:r>
          </w:p>
        </w:tc>
        <w:tc>
          <w:tcPr>
            <w:tcW w:w="820" w:type="dxa"/>
            <w:vAlign w:val="bottom"/>
          </w:tcPr>
          <w:p>
            <w:pPr>
              <w:ind w:left="180"/>
              <w:spacing w:after="0" w:line="141" w:lineRule="exact"/>
              <w:rPr>
                <w:sz w:val="20"/>
                <w:szCs w:val="20"/>
                <w:color w:val="auto"/>
              </w:rPr>
            </w:pPr>
            <w:r>
              <w:rPr>
                <w:rFonts w:ascii="Arial" w:cs="Arial" w:eastAsia="Arial" w:hAnsi="Arial"/>
                <w:sz w:val="13"/>
                <w:szCs w:val="13"/>
                <w:color w:val="auto"/>
                <w:w w:val="95"/>
              </w:rPr>
              <w:t>02/23/2021</w:t>
            </w: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1260" w:type="dxa"/>
            <w:vAlign w:val="bottom"/>
            <w:shd w:val="clear" w:color="auto" w:fill="D8D8D8"/>
          </w:tcPr>
          <w:p>
            <w:pPr>
              <w:spacing w:after="0"/>
              <w:rPr>
                <w:sz w:val="20"/>
                <w:szCs w:val="20"/>
                <w:color w:val="auto"/>
              </w:rPr>
            </w:pPr>
            <w:r>
              <w:rPr>
                <w:rFonts w:ascii="Arial" w:cs="Arial" w:eastAsia="Arial" w:hAnsi="Arial"/>
                <w:sz w:val="13"/>
                <w:szCs w:val="13"/>
                <w:color w:val="auto"/>
              </w:rPr>
              <w:t>Mr. Brearton</w:t>
            </w:r>
          </w:p>
        </w:tc>
        <w:tc>
          <w:tcPr>
            <w:tcW w:w="100" w:type="dxa"/>
            <w:vAlign w:val="bottom"/>
            <w:shd w:val="clear" w:color="auto" w:fill="D8D8D8"/>
          </w:tcPr>
          <w:p>
            <w:pPr>
              <w:spacing w:after="0"/>
              <w:rPr>
                <w:sz w:val="17"/>
                <w:szCs w:val="17"/>
                <w:color w:val="auto"/>
              </w:rPr>
            </w:pPr>
          </w:p>
        </w:tc>
        <w:tc>
          <w:tcPr>
            <w:tcW w:w="12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02/04/2008</w:t>
            </w:r>
          </w:p>
        </w:tc>
        <w:tc>
          <w:tcPr>
            <w:tcW w:w="1340" w:type="dxa"/>
            <w:vAlign w:val="bottom"/>
            <w:gridSpan w:val="3"/>
            <w:shd w:val="clear" w:color="auto" w:fill="D8D8D8"/>
          </w:tcPr>
          <w:p>
            <w:pPr>
              <w:jc w:val="right"/>
              <w:ind w:right="100"/>
              <w:spacing w:after="0"/>
              <w:rPr>
                <w:sz w:val="20"/>
                <w:szCs w:val="20"/>
                <w:color w:val="auto"/>
              </w:rPr>
            </w:pPr>
            <w:r>
              <w:rPr>
                <w:rFonts w:ascii="Arial" w:cs="Arial" w:eastAsia="Arial" w:hAnsi="Arial"/>
                <w:sz w:val="13"/>
                <w:szCs w:val="13"/>
                <w:color w:val="auto"/>
              </w:rPr>
              <w:t>50,880</w:t>
            </w:r>
          </w:p>
        </w:tc>
        <w:tc>
          <w:tcPr>
            <w:tcW w:w="1240" w:type="dxa"/>
            <w:vAlign w:val="bottom"/>
            <w:gridSpan w:val="2"/>
            <w:shd w:val="clear" w:color="auto" w:fill="D8D8D8"/>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gridSpan w:val="3"/>
            <w:shd w:val="clear" w:color="auto" w:fill="D8D8D8"/>
          </w:tcPr>
          <w:p>
            <w:pPr>
              <w:ind w:left="420"/>
              <w:spacing w:after="0"/>
              <w:rPr>
                <w:sz w:val="20"/>
                <w:szCs w:val="20"/>
                <w:color w:val="auto"/>
              </w:rPr>
            </w:pPr>
            <w:r>
              <w:rPr>
                <w:rFonts w:ascii="Arial" w:cs="Arial" w:eastAsia="Arial" w:hAnsi="Arial"/>
                <w:sz w:val="13"/>
                <w:szCs w:val="13"/>
                <w:color w:val="auto"/>
              </w:rPr>
              <w:t>29.485</w:t>
            </w:r>
          </w:p>
        </w:tc>
        <w:tc>
          <w:tcPr>
            <w:tcW w:w="820" w:type="dxa"/>
            <w:vAlign w:val="bottom"/>
            <w:shd w:val="clear" w:color="auto" w:fill="D8D8D8"/>
          </w:tcPr>
          <w:p>
            <w:pPr>
              <w:ind w:left="180"/>
              <w:spacing w:after="0"/>
              <w:rPr>
                <w:sz w:val="20"/>
                <w:szCs w:val="20"/>
                <w:color w:val="auto"/>
              </w:rPr>
            </w:pPr>
            <w:r>
              <w:rPr>
                <w:rFonts w:ascii="Arial" w:cs="Arial" w:eastAsia="Arial" w:hAnsi="Arial"/>
                <w:sz w:val="13"/>
                <w:szCs w:val="13"/>
                <w:color w:val="auto"/>
                <w:w w:val="95"/>
              </w:rPr>
              <w:t>02/02/2018</w:t>
            </w:r>
          </w:p>
        </w:tc>
        <w:tc>
          <w:tcPr>
            <w:tcW w:w="180" w:type="dxa"/>
            <w:vAlign w:val="bottom"/>
            <w:shd w:val="clear" w:color="auto" w:fill="D8D8D8"/>
          </w:tcPr>
          <w:p>
            <w:pPr>
              <w:spacing w:after="0"/>
              <w:rPr>
                <w:sz w:val="17"/>
                <w:szCs w:val="17"/>
                <w:color w:val="auto"/>
              </w:rPr>
            </w:pPr>
          </w:p>
        </w:tc>
        <w:tc>
          <w:tcPr>
            <w:tcW w:w="780" w:type="dxa"/>
            <w:vAlign w:val="bottom"/>
            <w:gridSpan w:val="2"/>
            <w:shd w:val="clear" w:color="auto" w:fill="D8D8D8"/>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02/20/2009</w:t>
            </w:r>
          </w:p>
        </w:tc>
        <w:tc>
          <w:tcPr>
            <w:tcW w:w="10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15,870</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592,903</w:t>
            </w:r>
          </w:p>
        </w:tc>
        <w:tc>
          <w:tcPr>
            <w:tcW w:w="200" w:type="dxa"/>
            <w:vAlign w:val="bottom"/>
            <w:shd w:val="clear" w:color="auto" w:fill="D8D8D8"/>
          </w:tcPr>
          <w:p>
            <w:pPr>
              <w:spacing w:after="0"/>
              <w:rPr>
                <w:sz w:val="12"/>
                <w:szCs w:val="12"/>
                <w:color w:val="auto"/>
              </w:rPr>
            </w:pP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02/20/2009</w:t>
            </w:r>
          </w:p>
        </w:tc>
        <w:tc>
          <w:tcPr>
            <w:tcW w:w="10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41,896</w:t>
            </w:r>
          </w:p>
        </w:tc>
        <w:tc>
          <w:tcPr>
            <w:tcW w:w="124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21,584</w:t>
            </w: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D8D8D8"/>
          </w:tcPr>
          <w:p>
            <w:pPr>
              <w:ind w:left="420"/>
              <w:spacing w:after="0" w:line="141" w:lineRule="exact"/>
              <w:rPr>
                <w:sz w:val="20"/>
                <w:szCs w:val="20"/>
                <w:color w:val="auto"/>
              </w:rPr>
            </w:pPr>
            <w:r>
              <w:rPr>
                <w:rFonts w:ascii="Arial" w:cs="Arial" w:eastAsia="Arial" w:hAnsi="Arial"/>
                <w:sz w:val="13"/>
                <w:szCs w:val="13"/>
                <w:color w:val="auto"/>
              </w:rPr>
              <w:t>23.639</w:t>
            </w:r>
          </w:p>
        </w:tc>
        <w:tc>
          <w:tcPr>
            <w:tcW w:w="820" w:type="dxa"/>
            <w:vAlign w:val="bottom"/>
            <w:shd w:val="clear" w:color="auto" w:fill="D8D8D8"/>
          </w:tcPr>
          <w:p>
            <w:pPr>
              <w:ind w:left="180"/>
              <w:spacing w:after="0" w:line="141" w:lineRule="exact"/>
              <w:rPr>
                <w:sz w:val="20"/>
                <w:szCs w:val="20"/>
                <w:color w:val="auto"/>
              </w:rPr>
            </w:pPr>
            <w:r>
              <w:rPr>
                <w:rFonts w:ascii="Arial" w:cs="Arial" w:eastAsia="Arial" w:hAnsi="Arial"/>
                <w:sz w:val="13"/>
                <w:szCs w:val="13"/>
                <w:color w:val="auto"/>
                <w:w w:val="95"/>
              </w:rPr>
              <w:t>02/20/2019</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01/04/2010</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jc w:val="right"/>
              <w:ind w:right="200"/>
              <w:spacing w:after="0" w:line="141" w:lineRule="exact"/>
              <w:rPr>
                <w:sz w:val="20"/>
                <w:szCs w:val="20"/>
                <w:color w:val="auto"/>
              </w:rPr>
            </w:pPr>
            <w:r>
              <w:rPr>
                <w:rFonts w:ascii="Arial" w:cs="Arial" w:eastAsia="Arial" w:hAnsi="Arial"/>
                <w:sz w:val="13"/>
                <w:szCs w:val="13"/>
                <w:color w:val="auto"/>
              </w:rPr>
              <w:t>15,250</w:t>
            </w:r>
          </w:p>
        </w:tc>
        <w:tc>
          <w:tcPr>
            <w:tcW w:w="84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569,740</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02/23/2010</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8,580</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320,549</w:t>
            </w:r>
          </w:p>
        </w:tc>
        <w:tc>
          <w:tcPr>
            <w:tcW w:w="200" w:type="dxa"/>
            <w:vAlign w:val="bottom"/>
            <w:shd w:val="clear" w:color="auto" w:fill="D8D8D8"/>
          </w:tcPr>
          <w:p>
            <w:pPr>
              <w:spacing w:after="0"/>
              <w:rPr>
                <w:sz w:val="12"/>
                <w:szCs w:val="12"/>
                <w:color w:val="auto"/>
              </w:rPr>
            </w:pP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02/23/2010</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16,988</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34,492</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D8D8D8"/>
          </w:tcPr>
          <w:p>
            <w:pPr>
              <w:ind w:left="420"/>
              <w:spacing w:after="0" w:line="141" w:lineRule="exact"/>
              <w:rPr>
                <w:sz w:val="20"/>
                <w:szCs w:val="20"/>
                <w:color w:val="auto"/>
              </w:rPr>
            </w:pPr>
            <w:r>
              <w:rPr>
                <w:rFonts w:ascii="Arial" w:cs="Arial" w:eastAsia="Arial" w:hAnsi="Arial"/>
                <w:sz w:val="13"/>
                <w:szCs w:val="13"/>
                <w:color w:val="auto"/>
              </w:rPr>
              <w:t>29.145</w:t>
            </w:r>
          </w:p>
        </w:tc>
        <w:tc>
          <w:tcPr>
            <w:tcW w:w="820" w:type="dxa"/>
            <w:vAlign w:val="bottom"/>
            <w:shd w:val="clear" w:color="auto" w:fill="D8D8D8"/>
          </w:tcPr>
          <w:p>
            <w:pPr>
              <w:ind w:left="180"/>
              <w:spacing w:after="0" w:line="141" w:lineRule="exact"/>
              <w:rPr>
                <w:sz w:val="20"/>
                <w:szCs w:val="20"/>
                <w:color w:val="auto"/>
              </w:rPr>
            </w:pPr>
            <w:r>
              <w:rPr>
                <w:rFonts w:ascii="Arial" w:cs="Arial" w:eastAsia="Arial" w:hAnsi="Arial"/>
                <w:sz w:val="13"/>
                <w:szCs w:val="13"/>
                <w:color w:val="auto"/>
                <w:w w:val="95"/>
              </w:rPr>
              <w:t>02/21/2020</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01/03/2011</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jc w:val="right"/>
              <w:ind w:right="200"/>
              <w:spacing w:after="0" w:line="141" w:lineRule="exact"/>
              <w:rPr>
                <w:sz w:val="20"/>
                <w:szCs w:val="20"/>
                <w:color w:val="auto"/>
              </w:rPr>
            </w:pPr>
            <w:r>
              <w:rPr>
                <w:rFonts w:ascii="Arial" w:cs="Arial" w:eastAsia="Arial" w:hAnsi="Arial"/>
                <w:sz w:val="13"/>
                <w:szCs w:val="13"/>
                <w:color w:val="auto"/>
              </w:rPr>
              <w:t>13,580</w:t>
            </w:r>
          </w:p>
        </w:tc>
        <w:tc>
          <w:tcPr>
            <w:tcW w:w="84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507,349</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7,860</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293,650</w:t>
            </w:r>
          </w:p>
        </w:tc>
        <w:tc>
          <w:tcPr>
            <w:tcW w:w="200" w:type="dxa"/>
            <w:vAlign w:val="bottom"/>
            <w:shd w:val="clear" w:color="auto" w:fill="D8D8D8"/>
          </w:tcPr>
          <w:p>
            <w:pPr>
              <w:spacing w:after="0"/>
              <w:rPr>
                <w:sz w:val="12"/>
                <w:szCs w:val="12"/>
                <w:color w:val="auto"/>
              </w:rPr>
            </w:pP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47,140</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D8D8D8"/>
          </w:tcPr>
          <w:p>
            <w:pPr>
              <w:ind w:left="420"/>
              <w:spacing w:after="0" w:line="141" w:lineRule="exact"/>
              <w:rPr>
                <w:sz w:val="20"/>
                <w:szCs w:val="20"/>
                <w:color w:val="auto"/>
              </w:rPr>
            </w:pPr>
            <w:r>
              <w:rPr>
                <w:rFonts w:ascii="Arial" w:cs="Arial" w:eastAsia="Arial" w:hAnsi="Arial"/>
                <w:sz w:val="13"/>
                <w:szCs w:val="13"/>
                <w:color w:val="auto"/>
              </w:rPr>
              <w:t>31.825</w:t>
            </w:r>
          </w:p>
        </w:tc>
        <w:tc>
          <w:tcPr>
            <w:tcW w:w="820" w:type="dxa"/>
            <w:vAlign w:val="bottom"/>
            <w:shd w:val="clear" w:color="auto" w:fill="D8D8D8"/>
          </w:tcPr>
          <w:p>
            <w:pPr>
              <w:ind w:left="180"/>
              <w:spacing w:after="0" w:line="141" w:lineRule="exact"/>
              <w:rPr>
                <w:sz w:val="20"/>
                <w:szCs w:val="20"/>
                <w:color w:val="auto"/>
              </w:rPr>
            </w:pPr>
            <w:r>
              <w:rPr>
                <w:rFonts w:ascii="Arial" w:cs="Arial" w:eastAsia="Arial" w:hAnsi="Arial"/>
                <w:sz w:val="13"/>
                <w:szCs w:val="13"/>
                <w:color w:val="auto"/>
                <w:w w:val="95"/>
              </w:rPr>
              <w:t>02/23/2021</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05/09/2011</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5,900</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220,424</w:t>
            </w:r>
          </w:p>
        </w:tc>
        <w:tc>
          <w:tcPr>
            <w:tcW w:w="200" w:type="dxa"/>
            <w:vAlign w:val="bottom"/>
            <w:shd w:val="clear" w:color="auto" w:fill="D8D8D8"/>
          </w:tcPr>
          <w:p>
            <w:pPr>
              <w:spacing w:after="0"/>
              <w:rPr>
                <w:sz w:val="12"/>
                <w:szCs w:val="12"/>
                <w:color w:val="auto"/>
              </w:rPr>
            </w:pP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05/09/2011</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35,350</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D8D8D8"/>
          </w:tcPr>
          <w:p>
            <w:pPr>
              <w:ind w:left="420"/>
              <w:spacing w:after="0" w:line="141" w:lineRule="exact"/>
              <w:rPr>
                <w:sz w:val="20"/>
                <w:szCs w:val="20"/>
                <w:color w:val="auto"/>
              </w:rPr>
            </w:pPr>
            <w:r>
              <w:rPr>
                <w:rFonts w:ascii="Arial" w:cs="Arial" w:eastAsia="Arial" w:hAnsi="Arial"/>
                <w:sz w:val="13"/>
                <w:szCs w:val="13"/>
                <w:color w:val="auto"/>
              </w:rPr>
              <w:t>33.950</w:t>
            </w:r>
          </w:p>
        </w:tc>
        <w:tc>
          <w:tcPr>
            <w:tcW w:w="820" w:type="dxa"/>
            <w:vAlign w:val="bottom"/>
            <w:shd w:val="clear" w:color="auto" w:fill="D8D8D8"/>
          </w:tcPr>
          <w:p>
            <w:pPr>
              <w:ind w:left="180"/>
              <w:spacing w:after="0" w:line="141" w:lineRule="exact"/>
              <w:rPr>
                <w:sz w:val="20"/>
                <w:szCs w:val="20"/>
                <w:color w:val="auto"/>
              </w:rPr>
            </w:pPr>
            <w:r>
              <w:rPr>
                <w:rFonts w:ascii="Arial" w:cs="Arial" w:eastAsia="Arial" w:hAnsi="Arial"/>
                <w:sz w:val="13"/>
                <w:szCs w:val="13"/>
                <w:color w:val="auto"/>
                <w:w w:val="95"/>
              </w:rPr>
              <w:t>05/09/2021</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3"/>
                <w:szCs w:val="13"/>
                <w:color w:val="auto"/>
              </w:rPr>
              <w:t>Mr. McLevish</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02/04/2008</w:t>
            </w:r>
          </w:p>
        </w:tc>
        <w:tc>
          <w:tcPr>
            <w:tcW w:w="1340" w:type="dxa"/>
            <w:vAlign w:val="bottom"/>
            <w:gridSpan w:val="3"/>
          </w:tcPr>
          <w:p>
            <w:pPr>
              <w:jc w:val="right"/>
              <w:ind w:right="100"/>
              <w:spacing w:after="0"/>
              <w:rPr>
                <w:sz w:val="20"/>
                <w:szCs w:val="20"/>
                <w:color w:val="auto"/>
              </w:rPr>
            </w:pPr>
            <w:r>
              <w:rPr>
                <w:rFonts w:ascii="Arial" w:cs="Arial" w:eastAsia="Arial" w:hAnsi="Arial"/>
                <w:sz w:val="13"/>
                <w:szCs w:val="13"/>
                <w:color w:val="auto"/>
              </w:rPr>
              <w:t>95,000</w:t>
            </w: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rPr>
                <w:sz w:val="20"/>
                <w:szCs w:val="20"/>
                <w:color w:val="auto"/>
              </w:rPr>
            </w:pPr>
            <w:r>
              <w:rPr>
                <w:rFonts w:ascii="Arial" w:cs="Arial" w:eastAsia="Arial" w:hAnsi="Arial"/>
                <w:sz w:val="13"/>
                <w:szCs w:val="13"/>
                <w:color w:val="auto"/>
              </w:rPr>
              <w:t>29.485</w:t>
            </w:r>
          </w:p>
        </w:tc>
        <w:tc>
          <w:tcPr>
            <w:tcW w:w="820" w:type="dxa"/>
            <w:vAlign w:val="bottom"/>
          </w:tcPr>
          <w:p>
            <w:pPr>
              <w:ind w:left="180"/>
              <w:spacing w:after="0"/>
              <w:rPr>
                <w:sz w:val="20"/>
                <w:szCs w:val="20"/>
                <w:color w:val="auto"/>
              </w:rPr>
            </w:pPr>
            <w:r>
              <w:rPr>
                <w:rFonts w:ascii="Arial" w:cs="Arial" w:eastAsia="Arial" w:hAnsi="Arial"/>
                <w:sz w:val="13"/>
                <w:szCs w:val="13"/>
                <w:color w:val="auto"/>
                <w:w w:val="95"/>
              </w:rPr>
              <w:t>02/02/2018</w:t>
            </w:r>
          </w:p>
        </w:tc>
        <w:tc>
          <w:tcPr>
            <w:tcW w:w="1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02/20/2009</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37,020</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1,383,067</w:t>
            </w:r>
          </w:p>
        </w:tc>
        <w:tc>
          <w:tcPr>
            <w:tcW w:w="200" w:type="dxa"/>
            <w:vAlign w:val="bottom"/>
          </w:tcPr>
          <w:p>
            <w:pPr>
              <w:spacing w:after="0"/>
              <w:rPr>
                <w:sz w:val="12"/>
                <w:szCs w:val="12"/>
                <w:color w:val="auto"/>
              </w:rPr>
            </w:pP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02/20/2009</w:t>
            </w:r>
          </w:p>
        </w:tc>
        <w:tc>
          <w:tcPr>
            <w:tcW w:w="13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97,732</w:t>
            </w:r>
          </w:p>
        </w:tc>
        <w:tc>
          <w:tcPr>
            <w:tcW w:w="12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50,348</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line="141" w:lineRule="exact"/>
              <w:rPr>
                <w:sz w:val="20"/>
                <w:szCs w:val="20"/>
                <w:color w:val="auto"/>
              </w:rPr>
            </w:pPr>
            <w:r>
              <w:rPr>
                <w:rFonts w:ascii="Arial" w:cs="Arial" w:eastAsia="Arial" w:hAnsi="Arial"/>
                <w:sz w:val="13"/>
                <w:szCs w:val="13"/>
                <w:color w:val="auto"/>
              </w:rPr>
              <w:t>23.639</w:t>
            </w:r>
          </w:p>
        </w:tc>
        <w:tc>
          <w:tcPr>
            <w:tcW w:w="820" w:type="dxa"/>
            <w:vAlign w:val="bottom"/>
          </w:tcPr>
          <w:p>
            <w:pPr>
              <w:ind w:left="180"/>
              <w:spacing w:after="0" w:line="141" w:lineRule="exact"/>
              <w:rPr>
                <w:sz w:val="20"/>
                <w:szCs w:val="20"/>
                <w:color w:val="auto"/>
              </w:rPr>
            </w:pPr>
            <w:r>
              <w:rPr>
                <w:rFonts w:ascii="Arial" w:cs="Arial" w:eastAsia="Arial" w:hAnsi="Arial"/>
                <w:sz w:val="13"/>
                <w:szCs w:val="13"/>
                <w:color w:val="auto"/>
                <w:w w:val="95"/>
              </w:rPr>
              <w:t>02/20/2019</w:t>
            </w: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01/04/2010</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43,550</w:t>
            </w: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1,627,028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02/23/2010</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25,740</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961,646</w:t>
            </w:r>
          </w:p>
        </w:tc>
        <w:tc>
          <w:tcPr>
            <w:tcW w:w="200" w:type="dxa"/>
            <w:vAlign w:val="bottom"/>
          </w:tcPr>
          <w:p>
            <w:pPr>
              <w:spacing w:after="0"/>
              <w:rPr>
                <w:sz w:val="12"/>
                <w:szCs w:val="12"/>
                <w:color w:val="auto"/>
              </w:rPr>
            </w:pP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02/23/2010</w:t>
            </w:r>
          </w:p>
        </w:tc>
        <w:tc>
          <w:tcPr>
            <w:tcW w:w="13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50,965</w:t>
            </w:r>
          </w:p>
        </w:tc>
        <w:tc>
          <w:tcPr>
            <w:tcW w:w="12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103,475</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line="141" w:lineRule="exact"/>
              <w:rPr>
                <w:sz w:val="20"/>
                <w:szCs w:val="20"/>
                <w:color w:val="auto"/>
              </w:rPr>
            </w:pPr>
            <w:r>
              <w:rPr>
                <w:rFonts w:ascii="Arial" w:cs="Arial" w:eastAsia="Arial" w:hAnsi="Arial"/>
                <w:sz w:val="13"/>
                <w:szCs w:val="13"/>
                <w:color w:val="auto"/>
              </w:rPr>
              <w:t>29.145</w:t>
            </w:r>
          </w:p>
        </w:tc>
        <w:tc>
          <w:tcPr>
            <w:tcW w:w="820" w:type="dxa"/>
            <w:vAlign w:val="bottom"/>
          </w:tcPr>
          <w:p>
            <w:pPr>
              <w:ind w:left="180"/>
              <w:spacing w:after="0" w:line="141" w:lineRule="exact"/>
              <w:rPr>
                <w:sz w:val="20"/>
                <w:szCs w:val="20"/>
                <w:color w:val="auto"/>
              </w:rPr>
            </w:pPr>
            <w:r>
              <w:rPr>
                <w:rFonts w:ascii="Arial" w:cs="Arial" w:eastAsia="Arial" w:hAnsi="Arial"/>
                <w:sz w:val="13"/>
                <w:szCs w:val="13"/>
                <w:color w:val="auto"/>
                <w:w w:val="95"/>
              </w:rPr>
              <w:t>02/21/2020</w:t>
            </w: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01/03/2011</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40,330</w:t>
            </w: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1,506,729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23,570</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880,575</w:t>
            </w:r>
          </w:p>
        </w:tc>
        <w:tc>
          <w:tcPr>
            <w:tcW w:w="200" w:type="dxa"/>
            <w:vAlign w:val="bottom"/>
          </w:tcPr>
          <w:p>
            <w:pPr>
              <w:spacing w:after="0"/>
              <w:rPr>
                <w:sz w:val="12"/>
                <w:szCs w:val="12"/>
                <w:color w:val="auto"/>
              </w:rPr>
            </w:pP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141,400</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line="141" w:lineRule="exact"/>
              <w:rPr>
                <w:sz w:val="20"/>
                <w:szCs w:val="20"/>
                <w:color w:val="auto"/>
              </w:rPr>
            </w:pPr>
            <w:r>
              <w:rPr>
                <w:rFonts w:ascii="Arial" w:cs="Arial" w:eastAsia="Arial" w:hAnsi="Arial"/>
                <w:sz w:val="13"/>
                <w:szCs w:val="13"/>
                <w:color w:val="auto"/>
              </w:rPr>
              <w:t>31.825</w:t>
            </w:r>
          </w:p>
        </w:tc>
        <w:tc>
          <w:tcPr>
            <w:tcW w:w="820" w:type="dxa"/>
            <w:vAlign w:val="bottom"/>
          </w:tcPr>
          <w:p>
            <w:pPr>
              <w:ind w:left="180"/>
              <w:spacing w:after="0" w:line="141" w:lineRule="exact"/>
              <w:rPr>
                <w:sz w:val="20"/>
                <w:szCs w:val="20"/>
                <w:color w:val="auto"/>
              </w:rPr>
            </w:pPr>
            <w:r>
              <w:rPr>
                <w:rFonts w:ascii="Arial" w:cs="Arial" w:eastAsia="Arial" w:hAnsi="Arial"/>
                <w:sz w:val="13"/>
                <w:szCs w:val="13"/>
                <w:color w:val="auto"/>
                <w:w w:val="95"/>
              </w:rPr>
              <w:t>02/23/2021</w:t>
            </w: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1260" w:type="dxa"/>
            <w:vAlign w:val="bottom"/>
            <w:shd w:val="clear" w:color="auto" w:fill="D8D8D8"/>
          </w:tcPr>
          <w:p>
            <w:pPr>
              <w:spacing w:after="0"/>
              <w:rPr>
                <w:sz w:val="20"/>
                <w:szCs w:val="20"/>
                <w:color w:val="auto"/>
              </w:rPr>
            </w:pPr>
            <w:r>
              <w:rPr>
                <w:rFonts w:ascii="Arial" w:cs="Arial" w:eastAsia="Arial" w:hAnsi="Arial"/>
                <w:sz w:val="13"/>
                <w:szCs w:val="13"/>
                <w:color w:val="auto"/>
              </w:rPr>
              <w:t>Mr. Khosla</w:t>
            </w:r>
          </w:p>
        </w:tc>
        <w:tc>
          <w:tcPr>
            <w:tcW w:w="100" w:type="dxa"/>
            <w:vAlign w:val="bottom"/>
            <w:shd w:val="clear" w:color="auto" w:fill="D8D8D8"/>
          </w:tcPr>
          <w:p>
            <w:pPr>
              <w:spacing w:after="0"/>
              <w:rPr>
                <w:sz w:val="17"/>
                <w:szCs w:val="17"/>
                <w:color w:val="auto"/>
              </w:rPr>
            </w:pPr>
          </w:p>
        </w:tc>
        <w:tc>
          <w:tcPr>
            <w:tcW w:w="1260" w:type="dxa"/>
            <w:vAlign w:val="bottom"/>
            <w:shd w:val="clear" w:color="auto" w:fill="D8D8D8"/>
          </w:tcPr>
          <w:p>
            <w:pPr>
              <w:jc w:val="right"/>
              <w:spacing w:after="0"/>
              <w:rPr>
                <w:sz w:val="20"/>
                <w:szCs w:val="20"/>
                <w:color w:val="auto"/>
              </w:rPr>
            </w:pPr>
            <w:r>
              <w:rPr>
                <w:rFonts w:ascii="Arial" w:cs="Arial" w:eastAsia="Arial" w:hAnsi="Arial"/>
                <w:sz w:val="13"/>
                <w:szCs w:val="13"/>
                <w:color w:val="auto"/>
              </w:rPr>
              <w:t>02/04/2008</w:t>
            </w:r>
          </w:p>
        </w:tc>
        <w:tc>
          <w:tcPr>
            <w:tcW w:w="1340" w:type="dxa"/>
            <w:vAlign w:val="bottom"/>
            <w:gridSpan w:val="3"/>
            <w:shd w:val="clear" w:color="auto" w:fill="D8D8D8"/>
          </w:tcPr>
          <w:p>
            <w:pPr>
              <w:jc w:val="right"/>
              <w:ind w:right="100"/>
              <w:spacing w:after="0"/>
              <w:rPr>
                <w:sz w:val="20"/>
                <w:szCs w:val="20"/>
                <w:color w:val="auto"/>
              </w:rPr>
            </w:pPr>
            <w:r>
              <w:rPr>
                <w:rFonts w:ascii="Arial" w:cs="Arial" w:eastAsia="Arial" w:hAnsi="Arial"/>
                <w:sz w:val="13"/>
                <w:szCs w:val="13"/>
                <w:color w:val="auto"/>
              </w:rPr>
              <w:t>62,760</w:t>
            </w:r>
          </w:p>
        </w:tc>
        <w:tc>
          <w:tcPr>
            <w:tcW w:w="1240" w:type="dxa"/>
            <w:vAlign w:val="bottom"/>
            <w:gridSpan w:val="2"/>
            <w:shd w:val="clear" w:color="auto" w:fill="D8D8D8"/>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gridSpan w:val="3"/>
            <w:shd w:val="clear" w:color="auto" w:fill="D8D8D8"/>
          </w:tcPr>
          <w:p>
            <w:pPr>
              <w:ind w:left="420"/>
              <w:spacing w:after="0"/>
              <w:rPr>
                <w:sz w:val="20"/>
                <w:szCs w:val="20"/>
                <w:color w:val="auto"/>
              </w:rPr>
            </w:pPr>
            <w:r>
              <w:rPr>
                <w:rFonts w:ascii="Arial" w:cs="Arial" w:eastAsia="Arial" w:hAnsi="Arial"/>
                <w:sz w:val="13"/>
                <w:szCs w:val="13"/>
                <w:color w:val="auto"/>
              </w:rPr>
              <w:t>29.485</w:t>
            </w:r>
          </w:p>
        </w:tc>
        <w:tc>
          <w:tcPr>
            <w:tcW w:w="820" w:type="dxa"/>
            <w:vAlign w:val="bottom"/>
            <w:shd w:val="clear" w:color="auto" w:fill="D8D8D8"/>
          </w:tcPr>
          <w:p>
            <w:pPr>
              <w:ind w:left="180"/>
              <w:spacing w:after="0"/>
              <w:rPr>
                <w:sz w:val="20"/>
                <w:szCs w:val="20"/>
                <w:color w:val="auto"/>
              </w:rPr>
            </w:pPr>
            <w:r>
              <w:rPr>
                <w:rFonts w:ascii="Arial" w:cs="Arial" w:eastAsia="Arial" w:hAnsi="Arial"/>
                <w:sz w:val="13"/>
                <w:szCs w:val="13"/>
                <w:color w:val="auto"/>
                <w:w w:val="95"/>
              </w:rPr>
              <w:t>02/02/2018</w:t>
            </w:r>
          </w:p>
        </w:tc>
        <w:tc>
          <w:tcPr>
            <w:tcW w:w="180" w:type="dxa"/>
            <w:vAlign w:val="bottom"/>
            <w:shd w:val="clear" w:color="auto" w:fill="D8D8D8"/>
          </w:tcPr>
          <w:p>
            <w:pPr>
              <w:spacing w:after="0"/>
              <w:rPr>
                <w:sz w:val="17"/>
                <w:szCs w:val="17"/>
                <w:color w:val="auto"/>
              </w:rPr>
            </w:pPr>
          </w:p>
        </w:tc>
        <w:tc>
          <w:tcPr>
            <w:tcW w:w="780" w:type="dxa"/>
            <w:vAlign w:val="bottom"/>
            <w:gridSpan w:val="2"/>
            <w:shd w:val="clear" w:color="auto" w:fill="D8D8D8"/>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02/20/2009</w:t>
            </w:r>
          </w:p>
        </w:tc>
        <w:tc>
          <w:tcPr>
            <w:tcW w:w="10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62,410</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2,331,638</w:t>
            </w:r>
          </w:p>
        </w:tc>
        <w:tc>
          <w:tcPr>
            <w:tcW w:w="200" w:type="dxa"/>
            <w:vAlign w:val="bottom"/>
            <w:shd w:val="clear" w:color="auto" w:fill="D8D8D8"/>
          </w:tcPr>
          <w:p>
            <w:pPr>
              <w:spacing w:after="0"/>
              <w:rPr>
                <w:sz w:val="12"/>
                <w:szCs w:val="12"/>
                <w:color w:val="auto"/>
              </w:rPr>
            </w:pP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02/20/2009</w:t>
            </w:r>
          </w:p>
        </w:tc>
        <w:tc>
          <w:tcPr>
            <w:tcW w:w="10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27,064</w:t>
            </w:r>
          </w:p>
        </w:tc>
        <w:tc>
          <w:tcPr>
            <w:tcW w:w="124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27,336</w:t>
            </w: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D8D8D8"/>
          </w:tcPr>
          <w:p>
            <w:pPr>
              <w:ind w:left="420"/>
              <w:spacing w:after="0" w:line="141" w:lineRule="exact"/>
              <w:rPr>
                <w:sz w:val="20"/>
                <w:szCs w:val="20"/>
                <w:color w:val="auto"/>
              </w:rPr>
            </w:pPr>
            <w:r>
              <w:rPr>
                <w:rFonts w:ascii="Arial" w:cs="Arial" w:eastAsia="Arial" w:hAnsi="Arial"/>
                <w:sz w:val="13"/>
                <w:szCs w:val="13"/>
                <w:color w:val="auto"/>
              </w:rPr>
              <w:t>23.639</w:t>
            </w:r>
          </w:p>
        </w:tc>
        <w:tc>
          <w:tcPr>
            <w:tcW w:w="820" w:type="dxa"/>
            <w:vAlign w:val="bottom"/>
            <w:shd w:val="clear" w:color="auto" w:fill="D8D8D8"/>
          </w:tcPr>
          <w:p>
            <w:pPr>
              <w:ind w:left="180"/>
              <w:spacing w:after="0" w:line="141" w:lineRule="exact"/>
              <w:rPr>
                <w:sz w:val="20"/>
                <w:szCs w:val="20"/>
                <w:color w:val="auto"/>
              </w:rPr>
            </w:pPr>
            <w:r>
              <w:rPr>
                <w:rFonts w:ascii="Arial" w:cs="Arial" w:eastAsia="Arial" w:hAnsi="Arial"/>
                <w:sz w:val="13"/>
                <w:szCs w:val="13"/>
                <w:color w:val="auto"/>
                <w:w w:val="95"/>
              </w:rPr>
              <w:t>02/20/2019</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01/04/2010</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jc w:val="right"/>
              <w:ind w:right="200"/>
              <w:spacing w:after="0" w:line="141" w:lineRule="exact"/>
              <w:rPr>
                <w:sz w:val="20"/>
                <w:szCs w:val="20"/>
                <w:color w:val="auto"/>
              </w:rPr>
            </w:pPr>
            <w:r>
              <w:rPr>
                <w:rFonts w:ascii="Arial" w:cs="Arial" w:eastAsia="Arial" w:hAnsi="Arial"/>
                <w:sz w:val="13"/>
                <w:szCs w:val="13"/>
                <w:color w:val="auto"/>
              </w:rPr>
              <w:t>34,260</w:t>
            </w:r>
          </w:p>
        </w:tc>
        <w:tc>
          <w:tcPr>
            <w:tcW w:w="7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1,279,954</w:t>
            </w: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02/23/2010</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2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14,590</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545,082</w:t>
            </w:r>
          </w:p>
        </w:tc>
        <w:tc>
          <w:tcPr>
            <w:tcW w:w="200" w:type="dxa"/>
            <w:vAlign w:val="bottom"/>
            <w:shd w:val="clear" w:color="auto" w:fill="D8D8D8"/>
          </w:tcPr>
          <w:p>
            <w:pPr>
              <w:spacing w:after="0"/>
              <w:rPr>
                <w:sz w:val="12"/>
                <w:szCs w:val="12"/>
                <w:color w:val="auto"/>
              </w:rPr>
            </w:pP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02/23/2010</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28,888</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58,652</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D8D8D8"/>
          </w:tcPr>
          <w:p>
            <w:pPr>
              <w:ind w:left="420"/>
              <w:spacing w:after="0" w:line="141" w:lineRule="exact"/>
              <w:rPr>
                <w:sz w:val="20"/>
                <w:szCs w:val="20"/>
                <w:color w:val="auto"/>
              </w:rPr>
            </w:pPr>
            <w:r>
              <w:rPr>
                <w:rFonts w:ascii="Arial" w:cs="Arial" w:eastAsia="Arial" w:hAnsi="Arial"/>
                <w:sz w:val="13"/>
                <w:szCs w:val="13"/>
                <w:color w:val="auto"/>
              </w:rPr>
              <w:t>29.145</w:t>
            </w:r>
          </w:p>
        </w:tc>
        <w:tc>
          <w:tcPr>
            <w:tcW w:w="820" w:type="dxa"/>
            <w:vAlign w:val="bottom"/>
            <w:shd w:val="clear" w:color="auto" w:fill="D8D8D8"/>
          </w:tcPr>
          <w:p>
            <w:pPr>
              <w:ind w:left="180"/>
              <w:spacing w:after="0" w:line="141" w:lineRule="exact"/>
              <w:rPr>
                <w:sz w:val="20"/>
                <w:szCs w:val="20"/>
                <w:color w:val="auto"/>
              </w:rPr>
            </w:pPr>
            <w:r>
              <w:rPr>
                <w:rFonts w:ascii="Arial" w:cs="Arial" w:eastAsia="Arial" w:hAnsi="Arial"/>
                <w:sz w:val="13"/>
                <w:szCs w:val="13"/>
                <w:color w:val="auto"/>
                <w:w w:val="95"/>
              </w:rPr>
              <w:t>02/21/2020</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01/03/2011</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jc w:val="right"/>
              <w:ind w:right="200"/>
              <w:spacing w:after="0" w:line="141" w:lineRule="exact"/>
              <w:rPr>
                <w:sz w:val="20"/>
                <w:szCs w:val="20"/>
                <w:color w:val="auto"/>
              </w:rPr>
            </w:pPr>
            <w:r>
              <w:rPr>
                <w:rFonts w:ascii="Arial" w:cs="Arial" w:eastAsia="Arial" w:hAnsi="Arial"/>
                <w:sz w:val="13"/>
                <w:szCs w:val="13"/>
                <w:color w:val="auto"/>
              </w:rPr>
              <w:t>30,430</w:t>
            </w:r>
          </w:p>
        </w:tc>
        <w:tc>
          <w:tcPr>
            <w:tcW w:w="7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1,136,865</w:t>
            </w: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D8D8D8"/>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15,720</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587,299</w:t>
            </w:r>
          </w:p>
        </w:tc>
        <w:tc>
          <w:tcPr>
            <w:tcW w:w="200" w:type="dxa"/>
            <w:vAlign w:val="bottom"/>
            <w:shd w:val="clear" w:color="auto" w:fill="D8D8D8"/>
          </w:tcPr>
          <w:p>
            <w:pPr>
              <w:spacing w:after="0"/>
              <w:rPr>
                <w:sz w:val="12"/>
                <w:szCs w:val="12"/>
                <w:color w:val="auto"/>
              </w:rPr>
            </w:pP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2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1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94,270</w:t>
            </w:r>
          </w:p>
        </w:tc>
        <w:tc>
          <w:tcPr>
            <w:tcW w:w="100" w:type="dxa"/>
            <w:vAlign w:val="bottom"/>
            <w:shd w:val="clear" w:color="auto" w:fill="D8D8D8"/>
          </w:tcPr>
          <w:p>
            <w:pPr>
              <w:spacing w:after="0"/>
              <w:rPr>
                <w:sz w:val="12"/>
                <w:szCs w:val="12"/>
                <w:color w:val="auto"/>
              </w:rPr>
            </w:pPr>
          </w:p>
        </w:tc>
        <w:tc>
          <w:tcPr>
            <w:tcW w:w="780" w:type="dxa"/>
            <w:vAlign w:val="bottom"/>
            <w:shd w:val="clear" w:color="auto" w:fill="D8D8D8"/>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D8D8D8"/>
          </w:tcPr>
          <w:p>
            <w:pPr>
              <w:ind w:left="420"/>
              <w:spacing w:after="0" w:line="141" w:lineRule="exact"/>
              <w:rPr>
                <w:sz w:val="20"/>
                <w:szCs w:val="20"/>
                <w:color w:val="auto"/>
              </w:rPr>
            </w:pPr>
            <w:r>
              <w:rPr>
                <w:rFonts w:ascii="Arial" w:cs="Arial" w:eastAsia="Arial" w:hAnsi="Arial"/>
                <w:sz w:val="13"/>
                <w:szCs w:val="13"/>
                <w:color w:val="auto"/>
              </w:rPr>
              <w:t>31.825</w:t>
            </w:r>
          </w:p>
        </w:tc>
        <w:tc>
          <w:tcPr>
            <w:tcW w:w="820" w:type="dxa"/>
            <w:vAlign w:val="bottom"/>
            <w:shd w:val="clear" w:color="auto" w:fill="D8D8D8"/>
          </w:tcPr>
          <w:p>
            <w:pPr>
              <w:ind w:left="180"/>
              <w:spacing w:after="0" w:line="141" w:lineRule="exact"/>
              <w:rPr>
                <w:sz w:val="20"/>
                <w:szCs w:val="20"/>
                <w:color w:val="auto"/>
              </w:rPr>
            </w:pPr>
            <w:r>
              <w:rPr>
                <w:rFonts w:ascii="Arial" w:cs="Arial" w:eastAsia="Arial" w:hAnsi="Arial"/>
                <w:sz w:val="13"/>
                <w:szCs w:val="13"/>
                <w:color w:val="auto"/>
                <w:w w:val="95"/>
              </w:rPr>
              <w:t>02/23/2021</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D8D8D8"/>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D8D8D8"/>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D8D8D8"/>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3"/>
                <w:szCs w:val="13"/>
                <w:color w:val="auto"/>
              </w:rPr>
              <w:t>Mr. Vernon</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08/17/2009</w:t>
            </w:r>
          </w:p>
        </w:tc>
        <w:tc>
          <w:tcPr>
            <w:tcW w:w="1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11,970</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447,199</w:t>
            </w:r>
          </w:p>
        </w:tc>
        <w:tc>
          <w:tcPr>
            <w:tcW w:w="200" w:type="dxa"/>
            <w:vAlign w:val="bottom"/>
          </w:tcPr>
          <w:p>
            <w:pPr>
              <w:spacing w:after="0"/>
              <w:rPr>
                <w:sz w:val="17"/>
                <w:szCs w:val="17"/>
                <w:color w:val="auto"/>
              </w:rPr>
            </w:pP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01/04/2010</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45,110</w:t>
            </w: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1,685,310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02/23/2010</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22,310</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833,502</w:t>
            </w:r>
          </w:p>
        </w:tc>
        <w:tc>
          <w:tcPr>
            <w:tcW w:w="200" w:type="dxa"/>
            <w:vAlign w:val="bottom"/>
          </w:tcPr>
          <w:p>
            <w:pPr>
              <w:spacing w:after="0"/>
              <w:rPr>
                <w:sz w:val="12"/>
                <w:szCs w:val="12"/>
                <w:color w:val="auto"/>
              </w:rPr>
            </w:pP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02/23/2010</w:t>
            </w:r>
          </w:p>
        </w:tc>
        <w:tc>
          <w:tcPr>
            <w:tcW w:w="13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44,173</w:t>
            </w:r>
          </w:p>
        </w:tc>
        <w:tc>
          <w:tcPr>
            <w:tcW w:w="12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89,687</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line="141" w:lineRule="exact"/>
              <w:rPr>
                <w:sz w:val="20"/>
                <w:szCs w:val="20"/>
                <w:color w:val="auto"/>
              </w:rPr>
            </w:pPr>
            <w:r>
              <w:rPr>
                <w:rFonts w:ascii="Arial" w:cs="Arial" w:eastAsia="Arial" w:hAnsi="Arial"/>
                <w:sz w:val="13"/>
                <w:szCs w:val="13"/>
                <w:color w:val="auto"/>
              </w:rPr>
              <w:t>29.145</w:t>
            </w:r>
          </w:p>
        </w:tc>
        <w:tc>
          <w:tcPr>
            <w:tcW w:w="820" w:type="dxa"/>
            <w:vAlign w:val="bottom"/>
          </w:tcPr>
          <w:p>
            <w:pPr>
              <w:ind w:left="180"/>
              <w:spacing w:after="0" w:line="141" w:lineRule="exact"/>
              <w:rPr>
                <w:sz w:val="20"/>
                <w:szCs w:val="20"/>
                <w:color w:val="auto"/>
              </w:rPr>
            </w:pPr>
            <w:r>
              <w:rPr>
                <w:rFonts w:ascii="Arial" w:cs="Arial" w:eastAsia="Arial" w:hAnsi="Arial"/>
                <w:sz w:val="13"/>
                <w:szCs w:val="13"/>
                <w:color w:val="auto"/>
                <w:w w:val="95"/>
              </w:rPr>
              <w:t>02/21/2020</w:t>
            </w:r>
          </w:p>
        </w:tc>
        <w:tc>
          <w:tcPr>
            <w:tcW w:w="180" w:type="dxa"/>
            <w:vAlign w:val="bottom"/>
          </w:tcPr>
          <w:p>
            <w:pPr>
              <w:spacing w:after="0"/>
              <w:rPr>
                <w:sz w:val="12"/>
                <w:szCs w:val="12"/>
                <w:color w:val="auto"/>
              </w:rPr>
            </w:pP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01/03/2011</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40,330</w:t>
            </w: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1,506,729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260" w:type="dxa"/>
            <w:vAlign w:val="bottom"/>
          </w:tcPr>
          <w:p>
            <w:pPr>
              <w:spacing w:after="0"/>
              <w:rPr>
                <w:sz w:val="12"/>
                <w:szCs w:val="12"/>
                <w:color w:val="auto"/>
              </w:rPr>
            </w:pPr>
          </w:p>
        </w:tc>
        <w:tc>
          <w:tcPr>
            <w:tcW w:w="13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tcPr>
          <w:p>
            <w:pPr>
              <w:spacing w:after="0"/>
              <w:rPr>
                <w:sz w:val="12"/>
                <w:szCs w:val="12"/>
                <w:color w:val="auto"/>
              </w:rPr>
            </w:pP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2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1000" w:type="dxa"/>
            <w:vAlign w:val="bottom"/>
            <w:gridSpan w:val="2"/>
          </w:tcPr>
          <w:p>
            <w:pPr>
              <w:ind w:left="620"/>
              <w:spacing w:after="0" w:line="141"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22,000</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821,920</w:t>
            </w:r>
          </w:p>
        </w:tc>
        <w:tc>
          <w:tcPr>
            <w:tcW w:w="200" w:type="dxa"/>
            <w:vAlign w:val="bottom"/>
          </w:tcPr>
          <w:p>
            <w:pPr>
              <w:spacing w:after="0"/>
              <w:rPr>
                <w:sz w:val="12"/>
                <w:szCs w:val="12"/>
                <w:color w:val="auto"/>
              </w:rPr>
            </w:pP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1260" w:type="dxa"/>
            <w:vAlign w:val="bottom"/>
          </w:tcPr>
          <w:p>
            <w:pPr>
              <w:spacing w:after="0"/>
              <w:rPr>
                <w:sz w:val="13"/>
                <w:szCs w:val="13"/>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02/23/2011</w:t>
            </w:r>
          </w:p>
        </w:tc>
        <w:tc>
          <w:tcPr>
            <w:tcW w:w="10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131,980</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0" w:type="dxa"/>
            <w:vAlign w:val="bottom"/>
            <w:gridSpan w:val="3"/>
          </w:tcPr>
          <w:p>
            <w:pPr>
              <w:ind w:left="420"/>
              <w:spacing w:after="0"/>
              <w:rPr>
                <w:sz w:val="20"/>
                <w:szCs w:val="20"/>
                <w:color w:val="auto"/>
              </w:rPr>
            </w:pPr>
            <w:r>
              <w:rPr>
                <w:rFonts w:ascii="Arial" w:cs="Arial" w:eastAsia="Arial" w:hAnsi="Arial"/>
                <w:sz w:val="13"/>
                <w:szCs w:val="13"/>
                <w:color w:val="auto"/>
              </w:rPr>
              <w:t>31.825</w:t>
            </w:r>
          </w:p>
        </w:tc>
        <w:tc>
          <w:tcPr>
            <w:tcW w:w="820" w:type="dxa"/>
            <w:vAlign w:val="bottom"/>
          </w:tcPr>
          <w:p>
            <w:pPr>
              <w:ind w:left="180"/>
              <w:spacing w:after="0"/>
              <w:rPr>
                <w:sz w:val="20"/>
                <w:szCs w:val="20"/>
                <w:color w:val="auto"/>
              </w:rPr>
            </w:pPr>
            <w:r>
              <w:rPr>
                <w:rFonts w:ascii="Arial" w:cs="Arial" w:eastAsia="Arial" w:hAnsi="Arial"/>
                <w:sz w:val="13"/>
                <w:szCs w:val="13"/>
                <w:color w:val="auto"/>
                <w:w w:val="95"/>
              </w:rPr>
              <w:t>02/23/2021</w:t>
            </w:r>
          </w:p>
        </w:tc>
        <w:tc>
          <w:tcPr>
            <w:tcW w:w="1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443" w:right="2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ind w:left="680"/>
              <w:spacing w:after="0"/>
              <w:rPr>
                <w:sz w:val="20"/>
                <w:szCs w:val="20"/>
                <w:color w:val="auto"/>
              </w:rPr>
            </w:pPr>
            <w:r>
              <w:rPr>
                <w:rFonts w:ascii="Arial" w:cs="Arial" w:eastAsia="Arial" w:hAnsi="Arial"/>
                <w:sz w:val="13"/>
                <w:szCs w:val="13"/>
                <w:b w:val="1"/>
                <w:bCs w:val="1"/>
                <w:color w:val="auto"/>
              </w:rPr>
              <w:t>Option Awards</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300"/>
              <w:spacing w:after="0"/>
              <w:rPr>
                <w:sz w:val="20"/>
                <w:szCs w:val="20"/>
                <w:color w:val="auto"/>
              </w:rPr>
            </w:pPr>
            <w:r>
              <w:rPr>
                <w:rFonts w:ascii="Arial" w:cs="Arial" w:eastAsia="Arial" w:hAnsi="Arial"/>
                <w:sz w:val="13"/>
                <w:szCs w:val="13"/>
                <w:b w:val="1"/>
                <w:bCs w:val="1"/>
                <w:color w:val="auto"/>
              </w:rPr>
              <w:t>Stock Awards</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center"/>
              <w:spacing w:after="0" w:line="117" w:lineRule="exact"/>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5"/>
              </w:rPr>
              <w:t>Incentive</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5"/>
              </w:rPr>
              <w:t>Equity</w:t>
            </w: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4"/>
              </w:rPr>
              <w:t>Plan</w:t>
            </w:r>
          </w:p>
        </w:tc>
        <w:tc>
          <w:tcPr>
            <w:tcW w:w="0" w:type="dxa"/>
            <w:vAlign w:val="bottom"/>
          </w:tcPr>
          <w:p>
            <w:pPr>
              <w:spacing w:after="0"/>
              <w:rPr>
                <w:sz w:val="1"/>
                <w:szCs w:val="1"/>
                <w:color w:val="auto"/>
              </w:rPr>
            </w:pPr>
          </w:p>
        </w:tc>
      </w:tr>
      <w:tr>
        <w:trPr>
          <w:trHeight w:val="90"/>
        </w:trPr>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80" w:type="dxa"/>
            <w:vAlign w:val="bottom"/>
            <w:gridSpan w:val="2"/>
            <w:vMerge w:val="restart"/>
          </w:tcPr>
          <w:p>
            <w:pPr>
              <w:jc w:val="center"/>
              <w:ind w:right="60"/>
              <w:spacing w:after="0" w:line="141"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51"/>
        </w:trPr>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gridSpan w:val="2"/>
            <w:vMerge w:val="restart"/>
          </w:tcPr>
          <w:p>
            <w:pPr>
              <w:jc w:val="center"/>
              <w:ind w:right="160"/>
              <w:spacing w:after="0" w:line="141" w:lineRule="exact"/>
              <w:rPr>
                <w:sz w:val="20"/>
                <w:szCs w:val="20"/>
                <w:color w:val="auto"/>
              </w:rPr>
            </w:pPr>
            <w:r>
              <w:rPr>
                <w:rFonts w:ascii="Arial" w:cs="Arial" w:eastAsia="Arial" w:hAnsi="Arial"/>
                <w:sz w:val="13"/>
                <w:szCs w:val="13"/>
                <w:b w:val="1"/>
                <w:bCs w:val="1"/>
                <w:color w:val="auto"/>
                <w:w w:val="95"/>
              </w:rPr>
              <w:t>Incentive</w:t>
            </w: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80"/>
        </w:trPr>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gridSpan w:val="2"/>
            <w:vMerge w:val="restart"/>
          </w:tcPr>
          <w:p>
            <w:pPr>
              <w:jc w:val="center"/>
              <w:ind w:right="160"/>
              <w:spacing w:after="0" w:line="141" w:lineRule="exact"/>
              <w:rPr>
                <w:sz w:val="20"/>
                <w:szCs w:val="20"/>
                <w:color w:val="auto"/>
              </w:rPr>
            </w:pPr>
            <w:r>
              <w:rPr>
                <w:rFonts w:ascii="Arial" w:cs="Arial" w:eastAsia="Arial" w:hAnsi="Arial"/>
                <w:sz w:val="13"/>
                <w:szCs w:val="13"/>
                <w:b w:val="1"/>
                <w:bCs w:val="1"/>
                <w:color w:val="auto"/>
                <w:w w:val="94"/>
              </w:rPr>
              <w:t>Plan</w:t>
            </w:r>
          </w:p>
        </w:tc>
        <w:tc>
          <w:tcPr>
            <w:tcW w:w="6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or</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7"/>
              </w:rPr>
              <w:t>Awards:</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ind w:left="60"/>
              <w:spacing w:after="0" w:line="141" w:lineRule="exact"/>
              <w:rPr>
                <w:sz w:val="20"/>
                <w:szCs w:val="20"/>
                <w:color w:val="auto"/>
              </w:rPr>
            </w:pPr>
            <w:r>
              <w:rPr>
                <w:rFonts w:ascii="Arial" w:cs="Arial" w:eastAsia="Arial" w:hAnsi="Arial"/>
                <w:sz w:val="13"/>
                <w:szCs w:val="13"/>
                <w:b w:val="1"/>
                <w:bCs w:val="1"/>
                <w:color w:val="auto"/>
              </w:rPr>
              <w:t>Market</w:t>
            </w: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Number</w:t>
            </w: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6"/>
              </w:rPr>
              <w:t>Payout</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5"/>
              </w:rPr>
              <w:t>Equity</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Number</w:t>
            </w:r>
          </w:p>
        </w:tc>
        <w:tc>
          <w:tcPr>
            <w:tcW w:w="7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Value</w:t>
            </w: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of</w:t>
            </w: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7"/>
              </w:rPr>
              <w:t>Value</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5"/>
              </w:rPr>
              <w:t>Incentive</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of</w:t>
            </w:r>
          </w:p>
        </w:tc>
        <w:tc>
          <w:tcPr>
            <w:tcW w:w="7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7"/>
              </w:rPr>
              <w:t>of</w:t>
            </w:r>
          </w:p>
        </w:tc>
        <w:tc>
          <w:tcPr>
            <w:tcW w:w="78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6"/>
              </w:rPr>
              <w:t>Unearned</w:t>
            </w:r>
          </w:p>
        </w:tc>
        <w:tc>
          <w:tcPr>
            <w:tcW w:w="68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7"/>
              </w:rPr>
              <w:t>of</w:t>
            </w:r>
          </w:p>
        </w:tc>
        <w:tc>
          <w:tcPr>
            <w:tcW w:w="0" w:type="dxa"/>
            <w:vAlign w:val="bottom"/>
          </w:tcPr>
          <w:p>
            <w:pPr>
              <w:spacing w:after="0"/>
              <w:rPr>
                <w:sz w:val="1"/>
                <w:szCs w:val="1"/>
                <w:color w:val="auto"/>
              </w:rPr>
            </w:pPr>
          </w:p>
        </w:tc>
      </w:tr>
      <w:tr>
        <w:trPr>
          <w:trHeight w:val="132"/>
        </w:trPr>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4"/>
              </w:rPr>
              <w:t>Plan</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w w:val="96"/>
              </w:rPr>
              <w:t>Shares</w:t>
            </w:r>
          </w:p>
        </w:tc>
        <w:tc>
          <w:tcPr>
            <w:tcW w:w="72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w w:val="96"/>
              </w:rPr>
              <w:t>Shares</w:t>
            </w:r>
          </w:p>
        </w:tc>
        <w:tc>
          <w:tcPr>
            <w:tcW w:w="780" w:type="dxa"/>
            <w:vAlign w:val="bottom"/>
            <w:gridSpan w:val="2"/>
          </w:tcPr>
          <w:p>
            <w:pPr>
              <w:jc w:val="center"/>
              <w:ind w:right="160"/>
              <w:spacing w:after="0" w:line="132" w:lineRule="exact"/>
              <w:rPr>
                <w:sz w:val="20"/>
                <w:szCs w:val="20"/>
                <w:color w:val="auto"/>
              </w:rPr>
            </w:pPr>
            <w:r>
              <w:rPr>
                <w:rFonts w:ascii="Arial" w:cs="Arial" w:eastAsia="Arial" w:hAnsi="Arial"/>
                <w:sz w:val="13"/>
                <w:szCs w:val="13"/>
                <w:b w:val="1"/>
                <w:bCs w:val="1"/>
                <w:color w:val="auto"/>
                <w:w w:val="97"/>
              </w:rPr>
              <w:t>Shares,</w:t>
            </w:r>
          </w:p>
        </w:tc>
        <w:tc>
          <w:tcPr>
            <w:tcW w:w="680" w:type="dxa"/>
            <w:vAlign w:val="bottom"/>
            <w:gridSpan w:val="2"/>
          </w:tcPr>
          <w:p>
            <w:pPr>
              <w:jc w:val="center"/>
              <w:ind w:right="60"/>
              <w:spacing w:after="0" w:line="132" w:lineRule="exact"/>
              <w:rPr>
                <w:sz w:val="20"/>
                <w:szCs w:val="20"/>
                <w:color w:val="auto"/>
              </w:rPr>
            </w:pPr>
            <w:r>
              <w:rPr>
                <w:rFonts w:ascii="Arial" w:cs="Arial" w:eastAsia="Arial" w:hAnsi="Arial"/>
                <w:sz w:val="13"/>
                <w:szCs w:val="13"/>
                <w:b w:val="1"/>
                <w:bCs w:val="1"/>
                <w:color w:val="auto"/>
                <w:w w:val="96"/>
              </w:rPr>
              <w:t>Unearned</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of</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Awards:</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1"/>
              </w:rPr>
              <w:t>or</w:t>
            </w:r>
          </w:p>
        </w:tc>
        <w:tc>
          <w:tcPr>
            <w:tcW w:w="7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or</w:t>
            </w: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8"/>
              </w:rPr>
              <w:t>Units</w:t>
            </w: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7"/>
              </w:rPr>
              <w:t>Shares,</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rPr>
              <w:t>Number</w:t>
            </w:r>
          </w:p>
        </w:tc>
        <w:tc>
          <w:tcPr>
            <w:tcW w:w="13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Securities</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8"/>
              </w:rPr>
              <w:t>Number of</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8"/>
              </w:rPr>
              <w:t>Units</w:t>
            </w:r>
          </w:p>
        </w:tc>
        <w:tc>
          <w:tcPr>
            <w:tcW w:w="7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8"/>
              </w:rPr>
              <w:t>Units</w:t>
            </w:r>
          </w:p>
        </w:tc>
        <w:tc>
          <w:tcPr>
            <w:tcW w:w="78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rPr>
              <w:t>or</w:t>
            </w:r>
          </w:p>
        </w:tc>
        <w:tc>
          <w:tcPr>
            <w:tcW w:w="68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8"/>
              </w:rPr>
              <w:t>Units</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9"/>
              </w:rPr>
              <w:t>of Securities</w:t>
            </w:r>
          </w:p>
        </w:tc>
        <w:tc>
          <w:tcPr>
            <w:tcW w:w="13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rPr>
              <w:t>Underlying</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9"/>
              </w:rPr>
              <w:t>Securities</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of</w:t>
            </w:r>
          </w:p>
        </w:tc>
        <w:tc>
          <w:tcPr>
            <w:tcW w:w="7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7"/>
              </w:rPr>
              <w:t>of</w:t>
            </w:r>
          </w:p>
        </w:tc>
        <w:tc>
          <w:tcPr>
            <w:tcW w:w="78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7"/>
              </w:rPr>
              <w:t>Other</w:t>
            </w: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7"/>
              </w:rPr>
              <w:t>or Other</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7"/>
              </w:rPr>
              <w:t>Underlying</w:t>
            </w:r>
          </w:p>
        </w:tc>
        <w:tc>
          <w:tcPr>
            <w:tcW w:w="13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2"/>
              </w:rPr>
              <w:t>Un-</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Underlying</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Stock</w:t>
            </w:r>
          </w:p>
        </w:tc>
        <w:tc>
          <w:tcPr>
            <w:tcW w:w="7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5"/>
              </w:rPr>
              <w:t>Stock</w:t>
            </w:r>
          </w:p>
        </w:tc>
        <w:tc>
          <w:tcPr>
            <w:tcW w:w="7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8"/>
              </w:rPr>
              <w:t>Rights</w:t>
            </w:r>
          </w:p>
        </w:tc>
        <w:tc>
          <w:tcPr>
            <w:tcW w:w="680" w:type="dxa"/>
            <w:vAlign w:val="bottom"/>
            <w:gridSpan w:val="2"/>
          </w:tcPr>
          <w:p>
            <w:pPr>
              <w:jc w:val="center"/>
              <w:ind w:right="80"/>
              <w:spacing w:after="0" w:line="141" w:lineRule="exact"/>
              <w:rPr>
                <w:sz w:val="20"/>
                <w:szCs w:val="20"/>
                <w:color w:val="auto"/>
              </w:rPr>
            </w:pPr>
            <w:r>
              <w:rPr>
                <w:rFonts w:ascii="Arial" w:cs="Arial" w:eastAsia="Arial" w:hAnsi="Arial"/>
                <w:sz w:val="13"/>
                <w:szCs w:val="13"/>
                <w:b w:val="1"/>
                <w:bCs w:val="1"/>
                <w:color w:val="auto"/>
                <w:w w:val="98"/>
              </w:rPr>
              <w:t>Rights</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rPr>
              <w:t>Un-</w:t>
            </w:r>
          </w:p>
        </w:tc>
        <w:tc>
          <w:tcPr>
            <w:tcW w:w="13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9"/>
              </w:rPr>
              <w:t>exercised</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rPr>
              <w:t>Un-</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That</w:t>
            </w:r>
          </w:p>
        </w:tc>
        <w:tc>
          <w:tcPr>
            <w:tcW w:w="7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4"/>
              </w:rPr>
              <w:t>That</w:t>
            </w:r>
          </w:p>
        </w:tc>
        <w:tc>
          <w:tcPr>
            <w:tcW w:w="78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4"/>
              </w:rPr>
              <w:t>That</w:t>
            </w: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4"/>
              </w:rPr>
              <w:t>That</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6"/>
              </w:rPr>
              <w:t>exercised</w:t>
            </w:r>
          </w:p>
        </w:tc>
        <w:tc>
          <w:tcPr>
            <w:tcW w:w="13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Options</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exercised</w:t>
            </w:r>
          </w:p>
        </w:tc>
        <w:tc>
          <w:tcPr>
            <w:tcW w:w="180" w:type="dxa"/>
            <w:vAlign w:val="bottom"/>
          </w:tcPr>
          <w:p>
            <w:pPr>
              <w:spacing w:after="0"/>
              <w:rPr>
                <w:sz w:val="12"/>
                <w:szCs w:val="12"/>
                <w:color w:val="auto"/>
              </w:rPr>
            </w:pPr>
          </w:p>
        </w:tc>
        <w:tc>
          <w:tcPr>
            <w:tcW w:w="7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Option</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6"/>
              </w:rPr>
              <w:t>Have</w:t>
            </w:r>
          </w:p>
        </w:tc>
        <w:tc>
          <w:tcPr>
            <w:tcW w:w="7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6"/>
              </w:rPr>
              <w:t>Have</w:t>
            </w:r>
          </w:p>
        </w:tc>
        <w:tc>
          <w:tcPr>
            <w:tcW w:w="78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6"/>
              </w:rPr>
              <w:t>Have</w:t>
            </w: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w w:val="96"/>
              </w:rPr>
              <w:t>Have</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rPr>
              <w:t>Options</w:t>
            </w:r>
          </w:p>
        </w:tc>
        <w:tc>
          <w:tcPr>
            <w:tcW w:w="13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Unexerci-</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Unearned</w:t>
            </w:r>
          </w:p>
        </w:tc>
        <w:tc>
          <w:tcPr>
            <w:tcW w:w="180" w:type="dxa"/>
            <w:vAlign w:val="bottom"/>
          </w:tcPr>
          <w:p>
            <w:pPr>
              <w:spacing w:after="0"/>
              <w:rPr>
                <w:sz w:val="12"/>
                <w:szCs w:val="12"/>
                <w:color w:val="auto"/>
              </w:rPr>
            </w:pPr>
          </w:p>
        </w:tc>
        <w:tc>
          <w:tcPr>
            <w:tcW w:w="720" w:type="dxa"/>
            <w:vAlign w:val="bottom"/>
            <w:gridSpan w:val="2"/>
          </w:tcPr>
          <w:p>
            <w:pPr>
              <w:jc w:val="right"/>
              <w:ind w:right="180"/>
              <w:spacing w:after="0" w:line="141" w:lineRule="exact"/>
              <w:rPr>
                <w:sz w:val="20"/>
                <w:szCs w:val="20"/>
                <w:color w:val="auto"/>
              </w:rPr>
            </w:pPr>
            <w:r>
              <w:rPr>
                <w:rFonts w:ascii="Arial" w:cs="Arial" w:eastAsia="Arial" w:hAnsi="Arial"/>
                <w:sz w:val="13"/>
                <w:szCs w:val="13"/>
                <w:b w:val="1"/>
                <w:bCs w:val="1"/>
                <w:color w:val="auto"/>
                <w:w w:val="97"/>
              </w:rPr>
              <w:t>Exercise</w:t>
            </w:r>
          </w:p>
        </w:tc>
        <w:tc>
          <w:tcPr>
            <w:tcW w:w="880" w:type="dxa"/>
            <w:vAlign w:val="bottom"/>
            <w:gridSpan w:val="2"/>
          </w:tcPr>
          <w:p>
            <w:pPr>
              <w:ind w:left="140"/>
              <w:spacing w:after="0" w:line="141" w:lineRule="exact"/>
              <w:rPr>
                <w:sz w:val="20"/>
                <w:szCs w:val="20"/>
                <w:color w:val="auto"/>
              </w:rPr>
            </w:pPr>
            <w:r>
              <w:rPr>
                <w:rFonts w:ascii="Arial" w:cs="Arial" w:eastAsia="Arial" w:hAnsi="Arial"/>
                <w:sz w:val="13"/>
                <w:szCs w:val="13"/>
                <w:b w:val="1"/>
                <w:bCs w:val="1"/>
                <w:color w:val="auto"/>
              </w:rPr>
              <w:t>Option</w:t>
            </w:r>
          </w:p>
        </w:tc>
        <w:tc>
          <w:tcPr>
            <w:tcW w:w="66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rPr>
              <w:t>Not</w:t>
            </w:r>
          </w:p>
        </w:tc>
        <w:tc>
          <w:tcPr>
            <w:tcW w:w="7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Not</w:t>
            </w:r>
          </w:p>
        </w:tc>
        <w:tc>
          <w:tcPr>
            <w:tcW w:w="78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rPr>
              <w:t>Not</w:t>
            </w: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3"/>
                <w:szCs w:val="13"/>
                <w:b w:val="1"/>
                <w:bCs w:val="1"/>
                <w:color w:val="auto"/>
              </w:rPr>
              <w:t>Not</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restart"/>
          </w:tcPr>
          <w:p>
            <w:pPr>
              <w:jc w:val="right"/>
              <w:ind w:right="256"/>
              <w:spacing w:after="0"/>
              <w:rPr>
                <w:sz w:val="20"/>
                <w:szCs w:val="20"/>
                <w:color w:val="auto"/>
              </w:rPr>
            </w:pPr>
            <w:r>
              <w:rPr>
                <w:rFonts w:ascii="Arial" w:cs="Arial" w:eastAsia="Arial" w:hAnsi="Arial"/>
                <w:sz w:val="13"/>
                <w:szCs w:val="13"/>
                <w:b w:val="1"/>
                <w:bCs w:val="1"/>
                <w:color w:val="auto"/>
              </w:rPr>
              <w:t>Grant Date</w:t>
            </w:r>
            <w:r>
              <w:rPr>
                <w:rFonts w:ascii="Arial" w:cs="Arial" w:eastAsia="Arial" w:hAnsi="Arial"/>
                <w:sz w:val="21"/>
                <w:szCs w:val="21"/>
                <w:b w:val="1"/>
                <w:bCs w:val="1"/>
                <w:color w:val="auto"/>
                <w:vertAlign w:val="superscript"/>
              </w:rPr>
              <w:t>(1)</w:t>
            </w: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6"/>
              </w:rPr>
              <w:t>Exercisable</w:t>
            </w:r>
          </w:p>
        </w:tc>
        <w:tc>
          <w:tcPr>
            <w:tcW w:w="13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sable</w:t>
            </w:r>
          </w:p>
        </w:tc>
        <w:tc>
          <w:tcPr>
            <w:tcW w:w="100" w:type="dxa"/>
            <w:vAlign w:val="bottom"/>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rPr>
              <w:t>Options</w:t>
            </w:r>
          </w:p>
        </w:tc>
        <w:tc>
          <w:tcPr>
            <w:tcW w:w="180" w:type="dxa"/>
            <w:vAlign w:val="bottom"/>
          </w:tcPr>
          <w:p>
            <w:pPr>
              <w:spacing w:after="0"/>
              <w:rPr>
                <w:sz w:val="12"/>
                <w:szCs w:val="12"/>
                <w:color w:val="auto"/>
              </w:rPr>
            </w:pPr>
          </w:p>
        </w:tc>
        <w:tc>
          <w:tcPr>
            <w:tcW w:w="7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rPr>
              <w:t>Price</w:t>
            </w:r>
          </w:p>
        </w:tc>
        <w:tc>
          <w:tcPr>
            <w:tcW w:w="880" w:type="dxa"/>
            <w:vAlign w:val="bottom"/>
            <w:gridSpan w:val="2"/>
          </w:tcPr>
          <w:p>
            <w:pPr>
              <w:ind w:left="40"/>
              <w:spacing w:after="0" w:line="141" w:lineRule="exact"/>
              <w:rPr>
                <w:sz w:val="20"/>
                <w:szCs w:val="20"/>
                <w:color w:val="auto"/>
              </w:rPr>
            </w:pPr>
            <w:r>
              <w:rPr>
                <w:rFonts w:ascii="Arial" w:cs="Arial" w:eastAsia="Arial" w:hAnsi="Arial"/>
                <w:sz w:val="13"/>
                <w:szCs w:val="13"/>
                <w:b w:val="1"/>
                <w:bCs w:val="1"/>
                <w:color w:val="auto"/>
              </w:rPr>
              <w:t>Expiration</w:t>
            </w:r>
          </w:p>
        </w:tc>
        <w:tc>
          <w:tcPr>
            <w:tcW w:w="66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w w:val="98"/>
              </w:rPr>
              <w:t>Vested</w:t>
            </w:r>
          </w:p>
        </w:tc>
        <w:tc>
          <w:tcPr>
            <w:tcW w:w="720" w:type="dxa"/>
            <w:vAlign w:val="bottom"/>
            <w:gridSpan w:val="2"/>
          </w:tcPr>
          <w:p>
            <w:pPr>
              <w:jc w:val="center"/>
              <w:ind w:right="180"/>
              <w:spacing w:after="0" w:line="141"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(2)</w:t>
            </w:r>
          </w:p>
        </w:tc>
        <w:tc>
          <w:tcPr>
            <w:tcW w:w="78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8"/>
              </w:rPr>
              <w:t>Vested</w:t>
            </w:r>
          </w:p>
        </w:tc>
        <w:tc>
          <w:tcPr>
            <w:tcW w:w="680" w:type="dxa"/>
            <w:vAlign w:val="bottom"/>
            <w:gridSpan w:val="2"/>
          </w:tcPr>
          <w:p>
            <w:pPr>
              <w:jc w:val="center"/>
              <w:ind w:right="60"/>
              <w:spacing w:after="0" w:line="141" w:lineRule="exact"/>
              <w:rPr>
                <w:sz w:val="20"/>
                <w:szCs w:val="20"/>
                <w:color w:val="auto"/>
              </w:rPr>
            </w:pPr>
            <w:r>
              <w:rPr>
                <w:rFonts w:ascii="Arial" w:cs="Arial" w:eastAsia="Arial" w:hAnsi="Arial"/>
                <w:sz w:val="10"/>
                <w:szCs w:val="10"/>
                <w:b w:val="1"/>
                <w:bCs w:val="1"/>
                <w:color w:val="auto"/>
              </w:rPr>
              <w:t>Vested</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166"/>
        </w:trPr>
        <w:tc>
          <w:tcPr>
            <w:tcW w:w="1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Borders>
              <w:bottom w:val="single" w:sz="8" w:color="D8D8D8"/>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8D8D8"/>
            </w:tcBorders>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Borders>
              <w:bottom w:val="single" w:sz="8" w:color="D8D8D8"/>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D8D8D8"/>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80" w:type="dxa"/>
            <w:vAlign w:val="bottom"/>
            <w:tcBorders>
              <w:bottom w:val="single" w:sz="8" w:color="D8D8D8"/>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D8D8D8"/>
            </w:tcBorders>
          </w:tcPr>
          <w:p>
            <w:pPr>
              <w:spacing w:after="0"/>
              <w:rPr>
                <w:sz w:val="14"/>
                <w:szCs w:val="14"/>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Date</w:t>
            </w:r>
          </w:p>
        </w:tc>
        <w:tc>
          <w:tcPr>
            <w:tcW w:w="180" w:type="dxa"/>
            <w:vAlign w:val="bottom"/>
            <w:tcBorders>
              <w:bottom w:val="single" w:sz="8" w:color="D8D8D8"/>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D8D8D8"/>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D8D8D8"/>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D8D8D8"/>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Borders>
              <w:bottom w:val="single" w:sz="8" w:color="D8D8D8"/>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620" w:type="dxa"/>
            <w:vAlign w:val="bottom"/>
            <w:shd w:val="clear" w:color="auto" w:fill="D8D8D8"/>
          </w:tcPr>
          <w:p>
            <w:pPr>
              <w:spacing w:after="0"/>
              <w:rPr>
                <w:sz w:val="20"/>
                <w:szCs w:val="20"/>
                <w:color w:val="auto"/>
              </w:rPr>
            </w:pPr>
            <w:r>
              <w:rPr>
                <w:rFonts w:ascii="Arial" w:cs="Arial" w:eastAsia="Arial" w:hAnsi="Arial"/>
                <w:sz w:val="13"/>
                <w:szCs w:val="13"/>
                <w:color w:val="auto"/>
              </w:rPr>
              <w:t>Ms.West</w:t>
            </w:r>
          </w:p>
        </w:tc>
        <w:tc>
          <w:tcPr>
            <w:tcW w:w="100" w:type="dxa"/>
            <w:vAlign w:val="bottom"/>
            <w:shd w:val="clear" w:color="auto" w:fill="D8D8D8"/>
          </w:tcPr>
          <w:p>
            <w:pPr>
              <w:spacing w:after="0"/>
              <w:rPr>
                <w:sz w:val="16"/>
                <w:szCs w:val="16"/>
                <w:color w:val="auto"/>
              </w:rPr>
            </w:pPr>
          </w:p>
        </w:tc>
        <w:tc>
          <w:tcPr>
            <w:tcW w:w="14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02/04/2008</w:t>
            </w:r>
          </w:p>
        </w:tc>
        <w:tc>
          <w:tcPr>
            <w:tcW w:w="1540" w:type="dxa"/>
            <w:vAlign w:val="bottom"/>
            <w:gridSpan w:val="3"/>
            <w:shd w:val="clear" w:color="auto" w:fill="D8D8D8"/>
          </w:tcPr>
          <w:p>
            <w:pPr>
              <w:jc w:val="right"/>
              <w:ind w:right="100"/>
              <w:spacing w:after="0"/>
              <w:rPr>
                <w:sz w:val="20"/>
                <w:szCs w:val="20"/>
                <w:color w:val="auto"/>
              </w:rPr>
            </w:pPr>
            <w:r>
              <w:rPr>
                <w:rFonts w:ascii="Arial" w:cs="Arial" w:eastAsia="Arial" w:hAnsi="Arial"/>
                <w:sz w:val="13"/>
                <w:szCs w:val="13"/>
                <w:color w:val="auto"/>
              </w:rPr>
              <w:t>40,720</w:t>
            </w:r>
          </w:p>
        </w:tc>
        <w:tc>
          <w:tcPr>
            <w:tcW w:w="1320" w:type="dxa"/>
            <w:vAlign w:val="bottom"/>
            <w:shd w:val="clear" w:color="auto" w:fill="D8D8D8"/>
          </w:tcPr>
          <w:p>
            <w:pPr>
              <w:ind w:left="1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6"/>
                <w:szCs w:val="16"/>
                <w:color w:val="auto"/>
              </w:rPr>
            </w:pPr>
          </w:p>
        </w:tc>
        <w:tc>
          <w:tcPr>
            <w:tcW w:w="680" w:type="dxa"/>
            <w:vAlign w:val="bottom"/>
            <w:shd w:val="clear" w:color="auto" w:fill="D8D8D8"/>
          </w:tcPr>
          <w:p>
            <w:pPr>
              <w:ind w:left="48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D8D8D8"/>
          </w:tcPr>
          <w:p>
            <w:pPr>
              <w:jc w:val="right"/>
              <w:ind w:right="180"/>
              <w:spacing w:after="0"/>
              <w:rPr>
                <w:sz w:val="20"/>
                <w:szCs w:val="20"/>
                <w:color w:val="auto"/>
              </w:rPr>
            </w:pPr>
            <w:r>
              <w:rPr>
                <w:rFonts w:ascii="Arial" w:cs="Arial" w:eastAsia="Arial" w:hAnsi="Arial"/>
                <w:sz w:val="13"/>
                <w:szCs w:val="13"/>
                <w:color w:val="auto"/>
              </w:rPr>
              <w:t>29.485</w:t>
            </w:r>
          </w:p>
        </w:tc>
        <w:tc>
          <w:tcPr>
            <w:tcW w:w="700" w:type="dxa"/>
            <w:vAlign w:val="bottom"/>
            <w:shd w:val="clear" w:color="auto" w:fill="D8D8D8"/>
          </w:tcPr>
          <w:p>
            <w:pPr>
              <w:ind w:left="60"/>
              <w:spacing w:after="0"/>
              <w:rPr>
                <w:sz w:val="20"/>
                <w:szCs w:val="20"/>
                <w:color w:val="auto"/>
              </w:rPr>
            </w:pPr>
            <w:r>
              <w:rPr>
                <w:rFonts w:ascii="Arial" w:cs="Arial" w:eastAsia="Arial" w:hAnsi="Arial"/>
                <w:sz w:val="13"/>
                <w:szCs w:val="13"/>
                <w:color w:val="auto"/>
                <w:w w:val="95"/>
              </w:rPr>
              <w:t>02/02/2018</w:t>
            </w:r>
          </w:p>
        </w:tc>
        <w:tc>
          <w:tcPr>
            <w:tcW w:w="180" w:type="dxa"/>
            <w:vAlign w:val="bottom"/>
            <w:shd w:val="clear" w:color="auto" w:fill="D8D8D8"/>
          </w:tcPr>
          <w:p>
            <w:pPr>
              <w:spacing w:after="0"/>
              <w:rPr>
                <w:sz w:val="16"/>
                <w:szCs w:val="16"/>
                <w:color w:val="auto"/>
              </w:rPr>
            </w:pPr>
          </w:p>
        </w:tc>
        <w:tc>
          <w:tcPr>
            <w:tcW w:w="660" w:type="dxa"/>
            <w:vAlign w:val="bottom"/>
            <w:gridSpan w:val="2"/>
            <w:shd w:val="clear" w:color="auto" w:fill="D8D8D8"/>
          </w:tcPr>
          <w:p>
            <w:pPr>
              <w:ind w:left="2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D8D8D8"/>
          </w:tcPr>
          <w:p>
            <w:pPr>
              <w:ind w:left="3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ind w:left="40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D8D8D8"/>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02/20/2009</w:t>
            </w:r>
          </w:p>
        </w:tc>
        <w:tc>
          <w:tcPr>
            <w:tcW w:w="100" w:type="dxa"/>
            <w:vAlign w:val="bottom"/>
            <w:shd w:val="clear" w:color="auto" w:fill="D8D8D8"/>
          </w:tcPr>
          <w:p>
            <w:pPr>
              <w:spacing w:after="0"/>
              <w:rPr>
                <w:sz w:val="12"/>
                <w:szCs w:val="12"/>
                <w:color w:val="auto"/>
              </w:rPr>
            </w:pPr>
          </w:p>
        </w:tc>
        <w:tc>
          <w:tcPr>
            <w:tcW w:w="1440" w:type="dxa"/>
            <w:vAlign w:val="bottom"/>
            <w:gridSpan w:val="2"/>
            <w:shd w:val="clear" w:color="auto" w:fill="D8D8D8"/>
          </w:tcPr>
          <w:p>
            <w:pPr>
              <w:ind w:left="1140"/>
              <w:spacing w:after="0" w:line="141" w:lineRule="exact"/>
              <w:rPr>
                <w:sz w:val="20"/>
                <w:szCs w:val="20"/>
                <w:color w:val="auto"/>
              </w:rPr>
            </w:pPr>
            <w:r>
              <w:rPr>
                <w:rFonts w:ascii="Arial" w:cs="Arial" w:eastAsia="Arial" w:hAnsi="Arial"/>
                <w:sz w:val="13"/>
                <w:szCs w:val="13"/>
                <w:color w:val="auto"/>
              </w:rPr>
              <w:t>—</w:t>
            </w:r>
          </w:p>
        </w:tc>
        <w:tc>
          <w:tcPr>
            <w:tcW w:w="1320" w:type="dxa"/>
            <w:vAlign w:val="bottom"/>
            <w:shd w:val="clear" w:color="auto" w:fill="D8D8D8"/>
          </w:tcPr>
          <w:p>
            <w:pPr>
              <w:ind w:left="11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720" w:type="dxa"/>
            <w:vAlign w:val="bottom"/>
            <w:gridSpan w:val="2"/>
            <w:shd w:val="clear" w:color="auto" w:fill="D8D8D8"/>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13,750</w:t>
            </w:r>
          </w:p>
        </w:tc>
        <w:tc>
          <w:tcPr>
            <w:tcW w:w="540" w:type="dxa"/>
            <w:vAlign w:val="bottom"/>
            <w:shd w:val="clear" w:color="auto" w:fill="D8D8D8"/>
          </w:tcPr>
          <w:p>
            <w:pPr>
              <w:ind w:left="80"/>
              <w:spacing w:after="0" w:line="141" w:lineRule="exact"/>
              <w:rPr>
                <w:sz w:val="20"/>
                <w:szCs w:val="20"/>
                <w:color w:val="auto"/>
              </w:rPr>
            </w:pPr>
            <w:r>
              <w:rPr>
                <w:rFonts w:ascii="Arial" w:cs="Arial" w:eastAsia="Arial" w:hAnsi="Arial"/>
                <w:sz w:val="13"/>
                <w:szCs w:val="13"/>
                <w:color w:val="auto"/>
                <w:w w:val="93"/>
              </w:rPr>
              <w:t>513,700</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ind w:left="4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02/20/2009</w:t>
            </w:r>
          </w:p>
        </w:tc>
        <w:tc>
          <w:tcPr>
            <w:tcW w:w="100" w:type="dxa"/>
            <w:vAlign w:val="bottom"/>
            <w:shd w:val="clear" w:color="auto" w:fill="D8D8D8"/>
          </w:tcPr>
          <w:p>
            <w:pPr>
              <w:spacing w:after="0"/>
              <w:rPr>
                <w:sz w:val="12"/>
                <w:szCs w:val="12"/>
                <w:color w:val="auto"/>
              </w:rPr>
            </w:pPr>
          </w:p>
        </w:tc>
        <w:tc>
          <w:tcPr>
            <w:tcW w:w="1440" w:type="dxa"/>
            <w:vAlign w:val="bottom"/>
            <w:gridSpan w:val="2"/>
            <w:shd w:val="clear" w:color="auto" w:fill="D8D8D8"/>
          </w:tcPr>
          <w:p>
            <w:pPr>
              <w:jc w:val="right"/>
              <w:ind w:right="100"/>
              <w:spacing w:after="0" w:line="141" w:lineRule="exact"/>
              <w:rPr>
                <w:sz w:val="20"/>
                <w:szCs w:val="20"/>
                <w:color w:val="auto"/>
              </w:rPr>
            </w:pPr>
            <w:r>
              <w:rPr>
                <w:rFonts w:ascii="Arial" w:cs="Arial" w:eastAsia="Arial" w:hAnsi="Arial"/>
                <w:sz w:val="13"/>
                <w:szCs w:val="13"/>
                <w:color w:val="auto"/>
              </w:rPr>
              <w:t>18,150</w:t>
            </w:r>
          </w:p>
        </w:tc>
        <w:tc>
          <w:tcPr>
            <w:tcW w:w="1320" w:type="dxa"/>
            <w:vAlign w:val="bottom"/>
            <w:shd w:val="clear" w:color="auto" w:fill="D8D8D8"/>
          </w:tcPr>
          <w:p>
            <w:pPr>
              <w:ind w:left="940"/>
              <w:spacing w:after="0" w:line="141" w:lineRule="exact"/>
              <w:rPr>
                <w:sz w:val="20"/>
                <w:szCs w:val="20"/>
                <w:color w:val="auto"/>
              </w:rPr>
            </w:pPr>
            <w:r>
              <w:rPr>
                <w:rFonts w:ascii="Arial" w:cs="Arial" w:eastAsia="Arial" w:hAnsi="Arial"/>
                <w:sz w:val="13"/>
                <w:szCs w:val="13"/>
                <w:color w:val="auto"/>
                <w:w w:val="90"/>
              </w:rPr>
              <w:t>18,700</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23.639</w:t>
            </w:r>
          </w:p>
        </w:tc>
        <w:tc>
          <w:tcPr>
            <w:tcW w:w="700" w:type="dxa"/>
            <w:vAlign w:val="bottom"/>
            <w:shd w:val="clear" w:color="auto" w:fill="D8D8D8"/>
          </w:tcPr>
          <w:p>
            <w:pPr>
              <w:ind w:left="60"/>
              <w:spacing w:after="0" w:line="141" w:lineRule="exact"/>
              <w:rPr>
                <w:sz w:val="20"/>
                <w:szCs w:val="20"/>
                <w:color w:val="auto"/>
              </w:rPr>
            </w:pPr>
            <w:r>
              <w:rPr>
                <w:rFonts w:ascii="Arial" w:cs="Arial" w:eastAsia="Arial" w:hAnsi="Arial"/>
                <w:sz w:val="13"/>
                <w:szCs w:val="13"/>
                <w:color w:val="auto"/>
                <w:w w:val="95"/>
              </w:rPr>
              <w:t>02/20/2019</w:t>
            </w:r>
          </w:p>
        </w:tc>
        <w:tc>
          <w:tcPr>
            <w:tcW w:w="180" w:type="dxa"/>
            <w:vAlign w:val="bottom"/>
            <w:shd w:val="clear" w:color="auto" w:fill="D8D8D8"/>
          </w:tcPr>
          <w:p>
            <w:pPr>
              <w:spacing w:after="0"/>
              <w:rPr>
                <w:sz w:val="12"/>
                <w:szCs w:val="12"/>
                <w:color w:val="auto"/>
              </w:rPr>
            </w:pPr>
          </w:p>
        </w:tc>
        <w:tc>
          <w:tcPr>
            <w:tcW w:w="660" w:type="dxa"/>
            <w:vAlign w:val="bottom"/>
            <w:gridSpan w:val="2"/>
            <w:shd w:val="clear" w:color="auto" w:fill="D8D8D8"/>
          </w:tcPr>
          <w:p>
            <w:pPr>
              <w:ind w:left="280"/>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D8D8D8"/>
          </w:tcPr>
          <w:p>
            <w:pPr>
              <w:ind w:left="34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ind w:left="4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01/04/2010</w:t>
            </w:r>
          </w:p>
        </w:tc>
        <w:tc>
          <w:tcPr>
            <w:tcW w:w="100" w:type="dxa"/>
            <w:vAlign w:val="bottom"/>
            <w:shd w:val="clear" w:color="auto" w:fill="D8D8D8"/>
          </w:tcPr>
          <w:p>
            <w:pPr>
              <w:spacing w:after="0"/>
              <w:rPr>
                <w:sz w:val="12"/>
                <w:szCs w:val="12"/>
                <w:color w:val="auto"/>
              </w:rPr>
            </w:pPr>
          </w:p>
        </w:tc>
        <w:tc>
          <w:tcPr>
            <w:tcW w:w="1340" w:type="dxa"/>
            <w:vAlign w:val="bottom"/>
            <w:shd w:val="clear" w:color="auto" w:fill="D8D8D8"/>
          </w:tcPr>
          <w:p>
            <w:pPr>
              <w:ind w:left="1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320" w:type="dxa"/>
            <w:vAlign w:val="bottom"/>
            <w:shd w:val="clear" w:color="auto" w:fill="D8D8D8"/>
          </w:tcPr>
          <w:p>
            <w:pPr>
              <w:ind w:left="11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720" w:type="dxa"/>
            <w:vAlign w:val="bottom"/>
            <w:gridSpan w:val="2"/>
            <w:shd w:val="clear" w:color="auto" w:fill="D8D8D8"/>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D8D8D8"/>
          </w:tcPr>
          <w:p>
            <w:pPr>
              <w:ind w:left="280"/>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D8D8D8"/>
          </w:tcPr>
          <w:p>
            <w:pPr>
              <w:ind w:left="34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ind w:left="220"/>
              <w:spacing w:after="0" w:line="141" w:lineRule="exact"/>
              <w:rPr>
                <w:sz w:val="20"/>
                <w:szCs w:val="20"/>
                <w:color w:val="auto"/>
              </w:rPr>
            </w:pPr>
            <w:r>
              <w:rPr>
                <w:rFonts w:ascii="Arial" w:cs="Arial" w:eastAsia="Arial" w:hAnsi="Arial"/>
                <w:sz w:val="13"/>
                <w:szCs w:val="13"/>
                <w:color w:val="auto"/>
              </w:rPr>
              <w:t>14,000</w:t>
            </w:r>
          </w:p>
        </w:tc>
        <w:tc>
          <w:tcPr>
            <w:tcW w:w="680" w:type="dxa"/>
            <w:vAlign w:val="bottom"/>
            <w:gridSpan w:val="2"/>
            <w:shd w:val="clear" w:color="auto" w:fill="D8D8D8"/>
          </w:tcPr>
          <w:p>
            <w:pPr>
              <w:ind w:left="140"/>
              <w:spacing w:after="0" w:line="141" w:lineRule="exact"/>
              <w:rPr>
                <w:sz w:val="20"/>
                <w:szCs w:val="20"/>
                <w:color w:val="auto"/>
              </w:rPr>
            </w:pPr>
            <w:r>
              <w:rPr>
                <w:rFonts w:ascii="Arial" w:cs="Arial" w:eastAsia="Arial" w:hAnsi="Arial"/>
                <w:sz w:val="13"/>
                <w:szCs w:val="13"/>
                <w:color w:val="auto"/>
              </w:rPr>
              <w:t>523,040</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02/23/2010</w:t>
            </w:r>
          </w:p>
        </w:tc>
        <w:tc>
          <w:tcPr>
            <w:tcW w:w="100" w:type="dxa"/>
            <w:vAlign w:val="bottom"/>
            <w:shd w:val="clear" w:color="auto" w:fill="D8D8D8"/>
          </w:tcPr>
          <w:p>
            <w:pPr>
              <w:spacing w:after="0"/>
              <w:rPr>
                <w:sz w:val="12"/>
                <w:szCs w:val="12"/>
                <w:color w:val="auto"/>
              </w:rPr>
            </w:pPr>
          </w:p>
        </w:tc>
        <w:tc>
          <w:tcPr>
            <w:tcW w:w="1340" w:type="dxa"/>
            <w:vAlign w:val="bottom"/>
            <w:shd w:val="clear" w:color="auto" w:fill="D8D8D8"/>
          </w:tcPr>
          <w:p>
            <w:pPr>
              <w:ind w:left="1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320" w:type="dxa"/>
            <w:vAlign w:val="bottom"/>
            <w:shd w:val="clear" w:color="auto" w:fill="D8D8D8"/>
          </w:tcPr>
          <w:p>
            <w:pPr>
              <w:ind w:left="11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720" w:type="dxa"/>
            <w:vAlign w:val="bottom"/>
            <w:gridSpan w:val="2"/>
            <w:shd w:val="clear" w:color="auto" w:fill="D8D8D8"/>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8,580</w:t>
            </w:r>
          </w:p>
        </w:tc>
        <w:tc>
          <w:tcPr>
            <w:tcW w:w="540" w:type="dxa"/>
            <w:vAlign w:val="bottom"/>
            <w:shd w:val="clear" w:color="auto" w:fill="D8D8D8"/>
          </w:tcPr>
          <w:p>
            <w:pPr>
              <w:ind w:left="80"/>
              <w:spacing w:after="0" w:line="141" w:lineRule="exact"/>
              <w:rPr>
                <w:sz w:val="20"/>
                <w:szCs w:val="20"/>
                <w:color w:val="auto"/>
              </w:rPr>
            </w:pPr>
            <w:r>
              <w:rPr>
                <w:rFonts w:ascii="Arial" w:cs="Arial" w:eastAsia="Arial" w:hAnsi="Arial"/>
                <w:sz w:val="13"/>
                <w:szCs w:val="13"/>
                <w:color w:val="auto"/>
                <w:w w:val="93"/>
              </w:rPr>
              <w:t>320,549</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ind w:left="4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02/23/2010</w:t>
            </w:r>
          </w:p>
        </w:tc>
        <w:tc>
          <w:tcPr>
            <w:tcW w:w="100" w:type="dxa"/>
            <w:vAlign w:val="bottom"/>
            <w:shd w:val="clear" w:color="auto" w:fill="D8D8D8"/>
          </w:tcPr>
          <w:p>
            <w:pPr>
              <w:spacing w:after="0"/>
              <w:rPr>
                <w:sz w:val="12"/>
                <w:szCs w:val="12"/>
                <w:color w:val="auto"/>
              </w:rPr>
            </w:pPr>
          </w:p>
        </w:tc>
        <w:tc>
          <w:tcPr>
            <w:tcW w:w="13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16,988</w:t>
            </w:r>
          </w:p>
        </w:tc>
        <w:tc>
          <w:tcPr>
            <w:tcW w:w="100" w:type="dxa"/>
            <w:vAlign w:val="bottom"/>
            <w:shd w:val="clear" w:color="auto" w:fill="D8D8D8"/>
          </w:tcPr>
          <w:p>
            <w:pPr>
              <w:spacing w:after="0"/>
              <w:rPr>
                <w:sz w:val="12"/>
                <w:szCs w:val="12"/>
                <w:color w:val="auto"/>
              </w:rPr>
            </w:pPr>
          </w:p>
        </w:tc>
        <w:tc>
          <w:tcPr>
            <w:tcW w:w="1320" w:type="dxa"/>
            <w:vAlign w:val="bottom"/>
            <w:shd w:val="clear" w:color="auto" w:fill="D8D8D8"/>
          </w:tcPr>
          <w:p>
            <w:pPr>
              <w:ind w:left="940"/>
              <w:spacing w:after="0" w:line="141" w:lineRule="exact"/>
              <w:rPr>
                <w:sz w:val="20"/>
                <w:szCs w:val="20"/>
                <w:color w:val="auto"/>
              </w:rPr>
            </w:pPr>
            <w:r>
              <w:rPr>
                <w:rFonts w:ascii="Arial" w:cs="Arial" w:eastAsia="Arial" w:hAnsi="Arial"/>
                <w:sz w:val="13"/>
                <w:szCs w:val="13"/>
                <w:color w:val="auto"/>
                <w:w w:val="90"/>
              </w:rPr>
              <w:t>34,492</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29.145</w:t>
            </w:r>
          </w:p>
        </w:tc>
        <w:tc>
          <w:tcPr>
            <w:tcW w:w="700" w:type="dxa"/>
            <w:vAlign w:val="bottom"/>
            <w:shd w:val="clear" w:color="auto" w:fill="D8D8D8"/>
          </w:tcPr>
          <w:p>
            <w:pPr>
              <w:ind w:left="60"/>
              <w:spacing w:after="0" w:line="141" w:lineRule="exact"/>
              <w:rPr>
                <w:sz w:val="20"/>
                <w:szCs w:val="20"/>
                <w:color w:val="auto"/>
              </w:rPr>
            </w:pPr>
            <w:r>
              <w:rPr>
                <w:rFonts w:ascii="Arial" w:cs="Arial" w:eastAsia="Arial" w:hAnsi="Arial"/>
                <w:sz w:val="13"/>
                <w:szCs w:val="13"/>
                <w:color w:val="auto"/>
                <w:w w:val="95"/>
              </w:rPr>
              <w:t>02/21/2020</w:t>
            </w:r>
          </w:p>
        </w:tc>
        <w:tc>
          <w:tcPr>
            <w:tcW w:w="180" w:type="dxa"/>
            <w:vAlign w:val="bottom"/>
            <w:shd w:val="clear" w:color="auto" w:fill="D8D8D8"/>
          </w:tcPr>
          <w:p>
            <w:pPr>
              <w:spacing w:after="0"/>
              <w:rPr>
                <w:sz w:val="12"/>
                <w:szCs w:val="12"/>
                <w:color w:val="auto"/>
              </w:rPr>
            </w:pPr>
          </w:p>
        </w:tc>
        <w:tc>
          <w:tcPr>
            <w:tcW w:w="660" w:type="dxa"/>
            <w:vAlign w:val="bottom"/>
            <w:gridSpan w:val="2"/>
            <w:shd w:val="clear" w:color="auto" w:fill="D8D8D8"/>
          </w:tcPr>
          <w:p>
            <w:pPr>
              <w:ind w:left="280"/>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D8D8D8"/>
          </w:tcPr>
          <w:p>
            <w:pPr>
              <w:ind w:left="34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ind w:left="4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08/01/2010</w:t>
            </w:r>
          </w:p>
        </w:tc>
        <w:tc>
          <w:tcPr>
            <w:tcW w:w="100" w:type="dxa"/>
            <w:vAlign w:val="bottom"/>
            <w:shd w:val="clear" w:color="auto" w:fill="D8D8D8"/>
          </w:tcPr>
          <w:p>
            <w:pPr>
              <w:spacing w:after="0"/>
              <w:rPr>
                <w:sz w:val="12"/>
                <w:szCs w:val="12"/>
                <w:color w:val="auto"/>
              </w:rPr>
            </w:pPr>
          </w:p>
        </w:tc>
        <w:tc>
          <w:tcPr>
            <w:tcW w:w="1340" w:type="dxa"/>
            <w:vAlign w:val="bottom"/>
            <w:shd w:val="clear" w:color="auto" w:fill="D8D8D8"/>
          </w:tcPr>
          <w:p>
            <w:pPr>
              <w:ind w:left="1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320" w:type="dxa"/>
            <w:vAlign w:val="bottom"/>
            <w:shd w:val="clear" w:color="auto" w:fill="D8D8D8"/>
          </w:tcPr>
          <w:p>
            <w:pPr>
              <w:ind w:left="11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720" w:type="dxa"/>
            <w:vAlign w:val="bottom"/>
            <w:gridSpan w:val="2"/>
            <w:shd w:val="clear" w:color="auto" w:fill="D8D8D8"/>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5,940</w:t>
            </w:r>
          </w:p>
        </w:tc>
        <w:tc>
          <w:tcPr>
            <w:tcW w:w="540" w:type="dxa"/>
            <w:vAlign w:val="bottom"/>
            <w:shd w:val="clear" w:color="auto" w:fill="D8D8D8"/>
          </w:tcPr>
          <w:p>
            <w:pPr>
              <w:ind w:left="80"/>
              <w:spacing w:after="0" w:line="141" w:lineRule="exact"/>
              <w:rPr>
                <w:sz w:val="20"/>
                <w:szCs w:val="20"/>
                <w:color w:val="auto"/>
              </w:rPr>
            </w:pPr>
            <w:r>
              <w:rPr>
                <w:rFonts w:ascii="Arial" w:cs="Arial" w:eastAsia="Arial" w:hAnsi="Arial"/>
                <w:sz w:val="13"/>
                <w:szCs w:val="13"/>
                <w:color w:val="auto"/>
                <w:w w:val="93"/>
              </w:rPr>
              <w:t>221,918</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ind w:left="4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08/01/2010</w:t>
            </w:r>
          </w:p>
        </w:tc>
        <w:tc>
          <w:tcPr>
            <w:tcW w:w="100" w:type="dxa"/>
            <w:vAlign w:val="bottom"/>
            <w:shd w:val="clear" w:color="auto" w:fill="D8D8D8"/>
          </w:tcPr>
          <w:p>
            <w:pPr>
              <w:spacing w:after="0"/>
              <w:rPr>
                <w:sz w:val="12"/>
                <w:szCs w:val="12"/>
                <w:color w:val="auto"/>
              </w:rPr>
            </w:pPr>
          </w:p>
        </w:tc>
        <w:tc>
          <w:tcPr>
            <w:tcW w:w="13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11,880</w:t>
            </w:r>
          </w:p>
        </w:tc>
        <w:tc>
          <w:tcPr>
            <w:tcW w:w="100" w:type="dxa"/>
            <w:vAlign w:val="bottom"/>
            <w:shd w:val="clear" w:color="auto" w:fill="D8D8D8"/>
          </w:tcPr>
          <w:p>
            <w:pPr>
              <w:spacing w:after="0"/>
              <w:rPr>
                <w:sz w:val="12"/>
                <w:szCs w:val="12"/>
                <w:color w:val="auto"/>
              </w:rPr>
            </w:pPr>
          </w:p>
        </w:tc>
        <w:tc>
          <w:tcPr>
            <w:tcW w:w="1320" w:type="dxa"/>
            <w:vAlign w:val="bottom"/>
            <w:shd w:val="clear" w:color="auto" w:fill="D8D8D8"/>
          </w:tcPr>
          <w:p>
            <w:pPr>
              <w:ind w:left="940"/>
              <w:spacing w:after="0" w:line="141" w:lineRule="exact"/>
              <w:rPr>
                <w:sz w:val="20"/>
                <w:szCs w:val="20"/>
                <w:color w:val="auto"/>
              </w:rPr>
            </w:pPr>
            <w:r>
              <w:rPr>
                <w:rFonts w:ascii="Arial" w:cs="Arial" w:eastAsia="Arial" w:hAnsi="Arial"/>
                <w:sz w:val="13"/>
                <w:szCs w:val="13"/>
                <w:color w:val="auto"/>
                <w:w w:val="90"/>
              </w:rPr>
              <w:t>23,760</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29.500</w:t>
            </w:r>
          </w:p>
        </w:tc>
        <w:tc>
          <w:tcPr>
            <w:tcW w:w="700" w:type="dxa"/>
            <w:vAlign w:val="bottom"/>
            <w:shd w:val="clear" w:color="auto" w:fill="D8D8D8"/>
          </w:tcPr>
          <w:p>
            <w:pPr>
              <w:ind w:left="60"/>
              <w:spacing w:after="0" w:line="141" w:lineRule="exact"/>
              <w:rPr>
                <w:sz w:val="20"/>
                <w:szCs w:val="20"/>
                <w:color w:val="auto"/>
              </w:rPr>
            </w:pPr>
            <w:r>
              <w:rPr>
                <w:rFonts w:ascii="Arial" w:cs="Arial" w:eastAsia="Arial" w:hAnsi="Arial"/>
                <w:sz w:val="13"/>
                <w:szCs w:val="13"/>
                <w:color w:val="auto"/>
                <w:w w:val="95"/>
              </w:rPr>
              <w:t>08/01/2020</w:t>
            </w:r>
          </w:p>
        </w:tc>
        <w:tc>
          <w:tcPr>
            <w:tcW w:w="180" w:type="dxa"/>
            <w:vAlign w:val="bottom"/>
            <w:shd w:val="clear" w:color="auto" w:fill="D8D8D8"/>
          </w:tcPr>
          <w:p>
            <w:pPr>
              <w:spacing w:after="0"/>
              <w:rPr>
                <w:sz w:val="12"/>
                <w:szCs w:val="12"/>
                <w:color w:val="auto"/>
              </w:rPr>
            </w:pPr>
          </w:p>
        </w:tc>
        <w:tc>
          <w:tcPr>
            <w:tcW w:w="660" w:type="dxa"/>
            <w:vAlign w:val="bottom"/>
            <w:gridSpan w:val="2"/>
            <w:shd w:val="clear" w:color="auto" w:fill="D8D8D8"/>
          </w:tcPr>
          <w:p>
            <w:pPr>
              <w:ind w:left="280"/>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D8D8D8"/>
          </w:tcPr>
          <w:p>
            <w:pPr>
              <w:ind w:left="34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ind w:left="4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01/03/2011</w:t>
            </w:r>
          </w:p>
        </w:tc>
        <w:tc>
          <w:tcPr>
            <w:tcW w:w="100" w:type="dxa"/>
            <w:vAlign w:val="bottom"/>
            <w:shd w:val="clear" w:color="auto" w:fill="D8D8D8"/>
          </w:tcPr>
          <w:p>
            <w:pPr>
              <w:spacing w:after="0"/>
              <w:rPr>
                <w:sz w:val="12"/>
                <w:szCs w:val="12"/>
                <w:color w:val="auto"/>
              </w:rPr>
            </w:pPr>
          </w:p>
        </w:tc>
        <w:tc>
          <w:tcPr>
            <w:tcW w:w="1340" w:type="dxa"/>
            <w:vAlign w:val="bottom"/>
            <w:shd w:val="clear" w:color="auto" w:fill="D8D8D8"/>
          </w:tcPr>
          <w:p>
            <w:pPr>
              <w:ind w:left="1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320" w:type="dxa"/>
            <w:vAlign w:val="bottom"/>
            <w:shd w:val="clear" w:color="auto" w:fill="D8D8D8"/>
          </w:tcPr>
          <w:p>
            <w:pPr>
              <w:ind w:left="11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720" w:type="dxa"/>
            <w:vAlign w:val="bottom"/>
            <w:gridSpan w:val="2"/>
            <w:shd w:val="clear" w:color="auto" w:fill="D8D8D8"/>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D8D8D8"/>
          </w:tcPr>
          <w:p>
            <w:pPr>
              <w:ind w:left="280"/>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D8D8D8"/>
          </w:tcPr>
          <w:p>
            <w:pPr>
              <w:ind w:left="34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ind w:left="220"/>
              <w:spacing w:after="0" w:line="141" w:lineRule="exact"/>
              <w:rPr>
                <w:sz w:val="20"/>
                <w:szCs w:val="20"/>
                <w:color w:val="auto"/>
              </w:rPr>
            </w:pPr>
            <w:r>
              <w:rPr>
                <w:rFonts w:ascii="Arial" w:cs="Arial" w:eastAsia="Arial" w:hAnsi="Arial"/>
                <w:sz w:val="13"/>
                <w:szCs w:val="13"/>
                <w:color w:val="auto"/>
              </w:rPr>
              <w:t>26,730</w:t>
            </w:r>
          </w:p>
        </w:tc>
        <w:tc>
          <w:tcPr>
            <w:tcW w:w="680" w:type="dxa"/>
            <w:vAlign w:val="bottom"/>
            <w:gridSpan w:val="2"/>
            <w:shd w:val="clear" w:color="auto" w:fill="D8D8D8"/>
          </w:tcPr>
          <w:p>
            <w:pPr>
              <w:ind w:left="140"/>
              <w:spacing w:after="0" w:line="141" w:lineRule="exact"/>
              <w:rPr>
                <w:sz w:val="20"/>
                <w:szCs w:val="20"/>
                <w:color w:val="auto"/>
              </w:rPr>
            </w:pPr>
            <w:r>
              <w:rPr>
                <w:rFonts w:ascii="Arial" w:cs="Arial" w:eastAsia="Arial" w:hAnsi="Arial"/>
                <w:sz w:val="13"/>
                <w:szCs w:val="13"/>
                <w:color w:val="auto"/>
              </w:rPr>
              <w:t>998,633</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shd w:val="clear" w:color="auto" w:fill="D8D8D8"/>
          </w:tcPr>
          <w:p>
            <w:pPr>
              <w:spacing w:after="0"/>
              <w:rPr>
                <w:sz w:val="12"/>
                <w:szCs w:val="12"/>
                <w:color w:val="auto"/>
              </w:rPr>
            </w:pPr>
          </w:p>
        </w:tc>
        <w:tc>
          <w:tcPr>
            <w:tcW w:w="1340" w:type="dxa"/>
            <w:vAlign w:val="bottom"/>
            <w:shd w:val="clear" w:color="auto" w:fill="D8D8D8"/>
          </w:tcPr>
          <w:p>
            <w:pPr>
              <w:ind w:left="1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320" w:type="dxa"/>
            <w:vAlign w:val="bottom"/>
            <w:shd w:val="clear" w:color="auto" w:fill="D8D8D8"/>
          </w:tcPr>
          <w:p>
            <w:pPr>
              <w:ind w:left="112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180" w:type="dxa"/>
            <w:vAlign w:val="bottom"/>
            <w:shd w:val="clear" w:color="auto" w:fill="D8D8D8"/>
          </w:tcPr>
          <w:p>
            <w:pPr>
              <w:spacing w:after="0"/>
              <w:rPr>
                <w:sz w:val="12"/>
                <w:szCs w:val="12"/>
                <w:color w:val="auto"/>
              </w:rPr>
            </w:pPr>
          </w:p>
        </w:tc>
        <w:tc>
          <w:tcPr>
            <w:tcW w:w="720" w:type="dxa"/>
            <w:vAlign w:val="bottom"/>
            <w:gridSpan w:val="2"/>
            <w:shd w:val="clear" w:color="auto" w:fill="D8D8D8"/>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D8D8D8"/>
          </w:tcPr>
          <w:p>
            <w:pPr>
              <w:ind w:left="500"/>
              <w:spacing w:after="0" w:line="141"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13,360</w:t>
            </w:r>
          </w:p>
        </w:tc>
        <w:tc>
          <w:tcPr>
            <w:tcW w:w="540" w:type="dxa"/>
            <w:vAlign w:val="bottom"/>
            <w:shd w:val="clear" w:color="auto" w:fill="D8D8D8"/>
          </w:tcPr>
          <w:p>
            <w:pPr>
              <w:ind w:left="80"/>
              <w:spacing w:after="0" w:line="141" w:lineRule="exact"/>
              <w:rPr>
                <w:sz w:val="20"/>
                <w:szCs w:val="20"/>
                <w:color w:val="auto"/>
              </w:rPr>
            </w:pPr>
            <w:r>
              <w:rPr>
                <w:rFonts w:ascii="Arial" w:cs="Arial" w:eastAsia="Arial" w:hAnsi="Arial"/>
                <w:sz w:val="13"/>
                <w:szCs w:val="13"/>
                <w:color w:val="auto"/>
                <w:w w:val="93"/>
              </w:rPr>
              <w:t>499,130</w:t>
            </w:r>
          </w:p>
        </w:tc>
        <w:tc>
          <w:tcPr>
            <w:tcW w:w="180" w:type="dxa"/>
            <w:vAlign w:val="bottom"/>
            <w:shd w:val="clear" w:color="auto" w:fill="D8D8D8"/>
          </w:tcPr>
          <w:p>
            <w:pPr>
              <w:spacing w:after="0"/>
              <w:rPr>
                <w:sz w:val="12"/>
                <w:szCs w:val="12"/>
                <w:color w:val="auto"/>
              </w:rPr>
            </w:pPr>
          </w:p>
        </w:tc>
        <w:tc>
          <w:tcPr>
            <w:tcW w:w="780" w:type="dxa"/>
            <w:vAlign w:val="bottom"/>
            <w:gridSpan w:val="2"/>
            <w:shd w:val="clear" w:color="auto" w:fill="D8D8D8"/>
          </w:tcPr>
          <w:p>
            <w:pPr>
              <w:ind w:left="4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6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14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02/23/2011</w:t>
            </w:r>
          </w:p>
        </w:tc>
        <w:tc>
          <w:tcPr>
            <w:tcW w:w="100" w:type="dxa"/>
            <w:vAlign w:val="bottom"/>
            <w:shd w:val="clear" w:color="auto" w:fill="D8D8D8"/>
          </w:tcPr>
          <w:p>
            <w:pPr>
              <w:spacing w:after="0"/>
              <w:rPr>
                <w:sz w:val="12"/>
                <w:szCs w:val="12"/>
                <w:color w:val="auto"/>
              </w:rPr>
            </w:pPr>
          </w:p>
        </w:tc>
        <w:tc>
          <w:tcPr>
            <w:tcW w:w="1340" w:type="dxa"/>
            <w:vAlign w:val="bottom"/>
            <w:shd w:val="clear" w:color="auto" w:fill="D8D8D8"/>
          </w:tcPr>
          <w:p>
            <w:pPr>
              <w:ind w:left="1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D8D8D8"/>
          </w:tcPr>
          <w:p>
            <w:pPr>
              <w:spacing w:after="0"/>
              <w:rPr>
                <w:sz w:val="12"/>
                <w:szCs w:val="12"/>
                <w:color w:val="auto"/>
              </w:rPr>
            </w:pPr>
          </w:p>
        </w:tc>
        <w:tc>
          <w:tcPr>
            <w:tcW w:w="1320" w:type="dxa"/>
            <w:vAlign w:val="bottom"/>
            <w:shd w:val="clear" w:color="auto" w:fill="D8D8D8"/>
          </w:tcPr>
          <w:p>
            <w:pPr>
              <w:ind w:left="940"/>
              <w:spacing w:after="0" w:line="141" w:lineRule="exact"/>
              <w:rPr>
                <w:sz w:val="20"/>
                <w:szCs w:val="20"/>
                <w:color w:val="auto"/>
              </w:rPr>
            </w:pPr>
            <w:r>
              <w:rPr>
                <w:rFonts w:ascii="Arial" w:cs="Arial" w:eastAsia="Arial" w:hAnsi="Arial"/>
                <w:sz w:val="13"/>
                <w:szCs w:val="13"/>
                <w:color w:val="auto"/>
                <w:w w:val="90"/>
              </w:rPr>
              <w:t>80,130</w:t>
            </w:r>
          </w:p>
        </w:tc>
        <w:tc>
          <w:tcPr>
            <w:tcW w:w="100" w:type="dxa"/>
            <w:vAlign w:val="bottom"/>
            <w:shd w:val="clear" w:color="auto" w:fill="D8D8D8"/>
          </w:tcPr>
          <w:p>
            <w:pPr>
              <w:spacing w:after="0"/>
              <w:rPr>
                <w:sz w:val="12"/>
                <w:szCs w:val="12"/>
                <w:color w:val="auto"/>
              </w:rPr>
            </w:pPr>
          </w:p>
        </w:tc>
        <w:tc>
          <w:tcPr>
            <w:tcW w:w="680" w:type="dxa"/>
            <w:vAlign w:val="bottom"/>
            <w:shd w:val="clear" w:color="auto" w:fill="D8D8D8"/>
          </w:tcPr>
          <w:p>
            <w:pPr>
              <w:ind w:left="480"/>
              <w:spacing w:after="0" w:line="141"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31.825</w:t>
            </w:r>
          </w:p>
        </w:tc>
        <w:tc>
          <w:tcPr>
            <w:tcW w:w="700" w:type="dxa"/>
            <w:vAlign w:val="bottom"/>
            <w:shd w:val="clear" w:color="auto" w:fill="D8D8D8"/>
          </w:tcPr>
          <w:p>
            <w:pPr>
              <w:ind w:left="60"/>
              <w:spacing w:after="0" w:line="141" w:lineRule="exact"/>
              <w:rPr>
                <w:sz w:val="20"/>
                <w:szCs w:val="20"/>
                <w:color w:val="auto"/>
              </w:rPr>
            </w:pPr>
            <w:r>
              <w:rPr>
                <w:rFonts w:ascii="Arial" w:cs="Arial" w:eastAsia="Arial" w:hAnsi="Arial"/>
                <w:sz w:val="13"/>
                <w:szCs w:val="13"/>
                <w:color w:val="auto"/>
                <w:w w:val="95"/>
              </w:rPr>
              <w:t>02/23/2021</w:t>
            </w:r>
          </w:p>
        </w:tc>
        <w:tc>
          <w:tcPr>
            <w:tcW w:w="180" w:type="dxa"/>
            <w:vAlign w:val="bottom"/>
            <w:shd w:val="clear" w:color="auto" w:fill="D8D8D8"/>
          </w:tcPr>
          <w:p>
            <w:pPr>
              <w:spacing w:after="0"/>
              <w:rPr>
                <w:sz w:val="12"/>
                <w:szCs w:val="12"/>
                <w:color w:val="auto"/>
              </w:rPr>
            </w:pPr>
          </w:p>
        </w:tc>
        <w:tc>
          <w:tcPr>
            <w:tcW w:w="660" w:type="dxa"/>
            <w:vAlign w:val="bottom"/>
            <w:gridSpan w:val="2"/>
            <w:shd w:val="clear" w:color="auto" w:fill="D8D8D8"/>
          </w:tcPr>
          <w:p>
            <w:pPr>
              <w:ind w:left="280"/>
              <w:spacing w:after="0" w:line="14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D8D8D8"/>
          </w:tcPr>
          <w:p>
            <w:pPr>
              <w:ind w:left="34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D8D8D8"/>
          </w:tcPr>
          <w:p>
            <w:pPr>
              <w:ind w:left="4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D8D8D8"/>
          </w:tcPr>
          <w:p>
            <w:pPr>
              <w:ind w:left="42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7226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0" w:lineRule="exact"/>
        <w:rPr>
          <w:sz w:val="20"/>
          <w:szCs w:val="20"/>
          <w:color w:val="auto"/>
        </w:rPr>
      </w:pPr>
    </w:p>
    <w:p>
      <w:pPr>
        <w:ind w:left="340" w:hanging="338"/>
        <w:spacing w:after="0"/>
        <w:tabs>
          <w:tab w:leader="none" w:pos="3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vesting schedule for all outstanding stock and stock options is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060" w:type="dxa"/>
            <w:vAlign w:val="bottom"/>
            <w:gridSpan w:val="2"/>
          </w:tcPr>
          <w:p>
            <w:pPr>
              <w:spacing w:after="0"/>
              <w:rPr>
                <w:sz w:val="20"/>
                <w:szCs w:val="20"/>
                <w:color w:val="auto"/>
              </w:rPr>
            </w:pPr>
            <w:r>
              <w:rPr>
                <w:rFonts w:ascii="Arial" w:cs="Arial" w:eastAsia="Arial" w:hAnsi="Arial"/>
                <w:sz w:val="13"/>
                <w:szCs w:val="13"/>
                <w:b w:val="1"/>
                <w:bCs w:val="1"/>
                <w:color w:val="auto"/>
              </w:rPr>
              <w:t>Grant</w:t>
            </w: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760" w:type="dxa"/>
            <w:vAlign w:val="bottom"/>
          </w:tcPr>
          <w:p>
            <w:pPr>
              <w:spacing w:after="0"/>
              <w:rPr>
                <w:sz w:val="13"/>
                <w:szCs w:val="13"/>
                <w:color w:val="auto"/>
              </w:rPr>
            </w:pPr>
          </w:p>
        </w:tc>
      </w:tr>
      <w:tr>
        <w:trPr>
          <w:trHeight w:val="177"/>
        </w:trPr>
        <w:tc>
          <w:tcPr>
            <w:tcW w:w="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Date</w:t>
            </w:r>
          </w:p>
        </w:tc>
        <w:tc>
          <w:tcPr>
            <w:tcW w:w="64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Grant Type</w:t>
            </w:r>
          </w:p>
        </w:tc>
        <w:tc>
          <w:tcPr>
            <w:tcW w:w="7760" w:type="dxa"/>
            <w:vAlign w:val="bottom"/>
          </w:tcPr>
          <w:p>
            <w:pPr>
              <w:ind w:left="3360"/>
              <w:spacing w:after="0"/>
              <w:rPr>
                <w:sz w:val="20"/>
                <w:szCs w:val="20"/>
                <w:color w:val="auto"/>
              </w:rPr>
            </w:pPr>
            <w:r>
              <w:rPr>
                <w:rFonts w:ascii="Arial" w:cs="Arial" w:eastAsia="Arial" w:hAnsi="Arial"/>
                <w:sz w:val="13"/>
                <w:szCs w:val="13"/>
                <w:b w:val="1"/>
                <w:bCs w:val="1"/>
                <w:color w:val="auto"/>
              </w:rPr>
              <w:t>Vesting Schedule</w:t>
            </w:r>
          </w:p>
        </w:tc>
      </w:tr>
      <w:tr>
        <w:trPr>
          <w:trHeight w:val="126"/>
        </w:trPr>
        <w:tc>
          <w:tcPr>
            <w:tcW w:w="1060" w:type="dxa"/>
            <w:vAlign w:val="bottom"/>
            <w:gridSpan w:val="2"/>
          </w:tcPr>
          <w:p>
            <w:pPr>
              <w:spacing w:after="0" w:line="126" w:lineRule="exact"/>
              <w:rPr>
                <w:sz w:val="20"/>
                <w:szCs w:val="20"/>
                <w:color w:val="auto"/>
              </w:rPr>
            </w:pPr>
            <w:r>
              <w:rPr>
                <w:rFonts w:ascii="Arial" w:cs="Arial" w:eastAsia="Arial" w:hAnsi="Arial"/>
                <w:sz w:val="13"/>
                <w:szCs w:val="13"/>
                <w:color w:val="auto"/>
              </w:rPr>
              <w:t>05/03/2007</w:t>
            </w:r>
          </w:p>
        </w:tc>
        <w:tc>
          <w:tcPr>
            <w:tcW w:w="15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color w:val="auto"/>
                <w:w w:val="99"/>
              </w:rPr>
              <w:t>Stock options</w:t>
            </w:r>
          </w:p>
        </w:tc>
        <w:tc>
          <w:tcPr>
            <w:tcW w:w="100" w:type="dxa"/>
            <w:vAlign w:val="bottom"/>
          </w:tcPr>
          <w:p>
            <w:pPr>
              <w:spacing w:after="0"/>
              <w:rPr>
                <w:sz w:val="10"/>
                <w:szCs w:val="10"/>
                <w:color w:val="auto"/>
              </w:rPr>
            </w:pPr>
          </w:p>
        </w:tc>
        <w:tc>
          <w:tcPr>
            <w:tcW w:w="7760" w:type="dxa"/>
            <w:vAlign w:val="bottom"/>
            <w:tcBorders>
              <w:top w:val="single" w:sz="8" w:color="auto"/>
            </w:tcBorders>
          </w:tcPr>
          <w:p>
            <w:pPr>
              <w:spacing w:after="0" w:line="126" w:lineRule="exact"/>
              <w:rPr>
                <w:sz w:val="20"/>
                <w:szCs w:val="20"/>
                <w:color w:val="auto"/>
              </w:rPr>
            </w:pPr>
            <w:r>
              <w:rPr>
                <w:rFonts w:ascii="Arial" w:cs="Arial" w:eastAsia="Arial" w:hAnsi="Arial"/>
                <w:sz w:val="13"/>
                <w:szCs w:val="13"/>
                <w:color w:val="auto"/>
              </w:rPr>
              <w:t>One-half of the shares under this performance-contingent stock option vests if the price of our common stock maintains an average</w:t>
            </w:r>
          </w:p>
        </w:tc>
      </w:tr>
      <w:tr>
        <w:trPr>
          <w:trHeight w:val="141"/>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760" w:type="dxa"/>
            <w:vAlign w:val="bottom"/>
          </w:tcPr>
          <w:p>
            <w:pPr>
              <w:spacing w:after="0" w:line="141" w:lineRule="exact"/>
              <w:rPr>
                <w:sz w:val="20"/>
                <w:szCs w:val="20"/>
                <w:color w:val="auto"/>
              </w:rPr>
            </w:pPr>
            <w:r>
              <w:rPr>
                <w:rFonts w:ascii="Arial" w:cs="Arial" w:eastAsia="Arial" w:hAnsi="Arial"/>
                <w:sz w:val="13"/>
                <w:szCs w:val="13"/>
                <w:color w:val="auto"/>
              </w:rPr>
              <w:t>trading price of $38.11 over a consecutive ten-day period during the ten-year term of the stock option award. On January 20, 2012,</w:t>
            </w:r>
          </w:p>
        </w:tc>
      </w:tr>
      <w:tr>
        <w:trPr>
          <w:trHeight w:val="141"/>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760" w:type="dxa"/>
            <w:vAlign w:val="bottom"/>
          </w:tcPr>
          <w:p>
            <w:pPr>
              <w:spacing w:after="0" w:line="141" w:lineRule="exact"/>
              <w:rPr>
                <w:sz w:val="20"/>
                <w:szCs w:val="20"/>
                <w:color w:val="auto"/>
              </w:rPr>
            </w:pPr>
            <w:r>
              <w:rPr>
                <w:rFonts w:ascii="Arial" w:cs="Arial" w:eastAsia="Arial" w:hAnsi="Arial"/>
                <w:sz w:val="13"/>
                <w:szCs w:val="13"/>
                <w:color w:val="auto"/>
              </w:rPr>
              <w:t>150,000 option shares vested under the terms of the award. The remaining 150,000 option shares will vest only if the price of our</w:t>
            </w:r>
          </w:p>
        </w:tc>
      </w:tr>
      <w:tr>
        <w:trPr>
          <w:trHeight w:val="141"/>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760" w:type="dxa"/>
            <w:vAlign w:val="bottom"/>
          </w:tcPr>
          <w:p>
            <w:pPr>
              <w:spacing w:after="0" w:line="141" w:lineRule="exact"/>
              <w:rPr>
                <w:sz w:val="20"/>
                <w:szCs w:val="20"/>
                <w:color w:val="auto"/>
              </w:rPr>
            </w:pPr>
            <w:r>
              <w:rPr>
                <w:rFonts w:ascii="Arial" w:cs="Arial" w:eastAsia="Arial" w:hAnsi="Arial"/>
                <w:sz w:val="13"/>
                <w:szCs w:val="13"/>
                <w:color w:val="auto"/>
                <w:w w:val="98"/>
              </w:rPr>
              <w:t>common stock maintains an average trading price of $41.43 for a consecutive ten-day period during the ten-year term of the stock option</w:t>
            </w:r>
          </w:p>
        </w:tc>
      </w:tr>
      <w:tr>
        <w:trPr>
          <w:trHeight w:val="141"/>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760" w:type="dxa"/>
            <w:vAlign w:val="bottom"/>
          </w:tcPr>
          <w:p>
            <w:pPr>
              <w:spacing w:after="0" w:line="141" w:lineRule="exact"/>
              <w:rPr>
                <w:sz w:val="20"/>
                <w:szCs w:val="20"/>
                <w:color w:val="auto"/>
              </w:rPr>
            </w:pPr>
            <w:r>
              <w:rPr>
                <w:rFonts w:ascii="Arial" w:cs="Arial" w:eastAsia="Arial" w:hAnsi="Arial"/>
                <w:sz w:val="13"/>
                <w:szCs w:val="13"/>
                <w:color w:val="auto"/>
              </w:rPr>
              <w:t>award.</w:t>
            </w:r>
          </w:p>
        </w:tc>
      </w:tr>
      <w:tr>
        <w:trPr>
          <w:trHeight w:val="205"/>
        </w:trPr>
        <w:tc>
          <w:tcPr>
            <w:tcW w:w="106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02/04/2008</w:t>
            </w:r>
          </w:p>
        </w:tc>
        <w:tc>
          <w:tcPr>
            <w:tcW w:w="16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9"/>
              </w:rPr>
              <w:t>Stock options</w:t>
            </w:r>
          </w:p>
        </w:tc>
        <w:tc>
          <w:tcPr>
            <w:tcW w:w="7760" w:type="dxa"/>
            <w:vAlign w:val="bottom"/>
            <w:shd w:val="clear" w:color="auto" w:fill="D8D8D8"/>
          </w:tcPr>
          <w:p>
            <w:pPr>
              <w:spacing w:after="0"/>
              <w:rPr>
                <w:sz w:val="20"/>
                <w:szCs w:val="20"/>
                <w:color w:val="auto"/>
              </w:rPr>
            </w:pPr>
            <w:r>
              <w:rPr>
                <w:rFonts w:ascii="Arial" w:cs="Arial" w:eastAsia="Arial" w:hAnsi="Arial"/>
                <w:sz w:val="13"/>
                <w:szCs w:val="13"/>
                <w:color w:val="auto"/>
              </w:rPr>
              <w:t>First tranche (33%) vests on 02/04/2009, the second tranche (33%) vests on 02/04/2010 and last tranche (34%) vests on 02/04/2011.</w:t>
            </w:r>
          </w:p>
        </w:tc>
      </w:tr>
      <w:tr>
        <w:trPr>
          <w:trHeight w:val="205"/>
        </w:trPr>
        <w:tc>
          <w:tcPr>
            <w:tcW w:w="1060" w:type="dxa"/>
            <w:vAlign w:val="bottom"/>
            <w:gridSpan w:val="2"/>
          </w:tcPr>
          <w:p>
            <w:pPr>
              <w:spacing w:after="0"/>
              <w:rPr>
                <w:sz w:val="20"/>
                <w:szCs w:val="20"/>
                <w:color w:val="auto"/>
              </w:rPr>
            </w:pPr>
            <w:r>
              <w:rPr>
                <w:rFonts w:ascii="Arial" w:cs="Arial" w:eastAsia="Arial" w:hAnsi="Arial"/>
                <w:sz w:val="13"/>
                <w:szCs w:val="13"/>
                <w:color w:val="auto"/>
              </w:rPr>
              <w:t>02/20/2009</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Restricted shares</w:t>
            </w:r>
          </w:p>
        </w:tc>
        <w:tc>
          <w:tcPr>
            <w:tcW w:w="7760" w:type="dxa"/>
            <w:vAlign w:val="bottom"/>
          </w:tcPr>
          <w:p>
            <w:pPr>
              <w:spacing w:after="0"/>
              <w:rPr>
                <w:sz w:val="20"/>
                <w:szCs w:val="20"/>
                <w:color w:val="auto"/>
              </w:rPr>
            </w:pPr>
            <w:r>
              <w:rPr>
                <w:rFonts w:ascii="Arial" w:cs="Arial" w:eastAsia="Arial" w:hAnsi="Arial"/>
                <w:sz w:val="13"/>
                <w:szCs w:val="13"/>
                <w:color w:val="auto"/>
              </w:rPr>
              <w:t>100% of award vests on 02/17/2012.</w:t>
            </w:r>
          </w:p>
        </w:tc>
      </w:tr>
      <w:tr>
        <w:trPr>
          <w:trHeight w:val="205"/>
        </w:trPr>
        <w:tc>
          <w:tcPr>
            <w:tcW w:w="106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02/20/2009</w:t>
            </w:r>
          </w:p>
        </w:tc>
        <w:tc>
          <w:tcPr>
            <w:tcW w:w="16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9"/>
              </w:rPr>
              <w:t>Stock options</w:t>
            </w:r>
          </w:p>
        </w:tc>
        <w:tc>
          <w:tcPr>
            <w:tcW w:w="7760" w:type="dxa"/>
            <w:vAlign w:val="bottom"/>
            <w:shd w:val="clear" w:color="auto" w:fill="D8D8D8"/>
          </w:tcPr>
          <w:p>
            <w:pPr>
              <w:spacing w:after="0"/>
              <w:rPr>
                <w:sz w:val="20"/>
                <w:szCs w:val="20"/>
                <w:color w:val="auto"/>
              </w:rPr>
            </w:pPr>
            <w:r>
              <w:rPr>
                <w:rFonts w:ascii="Arial" w:cs="Arial" w:eastAsia="Arial" w:hAnsi="Arial"/>
                <w:sz w:val="13"/>
                <w:szCs w:val="13"/>
                <w:color w:val="auto"/>
              </w:rPr>
              <w:t>First tranche (33%) vests on 02/19/2010, the second tranche (33%) vests on 02/18/2011 and last tranche (34%) vests on 02/17/2012.</w:t>
            </w:r>
          </w:p>
        </w:tc>
      </w:tr>
      <w:tr>
        <w:trPr>
          <w:trHeight w:val="205"/>
        </w:trPr>
        <w:tc>
          <w:tcPr>
            <w:tcW w:w="1060" w:type="dxa"/>
            <w:vAlign w:val="bottom"/>
            <w:gridSpan w:val="2"/>
          </w:tcPr>
          <w:p>
            <w:pPr>
              <w:spacing w:after="0"/>
              <w:rPr>
                <w:sz w:val="20"/>
                <w:szCs w:val="20"/>
                <w:color w:val="auto"/>
              </w:rPr>
            </w:pPr>
            <w:r>
              <w:rPr>
                <w:rFonts w:ascii="Arial" w:cs="Arial" w:eastAsia="Arial" w:hAnsi="Arial"/>
                <w:sz w:val="13"/>
                <w:szCs w:val="13"/>
                <w:color w:val="auto"/>
              </w:rPr>
              <w:t>08/17/2009</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Restricted shares</w:t>
            </w:r>
          </w:p>
        </w:tc>
        <w:tc>
          <w:tcPr>
            <w:tcW w:w="7760" w:type="dxa"/>
            <w:vAlign w:val="bottom"/>
          </w:tcPr>
          <w:p>
            <w:pPr>
              <w:spacing w:after="0"/>
              <w:rPr>
                <w:sz w:val="20"/>
                <w:szCs w:val="20"/>
                <w:color w:val="auto"/>
              </w:rPr>
            </w:pPr>
            <w:r>
              <w:rPr>
                <w:rFonts w:ascii="Arial" w:cs="Arial" w:eastAsia="Arial" w:hAnsi="Arial"/>
                <w:sz w:val="13"/>
                <w:szCs w:val="13"/>
                <w:color w:val="auto"/>
              </w:rPr>
              <w:t>First tranche (33%) vests on 08/17/2010, the second tranche (33%) vests on 08/17/2011 and last tranche (34%) vests on 08/17/2012.</w:t>
            </w:r>
          </w:p>
        </w:tc>
      </w:tr>
      <w:tr>
        <w:trPr>
          <w:trHeight w:val="204"/>
        </w:trPr>
        <w:tc>
          <w:tcPr>
            <w:tcW w:w="106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01/04/2010</w:t>
            </w:r>
          </w:p>
        </w:tc>
        <w:tc>
          <w:tcPr>
            <w:tcW w:w="16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7"/>
              </w:rPr>
              <w:t>Performance shares</w:t>
            </w:r>
          </w:p>
        </w:tc>
        <w:tc>
          <w:tcPr>
            <w:tcW w:w="7760" w:type="dxa"/>
            <w:vAlign w:val="bottom"/>
            <w:shd w:val="clear" w:color="auto" w:fill="D8D8D8"/>
          </w:tcPr>
          <w:p>
            <w:pPr>
              <w:spacing w:after="0"/>
              <w:rPr>
                <w:sz w:val="20"/>
                <w:szCs w:val="20"/>
                <w:color w:val="auto"/>
              </w:rPr>
            </w:pPr>
            <w:r>
              <w:rPr>
                <w:rFonts w:ascii="Arial" w:cs="Arial" w:eastAsia="Arial" w:hAnsi="Arial"/>
                <w:sz w:val="13"/>
                <w:szCs w:val="13"/>
                <w:color w:val="auto"/>
                <w:w w:val="99"/>
              </w:rPr>
              <w:t>100% of award vests on 12/31/2012, subject to the approval of the Human Resources and Compensation Committee and satisfaction of</w:t>
            </w:r>
          </w:p>
        </w:tc>
      </w:tr>
      <w:tr>
        <w:trPr>
          <w:trHeight w:val="141"/>
        </w:trPr>
        <w:tc>
          <w:tcPr>
            <w:tcW w:w="42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15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7760" w:type="dxa"/>
            <w:vAlign w:val="bottom"/>
            <w:shd w:val="clear" w:color="auto" w:fill="D8D8D8"/>
          </w:tcPr>
          <w:p>
            <w:pPr>
              <w:spacing w:after="0" w:line="141" w:lineRule="exact"/>
              <w:rPr>
                <w:sz w:val="20"/>
                <w:szCs w:val="20"/>
                <w:color w:val="auto"/>
              </w:rPr>
            </w:pPr>
            <w:r>
              <w:rPr>
                <w:rFonts w:ascii="Arial" w:cs="Arial" w:eastAsia="Arial" w:hAnsi="Arial"/>
                <w:sz w:val="13"/>
                <w:szCs w:val="13"/>
                <w:color w:val="auto"/>
              </w:rPr>
              <w:t>the performance criteria. Payment of the shares, if any, will be made in March 2013.</w:t>
            </w:r>
          </w:p>
        </w:tc>
      </w:tr>
      <w:tr>
        <w:trPr>
          <w:trHeight w:val="205"/>
        </w:trPr>
        <w:tc>
          <w:tcPr>
            <w:tcW w:w="1060" w:type="dxa"/>
            <w:vAlign w:val="bottom"/>
            <w:gridSpan w:val="2"/>
          </w:tcPr>
          <w:p>
            <w:pPr>
              <w:spacing w:after="0"/>
              <w:rPr>
                <w:sz w:val="20"/>
                <w:szCs w:val="20"/>
                <w:color w:val="auto"/>
              </w:rPr>
            </w:pPr>
            <w:r>
              <w:rPr>
                <w:rFonts w:ascii="Arial" w:cs="Arial" w:eastAsia="Arial" w:hAnsi="Arial"/>
                <w:sz w:val="13"/>
                <w:szCs w:val="13"/>
                <w:color w:val="auto"/>
              </w:rPr>
              <w:t>02/23/2010</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Restricted shares</w:t>
            </w:r>
          </w:p>
        </w:tc>
        <w:tc>
          <w:tcPr>
            <w:tcW w:w="7760" w:type="dxa"/>
            <w:vAlign w:val="bottom"/>
          </w:tcPr>
          <w:p>
            <w:pPr>
              <w:spacing w:after="0"/>
              <w:rPr>
                <w:sz w:val="20"/>
                <w:szCs w:val="20"/>
                <w:color w:val="auto"/>
              </w:rPr>
            </w:pPr>
            <w:r>
              <w:rPr>
                <w:rFonts w:ascii="Arial" w:cs="Arial" w:eastAsia="Arial" w:hAnsi="Arial"/>
                <w:sz w:val="13"/>
                <w:szCs w:val="13"/>
                <w:color w:val="auto"/>
              </w:rPr>
              <w:t>100% of award vests on 02/22/2013.</w:t>
            </w:r>
          </w:p>
        </w:tc>
      </w:tr>
      <w:tr>
        <w:trPr>
          <w:trHeight w:val="205"/>
        </w:trPr>
        <w:tc>
          <w:tcPr>
            <w:tcW w:w="106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02/23/2010</w:t>
            </w:r>
          </w:p>
        </w:tc>
        <w:tc>
          <w:tcPr>
            <w:tcW w:w="16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9"/>
              </w:rPr>
              <w:t>Stock options</w:t>
            </w:r>
          </w:p>
        </w:tc>
        <w:tc>
          <w:tcPr>
            <w:tcW w:w="7760" w:type="dxa"/>
            <w:vAlign w:val="bottom"/>
            <w:shd w:val="clear" w:color="auto" w:fill="D8D8D8"/>
          </w:tcPr>
          <w:p>
            <w:pPr>
              <w:spacing w:after="0"/>
              <w:rPr>
                <w:sz w:val="20"/>
                <w:szCs w:val="20"/>
                <w:color w:val="auto"/>
              </w:rPr>
            </w:pPr>
            <w:r>
              <w:rPr>
                <w:rFonts w:ascii="Arial" w:cs="Arial" w:eastAsia="Arial" w:hAnsi="Arial"/>
                <w:sz w:val="13"/>
                <w:szCs w:val="13"/>
                <w:color w:val="auto"/>
              </w:rPr>
              <w:t>First tranche (33%) vests on 02/22/2011, the second tranche (33%) vests on 02/22/2012 and last tranche (34%) vests on 02/22/2013.</w:t>
            </w:r>
          </w:p>
        </w:tc>
      </w:tr>
      <w:tr>
        <w:trPr>
          <w:trHeight w:val="205"/>
        </w:trPr>
        <w:tc>
          <w:tcPr>
            <w:tcW w:w="1060" w:type="dxa"/>
            <w:vAlign w:val="bottom"/>
            <w:gridSpan w:val="2"/>
          </w:tcPr>
          <w:p>
            <w:pPr>
              <w:spacing w:after="0"/>
              <w:rPr>
                <w:sz w:val="20"/>
                <w:szCs w:val="20"/>
                <w:color w:val="auto"/>
              </w:rPr>
            </w:pPr>
            <w:r>
              <w:rPr>
                <w:rFonts w:ascii="Arial" w:cs="Arial" w:eastAsia="Arial" w:hAnsi="Arial"/>
                <w:sz w:val="13"/>
                <w:szCs w:val="13"/>
                <w:color w:val="auto"/>
              </w:rPr>
              <w:t>08/01/2010</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Restricted shares</w:t>
            </w:r>
          </w:p>
        </w:tc>
        <w:tc>
          <w:tcPr>
            <w:tcW w:w="7760" w:type="dxa"/>
            <w:vAlign w:val="bottom"/>
          </w:tcPr>
          <w:p>
            <w:pPr>
              <w:spacing w:after="0"/>
              <w:rPr>
                <w:sz w:val="20"/>
                <w:szCs w:val="20"/>
                <w:color w:val="auto"/>
              </w:rPr>
            </w:pPr>
            <w:r>
              <w:rPr>
                <w:rFonts w:ascii="Arial" w:cs="Arial" w:eastAsia="Arial" w:hAnsi="Arial"/>
                <w:sz w:val="13"/>
                <w:szCs w:val="13"/>
                <w:color w:val="auto"/>
              </w:rPr>
              <w:t>100% of award vests on 08/01/2013.</w:t>
            </w:r>
          </w:p>
        </w:tc>
      </w:tr>
      <w:tr>
        <w:trPr>
          <w:trHeight w:val="205"/>
        </w:trPr>
        <w:tc>
          <w:tcPr>
            <w:tcW w:w="106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08/01/2010</w:t>
            </w:r>
          </w:p>
        </w:tc>
        <w:tc>
          <w:tcPr>
            <w:tcW w:w="16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9"/>
              </w:rPr>
              <w:t>Stock options</w:t>
            </w:r>
          </w:p>
        </w:tc>
        <w:tc>
          <w:tcPr>
            <w:tcW w:w="7760" w:type="dxa"/>
            <w:vAlign w:val="bottom"/>
            <w:shd w:val="clear" w:color="auto" w:fill="D8D8D8"/>
          </w:tcPr>
          <w:p>
            <w:pPr>
              <w:spacing w:after="0"/>
              <w:rPr>
                <w:sz w:val="20"/>
                <w:szCs w:val="20"/>
                <w:color w:val="auto"/>
              </w:rPr>
            </w:pPr>
            <w:r>
              <w:rPr>
                <w:rFonts w:ascii="Arial" w:cs="Arial" w:eastAsia="Arial" w:hAnsi="Arial"/>
                <w:sz w:val="13"/>
                <w:szCs w:val="13"/>
                <w:color w:val="auto"/>
              </w:rPr>
              <w:t>Options vest in three equal installments on 08/01/2011, 08/01/2012 and 08/01/2013.</w:t>
            </w:r>
          </w:p>
        </w:tc>
      </w:tr>
      <w:tr>
        <w:trPr>
          <w:trHeight w:val="204"/>
        </w:trPr>
        <w:tc>
          <w:tcPr>
            <w:tcW w:w="1060" w:type="dxa"/>
            <w:vAlign w:val="bottom"/>
            <w:gridSpan w:val="2"/>
          </w:tcPr>
          <w:p>
            <w:pPr>
              <w:spacing w:after="0"/>
              <w:rPr>
                <w:sz w:val="20"/>
                <w:szCs w:val="20"/>
                <w:color w:val="auto"/>
              </w:rPr>
            </w:pPr>
            <w:r>
              <w:rPr>
                <w:rFonts w:ascii="Arial" w:cs="Arial" w:eastAsia="Arial" w:hAnsi="Arial"/>
                <w:sz w:val="13"/>
                <w:szCs w:val="13"/>
                <w:color w:val="auto"/>
              </w:rPr>
              <w:t>01/03/2011</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w w:val="97"/>
              </w:rPr>
              <w:t>Performance shares</w:t>
            </w:r>
          </w:p>
        </w:tc>
        <w:tc>
          <w:tcPr>
            <w:tcW w:w="7760" w:type="dxa"/>
            <w:vAlign w:val="bottom"/>
          </w:tcPr>
          <w:p>
            <w:pPr>
              <w:spacing w:after="0"/>
              <w:rPr>
                <w:sz w:val="20"/>
                <w:szCs w:val="20"/>
                <w:color w:val="auto"/>
              </w:rPr>
            </w:pPr>
            <w:r>
              <w:rPr>
                <w:rFonts w:ascii="Arial" w:cs="Arial" w:eastAsia="Arial" w:hAnsi="Arial"/>
                <w:sz w:val="13"/>
                <w:szCs w:val="13"/>
                <w:color w:val="auto"/>
                <w:w w:val="99"/>
              </w:rPr>
              <w:t>100% of award vests on 12/31/2013, subject to the approval of the Human Resources and Compensation Committee and satisfaction of</w:t>
            </w:r>
          </w:p>
        </w:tc>
      </w:tr>
      <w:tr>
        <w:trPr>
          <w:trHeight w:val="141"/>
        </w:trPr>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760" w:type="dxa"/>
            <w:vAlign w:val="bottom"/>
          </w:tcPr>
          <w:p>
            <w:pPr>
              <w:spacing w:after="0" w:line="141" w:lineRule="exact"/>
              <w:rPr>
                <w:sz w:val="20"/>
                <w:szCs w:val="20"/>
                <w:color w:val="auto"/>
              </w:rPr>
            </w:pPr>
            <w:r>
              <w:rPr>
                <w:rFonts w:ascii="Arial" w:cs="Arial" w:eastAsia="Arial" w:hAnsi="Arial"/>
                <w:sz w:val="13"/>
                <w:szCs w:val="13"/>
                <w:color w:val="auto"/>
              </w:rPr>
              <w:t>the performance criteria. Payment of the shares, if any, will be made in March 2014.</w:t>
            </w:r>
          </w:p>
        </w:tc>
      </w:tr>
      <w:tr>
        <w:trPr>
          <w:trHeight w:val="205"/>
        </w:trPr>
        <w:tc>
          <w:tcPr>
            <w:tcW w:w="106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02/23/2011</w:t>
            </w:r>
          </w:p>
        </w:tc>
        <w:tc>
          <w:tcPr>
            <w:tcW w:w="16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6"/>
              </w:rPr>
              <w:t>Restricted shares</w:t>
            </w:r>
          </w:p>
        </w:tc>
        <w:tc>
          <w:tcPr>
            <w:tcW w:w="7760" w:type="dxa"/>
            <w:vAlign w:val="bottom"/>
            <w:shd w:val="clear" w:color="auto" w:fill="D8D8D8"/>
          </w:tcPr>
          <w:p>
            <w:pPr>
              <w:spacing w:after="0"/>
              <w:rPr>
                <w:sz w:val="20"/>
                <w:szCs w:val="20"/>
                <w:color w:val="auto"/>
              </w:rPr>
            </w:pPr>
            <w:r>
              <w:rPr>
                <w:rFonts w:ascii="Arial" w:cs="Arial" w:eastAsia="Arial" w:hAnsi="Arial"/>
                <w:sz w:val="13"/>
                <w:szCs w:val="13"/>
                <w:color w:val="auto"/>
              </w:rPr>
              <w:t>100% of award vests on 02/24/2014.</w:t>
            </w:r>
          </w:p>
        </w:tc>
      </w:tr>
      <w:tr>
        <w:trPr>
          <w:trHeight w:val="205"/>
        </w:trPr>
        <w:tc>
          <w:tcPr>
            <w:tcW w:w="1060" w:type="dxa"/>
            <w:vAlign w:val="bottom"/>
            <w:gridSpan w:val="2"/>
          </w:tcPr>
          <w:p>
            <w:pPr>
              <w:spacing w:after="0"/>
              <w:rPr>
                <w:sz w:val="20"/>
                <w:szCs w:val="20"/>
                <w:color w:val="auto"/>
              </w:rPr>
            </w:pPr>
            <w:r>
              <w:rPr>
                <w:rFonts w:ascii="Arial" w:cs="Arial" w:eastAsia="Arial" w:hAnsi="Arial"/>
                <w:sz w:val="13"/>
                <w:szCs w:val="13"/>
                <w:color w:val="auto"/>
              </w:rPr>
              <w:t>02/23/2011</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Stock options</w:t>
            </w:r>
          </w:p>
        </w:tc>
        <w:tc>
          <w:tcPr>
            <w:tcW w:w="7760" w:type="dxa"/>
            <w:vAlign w:val="bottom"/>
          </w:tcPr>
          <w:p>
            <w:pPr>
              <w:spacing w:after="0"/>
              <w:rPr>
                <w:sz w:val="20"/>
                <w:szCs w:val="20"/>
                <w:color w:val="auto"/>
              </w:rPr>
            </w:pPr>
            <w:r>
              <w:rPr>
                <w:rFonts w:ascii="Arial" w:cs="Arial" w:eastAsia="Arial" w:hAnsi="Arial"/>
                <w:sz w:val="13"/>
                <w:szCs w:val="13"/>
                <w:color w:val="auto"/>
              </w:rPr>
              <w:t>First tranche (33%) vests on 02/23/2012, the second tranche (33%) vests on 02/25/2013 and last tranche (34%) vests on 02/24/2014.</w:t>
            </w:r>
          </w:p>
        </w:tc>
      </w:tr>
      <w:tr>
        <w:trPr>
          <w:trHeight w:val="205"/>
        </w:trPr>
        <w:tc>
          <w:tcPr>
            <w:tcW w:w="1060" w:type="dxa"/>
            <w:vAlign w:val="bottom"/>
            <w:gridSpan w:val="2"/>
            <w:shd w:val="clear" w:color="auto" w:fill="D8D8D8"/>
          </w:tcPr>
          <w:p>
            <w:pPr>
              <w:spacing w:after="0"/>
              <w:rPr>
                <w:sz w:val="20"/>
                <w:szCs w:val="20"/>
                <w:color w:val="auto"/>
              </w:rPr>
            </w:pPr>
            <w:r>
              <w:rPr>
                <w:rFonts w:ascii="Arial" w:cs="Arial" w:eastAsia="Arial" w:hAnsi="Arial"/>
                <w:sz w:val="13"/>
                <w:szCs w:val="13"/>
                <w:color w:val="auto"/>
              </w:rPr>
              <w:t>05/09/2011</w:t>
            </w:r>
          </w:p>
        </w:tc>
        <w:tc>
          <w:tcPr>
            <w:tcW w:w="1680" w:type="dxa"/>
            <w:vAlign w:val="bottom"/>
            <w:gridSpan w:val="2"/>
            <w:shd w:val="clear" w:color="auto" w:fill="D8D8D8"/>
          </w:tcPr>
          <w:p>
            <w:pPr>
              <w:jc w:val="center"/>
              <w:ind w:right="100"/>
              <w:spacing w:after="0"/>
              <w:rPr>
                <w:sz w:val="20"/>
                <w:szCs w:val="20"/>
                <w:color w:val="auto"/>
              </w:rPr>
            </w:pPr>
            <w:r>
              <w:rPr>
                <w:rFonts w:ascii="Arial" w:cs="Arial" w:eastAsia="Arial" w:hAnsi="Arial"/>
                <w:sz w:val="13"/>
                <w:szCs w:val="13"/>
                <w:color w:val="auto"/>
                <w:w w:val="96"/>
              </w:rPr>
              <w:t>Restricted shares</w:t>
            </w:r>
          </w:p>
        </w:tc>
        <w:tc>
          <w:tcPr>
            <w:tcW w:w="7760" w:type="dxa"/>
            <w:vAlign w:val="bottom"/>
            <w:shd w:val="clear" w:color="auto" w:fill="D8D8D8"/>
          </w:tcPr>
          <w:p>
            <w:pPr>
              <w:spacing w:after="0"/>
              <w:rPr>
                <w:sz w:val="20"/>
                <w:szCs w:val="20"/>
                <w:color w:val="auto"/>
              </w:rPr>
            </w:pPr>
            <w:r>
              <w:rPr>
                <w:rFonts w:ascii="Arial" w:cs="Arial" w:eastAsia="Arial" w:hAnsi="Arial"/>
                <w:sz w:val="13"/>
                <w:szCs w:val="13"/>
                <w:color w:val="auto"/>
              </w:rPr>
              <w:t>100% of award vests on 05/09/2014.</w:t>
            </w:r>
          </w:p>
        </w:tc>
      </w:tr>
      <w:tr>
        <w:trPr>
          <w:trHeight w:val="217"/>
        </w:trPr>
        <w:tc>
          <w:tcPr>
            <w:tcW w:w="1060" w:type="dxa"/>
            <w:vAlign w:val="bottom"/>
            <w:gridSpan w:val="2"/>
          </w:tcPr>
          <w:p>
            <w:pPr>
              <w:spacing w:after="0"/>
              <w:rPr>
                <w:sz w:val="20"/>
                <w:szCs w:val="20"/>
                <w:color w:val="auto"/>
              </w:rPr>
            </w:pPr>
            <w:r>
              <w:rPr>
                <w:rFonts w:ascii="Arial" w:cs="Arial" w:eastAsia="Arial" w:hAnsi="Arial"/>
                <w:sz w:val="13"/>
                <w:szCs w:val="13"/>
                <w:color w:val="auto"/>
              </w:rPr>
              <w:t>05/09/2011</w:t>
            </w:r>
          </w:p>
        </w:tc>
        <w:tc>
          <w:tcPr>
            <w:tcW w:w="168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Stock options</w:t>
            </w:r>
          </w:p>
        </w:tc>
        <w:tc>
          <w:tcPr>
            <w:tcW w:w="7760" w:type="dxa"/>
            <w:vAlign w:val="bottom"/>
          </w:tcPr>
          <w:p>
            <w:pPr>
              <w:spacing w:after="0"/>
              <w:rPr>
                <w:sz w:val="20"/>
                <w:szCs w:val="20"/>
                <w:color w:val="auto"/>
              </w:rPr>
            </w:pPr>
            <w:r>
              <w:rPr>
                <w:rFonts w:ascii="Arial" w:cs="Arial" w:eastAsia="Arial" w:hAnsi="Arial"/>
                <w:sz w:val="13"/>
                <w:szCs w:val="13"/>
                <w:color w:val="auto"/>
              </w:rPr>
              <w:t>Options vest in three equal installments on 05/09/2012, 05/09/2013 and 05/09/2014.</w:t>
            </w:r>
          </w:p>
        </w:tc>
      </w:tr>
    </w:tbl>
    <w:p>
      <w:pPr>
        <w:spacing w:after="0" w:line="51" w:lineRule="exact"/>
        <w:rPr>
          <w:sz w:val="20"/>
          <w:szCs w:val="20"/>
          <w:color w:val="auto"/>
        </w:rPr>
      </w:pPr>
    </w:p>
    <w:p>
      <w:pPr>
        <w:ind w:left="340" w:hanging="338"/>
        <w:spacing w:after="0"/>
        <w:tabs>
          <w:tab w:leader="none" w:pos="3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market value of the shares that have not vested is based on the closing price of our common stock of $37.36 on December 30, 2011, as reported on the NYSE.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443" w:right="23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Option Exercises and Stock Vested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340" w:type="dxa"/>
            <w:vAlign w:val="bottom"/>
            <w:gridSpan w:val="3"/>
          </w:tcPr>
          <w:p>
            <w:pPr>
              <w:jc w:val="right"/>
              <w:ind w:right="2260"/>
              <w:spacing w:after="0"/>
              <w:rPr>
                <w:sz w:val="20"/>
                <w:szCs w:val="20"/>
                <w:color w:val="auto"/>
              </w:rPr>
            </w:pPr>
            <w:r>
              <w:rPr>
                <w:rFonts w:ascii="Arial" w:cs="Arial" w:eastAsia="Arial" w:hAnsi="Arial"/>
                <w:sz w:val="13"/>
                <w:szCs w:val="13"/>
                <w:b w:val="1"/>
                <w:bCs w:val="1"/>
                <w:color w:val="auto"/>
              </w:rPr>
              <w:t>Option Awards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60" w:type="dxa"/>
            <w:vAlign w:val="bottom"/>
            <w:gridSpan w:val="3"/>
          </w:tcPr>
          <w:p>
            <w:pPr>
              <w:ind w:left="16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Borders>
              <w:top w:val="single" w:sz="8" w:color="auto"/>
            </w:tcBorders>
          </w:tcPr>
          <w:p>
            <w:pPr>
              <w:jc w:val="center"/>
              <w:spacing w:after="0" w:line="117" w:lineRule="exact"/>
              <w:rPr>
                <w:sz w:val="20"/>
                <w:szCs w:val="20"/>
                <w:color w:val="auto"/>
              </w:rPr>
            </w:pPr>
            <w:r>
              <w:rPr>
                <w:rFonts w:ascii="Arial" w:cs="Arial" w:eastAsia="Arial" w:hAnsi="Arial"/>
                <w:sz w:val="13"/>
                <w:szCs w:val="13"/>
                <w:b w:val="1"/>
                <w:bCs w:val="1"/>
                <w:color w:val="auto"/>
                <w:w w:val="98"/>
              </w:rPr>
              <w:t>Number of</w:t>
            </w:r>
          </w:p>
        </w:tc>
        <w:tc>
          <w:tcPr>
            <w:tcW w:w="1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920" w:type="dxa"/>
            <w:vAlign w:val="bottom"/>
            <w:tcBorders>
              <w:top w:val="single" w:sz="8" w:color="auto"/>
            </w:tcBorders>
            <w:gridSpan w:val="2"/>
          </w:tcPr>
          <w:p>
            <w:pPr>
              <w:jc w:val="center"/>
              <w:ind w:right="160"/>
              <w:spacing w:after="0" w:line="117" w:lineRule="exact"/>
              <w:rPr>
                <w:sz w:val="20"/>
                <w:szCs w:val="20"/>
                <w:color w:val="auto"/>
              </w:rPr>
            </w:pPr>
            <w:r>
              <w:rPr>
                <w:rFonts w:ascii="Arial" w:cs="Arial" w:eastAsia="Arial" w:hAnsi="Arial"/>
                <w:sz w:val="13"/>
                <w:szCs w:val="13"/>
                <w:b w:val="1"/>
                <w:bCs w:val="1"/>
                <w:color w:val="auto"/>
                <w:w w:val="98"/>
              </w:rPr>
              <w:t>Number of</w:t>
            </w:r>
          </w:p>
        </w:tc>
        <w:tc>
          <w:tcPr>
            <w:tcW w:w="1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Shares</w:t>
            </w:r>
          </w:p>
        </w:tc>
        <w:tc>
          <w:tcPr>
            <w:tcW w:w="1260" w:type="dxa"/>
            <w:vAlign w:val="bottom"/>
          </w:tcPr>
          <w:p>
            <w:pPr>
              <w:spacing w:after="0"/>
              <w:rPr>
                <w:sz w:val="12"/>
                <w:szCs w:val="12"/>
                <w:color w:val="auto"/>
              </w:rPr>
            </w:pPr>
          </w:p>
        </w:tc>
        <w:tc>
          <w:tcPr>
            <w:tcW w:w="2080" w:type="dxa"/>
            <w:vAlign w:val="bottom"/>
            <w:gridSpan w:val="2"/>
          </w:tcPr>
          <w:p>
            <w:pPr>
              <w:jc w:val="right"/>
              <w:ind w:right="1540"/>
              <w:spacing w:after="0" w:line="141" w:lineRule="exact"/>
              <w:rPr>
                <w:sz w:val="20"/>
                <w:szCs w:val="20"/>
                <w:color w:val="auto"/>
              </w:rPr>
            </w:pPr>
            <w:r>
              <w:rPr>
                <w:rFonts w:ascii="Arial" w:cs="Arial" w:eastAsia="Arial" w:hAnsi="Arial"/>
                <w:sz w:val="13"/>
                <w:szCs w:val="13"/>
                <w:b w:val="1"/>
                <w:bCs w:val="1"/>
                <w:color w:val="auto"/>
              </w:rPr>
              <w:t>Value</w:t>
            </w:r>
          </w:p>
        </w:tc>
        <w:tc>
          <w:tcPr>
            <w:tcW w:w="9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rPr>
              <w:t>Shares</w:t>
            </w:r>
          </w:p>
        </w:tc>
        <w:tc>
          <w:tcPr>
            <w:tcW w:w="1200" w:type="dxa"/>
            <w:vAlign w:val="bottom"/>
          </w:tcPr>
          <w:p>
            <w:pPr>
              <w:spacing w:after="0"/>
              <w:rPr>
                <w:sz w:val="12"/>
                <w:szCs w:val="12"/>
                <w:color w:val="auto"/>
              </w:rPr>
            </w:pPr>
          </w:p>
        </w:tc>
        <w:tc>
          <w:tcPr>
            <w:tcW w:w="1560" w:type="dxa"/>
            <w:vAlign w:val="bottom"/>
            <w:gridSpan w:val="2"/>
          </w:tcPr>
          <w:p>
            <w:pPr>
              <w:jc w:val="center"/>
              <w:ind w:right="680"/>
              <w:spacing w:after="0" w:line="141" w:lineRule="exact"/>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132"/>
        </w:trPr>
        <w:tc>
          <w:tcPr>
            <w:tcW w:w="3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7"/>
              </w:rPr>
              <w:t>Acquired on</w:t>
            </w:r>
          </w:p>
        </w:tc>
        <w:tc>
          <w:tcPr>
            <w:tcW w:w="1260" w:type="dxa"/>
            <w:vAlign w:val="bottom"/>
          </w:tcPr>
          <w:p>
            <w:pPr>
              <w:spacing w:after="0"/>
              <w:rPr>
                <w:sz w:val="11"/>
                <w:szCs w:val="11"/>
                <w:color w:val="auto"/>
              </w:rPr>
            </w:pPr>
          </w:p>
        </w:tc>
        <w:tc>
          <w:tcPr>
            <w:tcW w:w="2080" w:type="dxa"/>
            <w:vAlign w:val="bottom"/>
            <w:gridSpan w:val="2"/>
          </w:tcPr>
          <w:p>
            <w:pPr>
              <w:jc w:val="right"/>
              <w:ind w:right="1360"/>
              <w:spacing w:after="0" w:line="132" w:lineRule="exact"/>
              <w:rPr>
                <w:sz w:val="20"/>
                <w:szCs w:val="20"/>
                <w:color w:val="auto"/>
              </w:rPr>
            </w:pPr>
            <w:r>
              <w:rPr>
                <w:rFonts w:ascii="Arial" w:cs="Arial" w:eastAsia="Arial" w:hAnsi="Arial"/>
                <w:sz w:val="13"/>
                <w:szCs w:val="13"/>
                <w:b w:val="1"/>
                <w:bCs w:val="1"/>
                <w:color w:val="auto"/>
                <w:w w:val="96"/>
              </w:rPr>
              <w:t>Realized on</w:t>
            </w:r>
          </w:p>
        </w:tc>
        <w:tc>
          <w:tcPr>
            <w:tcW w:w="920" w:type="dxa"/>
            <w:vAlign w:val="bottom"/>
            <w:gridSpan w:val="2"/>
          </w:tcPr>
          <w:p>
            <w:pPr>
              <w:jc w:val="center"/>
              <w:ind w:right="160"/>
              <w:spacing w:after="0" w:line="132" w:lineRule="exact"/>
              <w:rPr>
                <w:sz w:val="20"/>
                <w:szCs w:val="20"/>
                <w:color w:val="auto"/>
              </w:rPr>
            </w:pPr>
            <w:r>
              <w:rPr>
                <w:rFonts w:ascii="Arial" w:cs="Arial" w:eastAsia="Arial" w:hAnsi="Arial"/>
                <w:sz w:val="13"/>
                <w:szCs w:val="13"/>
                <w:b w:val="1"/>
                <w:bCs w:val="1"/>
                <w:color w:val="auto"/>
              </w:rPr>
              <w:t>Acquired on</w:t>
            </w:r>
          </w:p>
        </w:tc>
        <w:tc>
          <w:tcPr>
            <w:tcW w:w="1200" w:type="dxa"/>
            <w:vAlign w:val="bottom"/>
          </w:tcPr>
          <w:p>
            <w:pPr>
              <w:spacing w:after="0"/>
              <w:rPr>
                <w:sz w:val="11"/>
                <w:szCs w:val="11"/>
                <w:color w:val="auto"/>
              </w:rPr>
            </w:pPr>
          </w:p>
        </w:tc>
        <w:tc>
          <w:tcPr>
            <w:tcW w:w="1560" w:type="dxa"/>
            <w:vAlign w:val="bottom"/>
            <w:gridSpan w:val="2"/>
          </w:tcPr>
          <w:p>
            <w:pPr>
              <w:jc w:val="center"/>
              <w:ind w:right="680"/>
              <w:spacing w:after="0" w:line="132" w:lineRule="exact"/>
              <w:rPr>
                <w:sz w:val="20"/>
                <w:szCs w:val="20"/>
                <w:color w:val="auto"/>
              </w:rPr>
            </w:pPr>
            <w:r>
              <w:rPr>
                <w:rFonts w:ascii="Arial" w:cs="Arial" w:eastAsia="Arial" w:hAnsi="Arial"/>
                <w:sz w:val="13"/>
                <w:szCs w:val="13"/>
                <w:b w:val="1"/>
                <w:bCs w:val="1"/>
                <w:color w:val="auto"/>
              </w:rPr>
              <w:t>Realized on</w:t>
            </w:r>
          </w:p>
        </w:tc>
        <w:tc>
          <w:tcPr>
            <w:tcW w:w="0" w:type="dxa"/>
            <w:vAlign w:val="bottom"/>
          </w:tcPr>
          <w:p>
            <w:pPr>
              <w:spacing w:after="0"/>
              <w:rPr>
                <w:sz w:val="1"/>
                <w:szCs w:val="1"/>
                <w:color w:val="auto"/>
              </w:rPr>
            </w:pPr>
          </w:p>
        </w:tc>
      </w:tr>
      <w:tr>
        <w:trPr>
          <w:trHeight w:val="150"/>
        </w:trPr>
        <w:tc>
          <w:tcPr>
            <w:tcW w:w="30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560" w:type="dxa"/>
            <w:vAlign w:val="bottom"/>
            <w:vMerge w:val="restart"/>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7"/>
              </w:rPr>
              <w:t>Exercise</w:t>
            </w:r>
          </w:p>
        </w:tc>
        <w:tc>
          <w:tcPr>
            <w:tcW w:w="1260" w:type="dxa"/>
            <w:vAlign w:val="bottom"/>
          </w:tcPr>
          <w:p>
            <w:pPr>
              <w:spacing w:after="0"/>
              <w:rPr>
                <w:sz w:val="13"/>
                <w:szCs w:val="13"/>
                <w:color w:val="auto"/>
              </w:rPr>
            </w:pPr>
          </w:p>
        </w:tc>
        <w:tc>
          <w:tcPr>
            <w:tcW w:w="2080" w:type="dxa"/>
            <w:vAlign w:val="bottom"/>
            <w:gridSpan w:val="2"/>
          </w:tcPr>
          <w:p>
            <w:pPr>
              <w:jc w:val="right"/>
              <w:ind w:right="1360"/>
              <w:spacing w:after="0" w:line="150" w:lineRule="exact"/>
              <w:rPr>
                <w:sz w:val="20"/>
                <w:szCs w:val="20"/>
                <w:color w:val="auto"/>
              </w:rPr>
            </w:pPr>
            <w:r>
              <w:rPr>
                <w:rFonts w:ascii="Arial" w:cs="Arial" w:eastAsia="Arial" w:hAnsi="Arial"/>
                <w:sz w:val="11"/>
                <w:szCs w:val="11"/>
                <w:b w:val="1"/>
                <w:bCs w:val="1"/>
                <w:color w:val="auto"/>
              </w:rPr>
              <w:t xml:space="preserve">Exercise </w:t>
            </w:r>
            <w:r>
              <w:rPr>
                <w:rFonts w:ascii="Arial" w:cs="Arial" w:eastAsia="Arial" w:hAnsi="Arial"/>
                <w:sz w:val="17"/>
                <w:szCs w:val="17"/>
                <w:b w:val="1"/>
                <w:bCs w:val="1"/>
                <w:color w:val="auto"/>
                <w:vertAlign w:val="superscript"/>
              </w:rPr>
              <w:t>(1)</w:t>
            </w:r>
          </w:p>
        </w:tc>
        <w:tc>
          <w:tcPr>
            <w:tcW w:w="920" w:type="dxa"/>
            <w:vAlign w:val="bottom"/>
            <w:gridSpan w:val="2"/>
          </w:tcPr>
          <w:p>
            <w:pPr>
              <w:jc w:val="center"/>
              <w:ind w:right="160"/>
              <w:spacing w:after="0" w:line="150" w:lineRule="exact"/>
              <w:rPr>
                <w:sz w:val="20"/>
                <w:szCs w:val="20"/>
                <w:color w:val="auto"/>
              </w:rPr>
            </w:pPr>
            <w:r>
              <w:rPr>
                <w:rFonts w:ascii="Arial" w:cs="Arial" w:eastAsia="Arial" w:hAnsi="Arial"/>
                <w:sz w:val="11"/>
                <w:szCs w:val="11"/>
                <w:b w:val="1"/>
                <w:bCs w:val="1"/>
                <w:color w:val="auto"/>
              </w:rPr>
              <w:t>Vesting</w:t>
            </w:r>
            <w:r>
              <w:rPr>
                <w:rFonts w:ascii="Arial" w:cs="Arial" w:eastAsia="Arial" w:hAnsi="Arial"/>
                <w:sz w:val="17"/>
                <w:szCs w:val="17"/>
                <w:b w:val="1"/>
                <w:bCs w:val="1"/>
                <w:color w:val="auto"/>
                <w:vertAlign w:val="superscript"/>
              </w:rPr>
              <w:t>(2)</w:t>
            </w:r>
          </w:p>
        </w:tc>
        <w:tc>
          <w:tcPr>
            <w:tcW w:w="1200" w:type="dxa"/>
            <w:vAlign w:val="bottom"/>
          </w:tcPr>
          <w:p>
            <w:pPr>
              <w:spacing w:after="0"/>
              <w:rPr>
                <w:sz w:val="13"/>
                <w:szCs w:val="13"/>
                <w:color w:val="auto"/>
              </w:rPr>
            </w:pPr>
          </w:p>
        </w:tc>
        <w:tc>
          <w:tcPr>
            <w:tcW w:w="1560" w:type="dxa"/>
            <w:vAlign w:val="bottom"/>
            <w:gridSpan w:val="2"/>
          </w:tcPr>
          <w:p>
            <w:pPr>
              <w:jc w:val="center"/>
              <w:ind w:right="680"/>
              <w:spacing w:after="0" w:line="150" w:lineRule="exact"/>
              <w:rPr>
                <w:sz w:val="20"/>
                <w:szCs w:val="20"/>
                <w:color w:val="auto"/>
              </w:rPr>
            </w:pPr>
            <w:r>
              <w:rPr>
                <w:rFonts w:ascii="Arial" w:cs="Arial" w:eastAsia="Arial" w:hAnsi="Arial"/>
                <w:sz w:val="11"/>
                <w:szCs w:val="11"/>
                <w:b w:val="1"/>
                <w:bCs w:val="1"/>
                <w:color w:val="auto"/>
              </w:rPr>
              <w:t>Vesting</w:t>
            </w:r>
            <w:r>
              <w:rPr>
                <w:rFonts w:ascii="Arial" w:cs="Arial" w:eastAsia="Arial" w:hAnsi="Arial"/>
                <w:sz w:val="17"/>
                <w:szCs w:val="17"/>
                <w:b w:val="1"/>
                <w:bCs w:val="1"/>
                <w:color w:val="auto"/>
                <w:vertAlign w:val="superscript"/>
              </w:rPr>
              <w:t>(1)</w:t>
            </w:r>
          </w:p>
        </w:tc>
        <w:tc>
          <w:tcPr>
            <w:tcW w:w="0" w:type="dxa"/>
            <w:vAlign w:val="bottom"/>
          </w:tcPr>
          <w:p>
            <w:pPr>
              <w:spacing w:after="0"/>
              <w:rPr>
                <w:sz w:val="1"/>
                <w:szCs w:val="1"/>
                <w:color w:val="auto"/>
              </w:rPr>
            </w:pPr>
          </w:p>
        </w:tc>
      </w:tr>
      <w:tr>
        <w:trPr>
          <w:trHeight w:val="157"/>
        </w:trPr>
        <w:tc>
          <w:tcPr>
            <w:tcW w:w="3080" w:type="dxa"/>
            <w:vAlign w:val="bottom"/>
            <w:tcBorders>
              <w:bottom w:val="single" w:sz="8" w:color="auto"/>
            </w:tcBorders>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60" w:type="dxa"/>
            <w:vAlign w:val="bottom"/>
          </w:tcPr>
          <w:p>
            <w:pPr>
              <w:spacing w:after="0"/>
              <w:rPr>
                <w:sz w:val="13"/>
                <w:szCs w:val="13"/>
                <w:color w:val="auto"/>
              </w:rPr>
            </w:pPr>
          </w:p>
        </w:tc>
        <w:tc>
          <w:tcPr>
            <w:tcW w:w="72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w:t>
            </w:r>
          </w:p>
        </w:tc>
        <w:tc>
          <w:tcPr>
            <w:tcW w:w="136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640" w:type="dxa"/>
            <w:vAlign w:val="bottom"/>
            <w:gridSpan w:val="2"/>
          </w:tcPr>
          <w:p>
            <w:pPr>
              <w:spacing w:after="0" w:line="185" w:lineRule="exact"/>
              <w:rPr>
                <w:sz w:val="20"/>
                <w:szCs w:val="20"/>
                <w:color w:val="auto"/>
              </w:rPr>
            </w:pPr>
            <w:r>
              <w:rPr>
                <w:rFonts w:ascii="Arial" w:cs="Arial" w:eastAsia="Arial" w:hAnsi="Arial"/>
                <w:sz w:val="17"/>
                <w:szCs w:val="17"/>
                <w:color w:val="auto"/>
              </w:rPr>
              <w:t>Ms. Rosenfeld</w:t>
            </w:r>
          </w:p>
        </w:tc>
        <w:tc>
          <w:tcPr>
            <w:tcW w:w="760" w:type="dxa"/>
            <w:vAlign w:val="bottom"/>
          </w:tcPr>
          <w:p>
            <w:pPr>
              <w:jc w:val="right"/>
              <w:ind w:right="6"/>
              <w:spacing w:after="0" w:line="185" w:lineRule="exact"/>
              <w:rPr>
                <w:sz w:val="20"/>
                <w:szCs w:val="20"/>
                <w:color w:val="auto"/>
              </w:rPr>
            </w:pPr>
            <w:r>
              <w:rPr>
                <w:rFonts w:ascii="Arial" w:cs="Arial" w:eastAsia="Arial" w:hAnsi="Arial"/>
                <w:sz w:val="17"/>
                <w:szCs w:val="17"/>
                <w:color w:val="auto"/>
              </w:rPr>
              <w:t>—</w:t>
            </w:r>
          </w:p>
        </w:tc>
        <w:tc>
          <w:tcPr>
            <w:tcW w:w="1260" w:type="dxa"/>
            <w:vAlign w:val="bottom"/>
          </w:tcPr>
          <w:p>
            <w:pPr>
              <w:spacing w:after="0"/>
              <w:rPr>
                <w:sz w:val="16"/>
                <w:szCs w:val="16"/>
                <w:color w:val="auto"/>
              </w:rPr>
            </w:pPr>
          </w:p>
        </w:tc>
        <w:tc>
          <w:tcPr>
            <w:tcW w:w="2080" w:type="dxa"/>
            <w:vAlign w:val="bottom"/>
            <w:gridSpan w:val="2"/>
          </w:tcPr>
          <w:p>
            <w:pPr>
              <w:jc w:val="right"/>
              <w:ind w:right="1440"/>
              <w:spacing w:after="0" w:line="185" w:lineRule="exact"/>
              <w:rPr>
                <w:sz w:val="20"/>
                <w:szCs w:val="20"/>
                <w:color w:val="auto"/>
              </w:rPr>
            </w:pPr>
            <w:r>
              <w:rPr>
                <w:rFonts w:ascii="Arial" w:cs="Arial" w:eastAsia="Arial" w:hAnsi="Arial"/>
                <w:sz w:val="17"/>
                <w:szCs w:val="17"/>
                <w:color w:val="auto"/>
              </w:rPr>
              <w:t>—</w:t>
            </w:r>
          </w:p>
        </w:tc>
        <w:tc>
          <w:tcPr>
            <w:tcW w:w="760" w:type="dxa"/>
            <w:vAlign w:val="bottom"/>
          </w:tcPr>
          <w:p>
            <w:pPr>
              <w:jc w:val="right"/>
              <w:spacing w:after="0" w:line="185" w:lineRule="exact"/>
              <w:rPr>
                <w:sz w:val="20"/>
                <w:szCs w:val="20"/>
                <w:color w:val="auto"/>
              </w:rPr>
            </w:pPr>
            <w:r>
              <w:rPr>
                <w:rFonts w:ascii="Arial" w:cs="Arial" w:eastAsia="Arial" w:hAnsi="Arial"/>
                <w:sz w:val="17"/>
                <w:szCs w:val="17"/>
                <w:color w:val="auto"/>
              </w:rPr>
              <w:t>548,814</w:t>
            </w:r>
          </w:p>
        </w:tc>
        <w:tc>
          <w:tcPr>
            <w:tcW w:w="160" w:type="dxa"/>
            <w:vAlign w:val="bottom"/>
          </w:tcPr>
          <w:p>
            <w:pPr>
              <w:spacing w:after="0"/>
              <w:rPr>
                <w:sz w:val="16"/>
                <w:szCs w:val="16"/>
                <w:color w:val="auto"/>
              </w:rPr>
            </w:pPr>
          </w:p>
        </w:tc>
        <w:tc>
          <w:tcPr>
            <w:tcW w:w="2080" w:type="dxa"/>
            <w:vAlign w:val="bottom"/>
            <w:gridSpan w:val="2"/>
          </w:tcPr>
          <w:p>
            <w:pPr>
              <w:jc w:val="right"/>
              <w:spacing w:after="0" w:line="185" w:lineRule="exact"/>
              <w:rPr>
                <w:sz w:val="20"/>
                <w:szCs w:val="20"/>
                <w:color w:val="auto"/>
              </w:rPr>
            </w:pPr>
            <w:r>
              <w:rPr>
                <w:rFonts w:ascii="Arial" w:cs="Arial" w:eastAsia="Arial" w:hAnsi="Arial"/>
                <w:sz w:val="17"/>
                <w:szCs w:val="17"/>
                <w:color w:val="auto"/>
              </w:rPr>
              <w:t>19,318,067</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4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Brearton</w:t>
            </w:r>
          </w:p>
        </w:tc>
        <w:tc>
          <w:tcPr>
            <w:tcW w:w="7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45,170</w:t>
            </w:r>
          </w:p>
        </w:tc>
        <w:tc>
          <w:tcPr>
            <w:tcW w:w="3340" w:type="dxa"/>
            <w:vAlign w:val="bottom"/>
            <w:gridSpan w:val="3"/>
            <w:shd w:val="clear" w:color="auto" w:fill="D8D8D8"/>
          </w:tcPr>
          <w:p>
            <w:pPr>
              <w:jc w:val="right"/>
              <w:ind w:right="1360"/>
              <w:spacing w:after="0" w:line="192" w:lineRule="exact"/>
              <w:rPr>
                <w:sz w:val="20"/>
                <w:szCs w:val="20"/>
                <w:color w:val="auto"/>
              </w:rPr>
            </w:pPr>
            <w:r>
              <w:rPr>
                <w:rFonts w:ascii="Arial" w:cs="Arial" w:eastAsia="Arial" w:hAnsi="Arial"/>
                <w:sz w:val="17"/>
                <w:szCs w:val="17"/>
                <w:color w:val="auto"/>
              </w:rPr>
              <w:t>163,733</w:t>
            </w:r>
          </w:p>
        </w:tc>
        <w:tc>
          <w:tcPr>
            <w:tcW w:w="920" w:type="dxa"/>
            <w:vAlign w:val="bottom"/>
            <w:gridSpan w:val="2"/>
            <w:shd w:val="clear" w:color="auto" w:fill="D8D8D8"/>
          </w:tcPr>
          <w:p>
            <w:pPr>
              <w:jc w:val="right"/>
              <w:ind w:right="160"/>
              <w:spacing w:after="0" w:line="192" w:lineRule="exact"/>
              <w:rPr>
                <w:sz w:val="20"/>
                <w:szCs w:val="20"/>
                <w:color w:val="auto"/>
              </w:rPr>
            </w:pPr>
            <w:r>
              <w:rPr>
                <w:rFonts w:ascii="Arial" w:cs="Arial" w:eastAsia="Arial" w:hAnsi="Arial"/>
                <w:sz w:val="17"/>
                <w:szCs w:val="17"/>
                <w:color w:val="auto"/>
              </w:rPr>
              <w:t>31,925</w:t>
            </w:r>
          </w:p>
        </w:tc>
        <w:tc>
          <w:tcPr>
            <w:tcW w:w="2080" w:type="dxa"/>
            <w:vAlign w:val="bottom"/>
            <w:gridSpan w:val="2"/>
            <w:shd w:val="clear" w:color="auto" w:fill="D8D8D8"/>
          </w:tcPr>
          <w:p>
            <w:pPr>
              <w:jc w:val="right"/>
              <w:spacing w:after="0" w:line="192" w:lineRule="exact"/>
              <w:rPr>
                <w:sz w:val="20"/>
                <w:szCs w:val="20"/>
                <w:color w:val="auto"/>
              </w:rPr>
            </w:pPr>
            <w:r>
              <w:rPr>
                <w:rFonts w:ascii="Arial" w:cs="Arial" w:eastAsia="Arial" w:hAnsi="Arial"/>
                <w:sz w:val="17"/>
                <w:szCs w:val="17"/>
                <w:color w:val="auto"/>
              </w:rPr>
              <w:t>1,119,401</w:t>
            </w:r>
          </w:p>
        </w:tc>
        <w:tc>
          <w:tcPr>
            <w:tcW w:w="68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40" w:type="dxa"/>
            <w:vAlign w:val="bottom"/>
            <w:gridSpan w:val="2"/>
          </w:tcPr>
          <w:p>
            <w:pPr>
              <w:spacing w:after="0" w:line="192" w:lineRule="exact"/>
              <w:rPr>
                <w:sz w:val="20"/>
                <w:szCs w:val="20"/>
                <w:color w:val="auto"/>
              </w:rPr>
            </w:pPr>
            <w:r>
              <w:rPr>
                <w:rFonts w:ascii="Arial" w:cs="Arial" w:eastAsia="Arial" w:hAnsi="Arial"/>
                <w:sz w:val="17"/>
                <w:szCs w:val="17"/>
                <w:color w:val="auto"/>
              </w:rPr>
              <w:t>Mr. McLevish</w:t>
            </w:r>
          </w:p>
        </w:tc>
        <w:tc>
          <w:tcPr>
            <w:tcW w:w="760" w:type="dxa"/>
            <w:vAlign w:val="bottom"/>
          </w:tcPr>
          <w:p>
            <w:pPr>
              <w:jc w:val="right"/>
              <w:ind w:right="6"/>
              <w:spacing w:after="0" w:line="192" w:lineRule="exact"/>
              <w:rPr>
                <w:sz w:val="20"/>
                <w:szCs w:val="20"/>
                <w:color w:val="auto"/>
              </w:rPr>
            </w:pPr>
            <w:r>
              <w:rPr>
                <w:rFonts w:ascii="Arial" w:cs="Arial" w:eastAsia="Arial" w:hAnsi="Arial"/>
                <w:sz w:val="17"/>
                <w:szCs w:val="17"/>
                <w:color w:val="auto"/>
              </w:rPr>
              <w:t>—</w:t>
            </w:r>
          </w:p>
        </w:tc>
        <w:tc>
          <w:tcPr>
            <w:tcW w:w="1260" w:type="dxa"/>
            <w:vAlign w:val="bottom"/>
          </w:tcPr>
          <w:p>
            <w:pPr>
              <w:spacing w:after="0"/>
              <w:rPr>
                <w:sz w:val="16"/>
                <w:szCs w:val="16"/>
                <w:color w:val="auto"/>
              </w:rPr>
            </w:pPr>
          </w:p>
        </w:tc>
        <w:tc>
          <w:tcPr>
            <w:tcW w:w="2080" w:type="dxa"/>
            <w:vAlign w:val="bottom"/>
            <w:gridSpan w:val="2"/>
          </w:tcPr>
          <w:p>
            <w:pPr>
              <w:jc w:val="right"/>
              <w:ind w:right="1440"/>
              <w:spacing w:after="0" w:line="192"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line="192" w:lineRule="exact"/>
              <w:rPr>
                <w:sz w:val="20"/>
                <w:szCs w:val="20"/>
                <w:color w:val="auto"/>
              </w:rPr>
            </w:pPr>
            <w:r>
              <w:rPr>
                <w:rFonts w:ascii="Arial" w:cs="Arial" w:eastAsia="Arial" w:hAnsi="Arial"/>
                <w:sz w:val="17"/>
                <w:szCs w:val="17"/>
                <w:color w:val="auto"/>
              </w:rPr>
              <w:t>78,585</w:t>
            </w:r>
          </w:p>
        </w:tc>
        <w:tc>
          <w:tcPr>
            <w:tcW w:w="208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2,810,808</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4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Khosla</w:t>
            </w:r>
          </w:p>
        </w:tc>
        <w:tc>
          <w:tcPr>
            <w:tcW w:w="7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26,000</w:t>
            </w:r>
          </w:p>
        </w:tc>
        <w:tc>
          <w:tcPr>
            <w:tcW w:w="3340" w:type="dxa"/>
            <w:vAlign w:val="bottom"/>
            <w:gridSpan w:val="3"/>
            <w:shd w:val="clear" w:color="auto" w:fill="D8D8D8"/>
          </w:tcPr>
          <w:p>
            <w:pPr>
              <w:jc w:val="right"/>
              <w:ind w:right="1360"/>
              <w:spacing w:after="0" w:line="192" w:lineRule="exact"/>
              <w:rPr>
                <w:sz w:val="20"/>
                <w:szCs w:val="20"/>
                <w:color w:val="auto"/>
              </w:rPr>
            </w:pPr>
            <w:r>
              <w:rPr>
                <w:rFonts w:ascii="Arial" w:cs="Arial" w:eastAsia="Arial" w:hAnsi="Arial"/>
                <w:sz w:val="17"/>
                <w:szCs w:val="17"/>
                <w:color w:val="auto"/>
              </w:rPr>
              <w:t>288,899</w:t>
            </w:r>
          </w:p>
        </w:tc>
        <w:tc>
          <w:tcPr>
            <w:tcW w:w="920" w:type="dxa"/>
            <w:vAlign w:val="bottom"/>
            <w:gridSpan w:val="2"/>
            <w:shd w:val="clear" w:color="auto" w:fill="D8D8D8"/>
          </w:tcPr>
          <w:p>
            <w:pPr>
              <w:jc w:val="right"/>
              <w:ind w:right="160"/>
              <w:spacing w:after="0" w:line="192" w:lineRule="exact"/>
              <w:rPr>
                <w:sz w:val="20"/>
                <w:szCs w:val="20"/>
                <w:color w:val="auto"/>
              </w:rPr>
            </w:pPr>
            <w:r>
              <w:rPr>
                <w:rFonts w:ascii="Arial" w:cs="Arial" w:eastAsia="Arial" w:hAnsi="Arial"/>
                <w:sz w:val="17"/>
                <w:szCs w:val="17"/>
                <w:color w:val="auto"/>
              </w:rPr>
              <w:t>62,700</w:t>
            </w:r>
          </w:p>
        </w:tc>
        <w:tc>
          <w:tcPr>
            <w:tcW w:w="2080" w:type="dxa"/>
            <w:vAlign w:val="bottom"/>
            <w:gridSpan w:val="2"/>
            <w:shd w:val="clear" w:color="auto" w:fill="D8D8D8"/>
          </w:tcPr>
          <w:p>
            <w:pPr>
              <w:jc w:val="right"/>
              <w:spacing w:after="0" w:line="192" w:lineRule="exact"/>
              <w:rPr>
                <w:sz w:val="20"/>
                <w:szCs w:val="20"/>
                <w:color w:val="auto"/>
              </w:rPr>
            </w:pPr>
            <w:r>
              <w:rPr>
                <w:rFonts w:ascii="Arial" w:cs="Arial" w:eastAsia="Arial" w:hAnsi="Arial"/>
                <w:sz w:val="17"/>
                <w:szCs w:val="17"/>
                <w:color w:val="auto"/>
              </w:rPr>
              <w:t>2,266,495</w:t>
            </w:r>
          </w:p>
        </w:tc>
        <w:tc>
          <w:tcPr>
            <w:tcW w:w="68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40" w:type="dxa"/>
            <w:vAlign w:val="bottom"/>
            <w:gridSpan w:val="2"/>
          </w:tcPr>
          <w:p>
            <w:pPr>
              <w:spacing w:after="0" w:line="192" w:lineRule="exact"/>
              <w:rPr>
                <w:sz w:val="20"/>
                <w:szCs w:val="20"/>
                <w:color w:val="auto"/>
              </w:rPr>
            </w:pPr>
            <w:r>
              <w:rPr>
                <w:rFonts w:ascii="Arial" w:cs="Arial" w:eastAsia="Arial" w:hAnsi="Arial"/>
                <w:sz w:val="17"/>
                <w:szCs w:val="17"/>
                <w:color w:val="auto"/>
              </w:rPr>
              <w:t>Mr. Vernon</w:t>
            </w:r>
          </w:p>
        </w:tc>
        <w:tc>
          <w:tcPr>
            <w:tcW w:w="760" w:type="dxa"/>
            <w:vAlign w:val="bottom"/>
          </w:tcPr>
          <w:p>
            <w:pPr>
              <w:jc w:val="right"/>
              <w:ind w:right="6"/>
              <w:spacing w:after="0" w:line="192" w:lineRule="exact"/>
              <w:rPr>
                <w:sz w:val="20"/>
                <w:szCs w:val="20"/>
                <w:color w:val="auto"/>
              </w:rPr>
            </w:pPr>
            <w:r>
              <w:rPr>
                <w:rFonts w:ascii="Arial" w:cs="Arial" w:eastAsia="Arial" w:hAnsi="Arial"/>
                <w:sz w:val="17"/>
                <w:szCs w:val="17"/>
                <w:color w:val="auto"/>
              </w:rPr>
              <w:t>—</w:t>
            </w:r>
          </w:p>
        </w:tc>
        <w:tc>
          <w:tcPr>
            <w:tcW w:w="1260" w:type="dxa"/>
            <w:vAlign w:val="bottom"/>
          </w:tcPr>
          <w:p>
            <w:pPr>
              <w:spacing w:after="0"/>
              <w:rPr>
                <w:sz w:val="16"/>
                <w:szCs w:val="16"/>
                <w:color w:val="auto"/>
              </w:rPr>
            </w:pPr>
          </w:p>
        </w:tc>
        <w:tc>
          <w:tcPr>
            <w:tcW w:w="2080" w:type="dxa"/>
            <w:vAlign w:val="bottom"/>
            <w:gridSpan w:val="2"/>
          </w:tcPr>
          <w:p>
            <w:pPr>
              <w:jc w:val="right"/>
              <w:ind w:right="1440"/>
              <w:spacing w:after="0" w:line="192"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line="192" w:lineRule="exact"/>
              <w:rPr>
                <w:sz w:val="20"/>
                <w:szCs w:val="20"/>
                <w:color w:val="auto"/>
              </w:rPr>
            </w:pPr>
            <w:r>
              <w:rPr>
                <w:rFonts w:ascii="Arial" w:cs="Arial" w:eastAsia="Arial" w:hAnsi="Arial"/>
                <w:sz w:val="17"/>
                <w:szCs w:val="17"/>
                <w:color w:val="auto"/>
              </w:rPr>
              <w:t>68,765</w:t>
            </w:r>
          </w:p>
        </w:tc>
        <w:tc>
          <w:tcPr>
            <w:tcW w:w="208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2,570,398</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4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Ms. West</w:t>
            </w:r>
          </w:p>
        </w:tc>
        <w:tc>
          <w:tcPr>
            <w:tcW w:w="7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35,500</w:t>
            </w:r>
          </w:p>
        </w:tc>
        <w:tc>
          <w:tcPr>
            <w:tcW w:w="3340" w:type="dxa"/>
            <w:vAlign w:val="bottom"/>
            <w:gridSpan w:val="3"/>
            <w:shd w:val="clear" w:color="auto" w:fill="D8D8D8"/>
          </w:tcPr>
          <w:p>
            <w:pPr>
              <w:jc w:val="right"/>
              <w:ind w:right="1360"/>
              <w:spacing w:after="0" w:line="192" w:lineRule="exact"/>
              <w:rPr>
                <w:sz w:val="20"/>
                <w:szCs w:val="20"/>
                <w:color w:val="auto"/>
              </w:rPr>
            </w:pPr>
            <w:r>
              <w:rPr>
                <w:rFonts w:ascii="Arial" w:cs="Arial" w:eastAsia="Arial" w:hAnsi="Arial"/>
                <w:sz w:val="17"/>
                <w:szCs w:val="17"/>
                <w:color w:val="auto"/>
              </w:rPr>
              <w:t>116,620</w:t>
            </w:r>
          </w:p>
        </w:tc>
        <w:tc>
          <w:tcPr>
            <w:tcW w:w="920" w:type="dxa"/>
            <w:vAlign w:val="bottom"/>
            <w:gridSpan w:val="2"/>
            <w:shd w:val="clear" w:color="auto" w:fill="D8D8D8"/>
          </w:tcPr>
          <w:p>
            <w:pPr>
              <w:jc w:val="right"/>
              <w:ind w:right="160"/>
              <w:spacing w:after="0" w:line="192" w:lineRule="exact"/>
              <w:rPr>
                <w:sz w:val="20"/>
                <w:szCs w:val="20"/>
                <w:color w:val="auto"/>
              </w:rPr>
            </w:pPr>
            <w:r>
              <w:rPr>
                <w:rFonts w:ascii="Arial" w:cs="Arial" w:eastAsia="Arial" w:hAnsi="Arial"/>
                <w:sz w:val="17"/>
                <w:szCs w:val="17"/>
                <w:color w:val="auto"/>
              </w:rPr>
              <w:t>27,805</w:t>
            </w:r>
          </w:p>
        </w:tc>
        <w:tc>
          <w:tcPr>
            <w:tcW w:w="2080" w:type="dxa"/>
            <w:vAlign w:val="bottom"/>
            <w:gridSpan w:val="2"/>
            <w:shd w:val="clear" w:color="auto" w:fill="D8D8D8"/>
          </w:tcPr>
          <w:p>
            <w:pPr>
              <w:jc w:val="right"/>
              <w:spacing w:after="0" w:line="192" w:lineRule="exact"/>
              <w:rPr>
                <w:sz w:val="20"/>
                <w:szCs w:val="20"/>
                <w:color w:val="auto"/>
              </w:rPr>
            </w:pPr>
            <w:r>
              <w:rPr>
                <w:rFonts w:ascii="Arial" w:cs="Arial" w:eastAsia="Arial" w:hAnsi="Arial"/>
                <w:sz w:val="17"/>
                <w:szCs w:val="17"/>
                <w:color w:val="auto"/>
              </w:rPr>
              <w:t>981,516</w:t>
            </w:r>
          </w:p>
        </w:tc>
        <w:tc>
          <w:tcPr>
            <w:tcW w:w="68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64770</wp:posOffset>
            </wp:positionV>
            <wp:extent cx="7226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4" w:lineRule="exact"/>
        <w:rPr>
          <w:sz w:val="20"/>
          <w:szCs w:val="20"/>
          <w:color w:val="auto"/>
        </w:rPr>
      </w:pPr>
    </w:p>
    <w:p>
      <w:pPr>
        <w:ind w:left="1240" w:hanging="445"/>
        <w:spacing w:after="0"/>
        <w:tabs>
          <w:tab w:leader="none" w:pos="12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amounts shown are calculated based on the closing market price of our common stock on the date of exercise or vesting.</w:t>
      </w:r>
    </w:p>
    <w:p>
      <w:pPr>
        <w:spacing w:after="0" w:line="73" w:lineRule="exact"/>
        <w:rPr>
          <w:rFonts w:ascii="Arial" w:cs="Arial" w:eastAsia="Arial" w:hAnsi="Arial"/>
          <w:sz w:val="17"/>
          <w:szCs w:val="17"/>
          <w:color w:val="auto"/>
        </w:rPr>
      </w:pPr>
    </w:p>
    <w:p>
      <w:pPr>
        <w:ind w:left="1240" w:right="680" w:hanging="445"/>
        <w:spacing w:after="0" w:line="241" w:lineRule="auto"/>
        <w:tabs>
          <w:tab w:leader="none" w:pos="12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amounts shown include performance shares awarded under our 2009 – 2011 LTIP with a performance cycle which ended on December 31, 2011.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Pension Benefits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8"/>
              </w:rPr>
              <w:t>Number of</w:t>
            </w:r>
          </w:p>
        </w:tc>
        <w:tc>
          <w:tcPr>
            <w:tcW w:w="13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7"/>
              </w:rPr>
              <w:t>Present Value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2"/>
          </w:tcPr>
          <w:p>
            <w:pPr>
              <w:jc w:val="center"/>
              <w:ind w:right="540"/>
              <w:spacing w:after="0" w:line="141" w:lineRule="exact"/>
              <w:rPr>
                <w:sz w:val="20"/>
                <w:szCs w:val="20"/>
                <w:color w:val="auto"/>
              </w:rPr>
            </w:pPr>
            <w:r>
              <w:rPr>
                <w:rFonts w:ascii="Arial" w:cs="Arial" w:eastAsia="Arial" w:hAnsi="Arial"/>
                <w:sz w:val="13"/>
                <w:szCs w:val="13"/>
                <w:b w:val="1"/>
                <w:bCs w:val="1"/>
                <w:color w:val="auto"/>
                <w:w w:val="97"/>
              </w:rPr>
              <w:t>Years of</w:t>
            </w:r>
          </w:p>
        </w:tc>
        <w:tc>
          <w:tcPr>
            <w:tcW w:w="1360" w:type="dxa"/>
            <w:vAlign w:val="bottom"/>
            <w:gridSpan w:val="2"/>
          </w:tcPr>
          <w:p>
            <w:pPr>
              <w:jc w:val="center"/>
              <w:ind w:right="480"/>
              <w:spacing w:after="0" w:line="141" w:lineRule="exact"/>
              <w:rPr>
                <w:sz w:val="20"/>
                <w:szCs w:val="20"/>
                <w:color w:val="auto"/>
              </w:rPr>
            </w:pPr>
            <w:r>
              <w:rPr>
                <w:rFonts w:ascii="Arial" w:cs="Arial" w:eastAsia="Arial" w:hAnsi="Arial"/>
                <w:sz w:val="13"/>
                <w:szCs w:val="13"/>
                <w:b w:val="1"/>
                <w:bCs w:val="1"/>
                <w:color w:val="auto"/>
                <w:w w:val="97"/>
              </w:rPr>
              <w:t>of</w:t>
            </w:r>
          </w:p>
        </w:tc>
        <w:tc>
          <w:tcPr>
            <w:tcW w:w="82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7"/>
              </w:rPr>
              <w:t>Payments</w:t>
            </w:r>
          </w:p>
        </w:tc>
        <w:tc>
          <w:tcPr>
            <w:tcW w:w="0" w:type="dxa"/>
            <w:vAlign w:val="bottom"/>
          </w:tcPr>
          <w:p>
            <w:pPr>
              <w:spacing w:after="0"/>
              <w:rPr>
                <w:sz w:val="1"/>
                <w:szCs w:val="1"/>
                <w:color w:val="auto"/>
              </w:rPr>
            </w:pPr>
          </w:p>
        </w:tc>
      </w:tr>
      <w:tr>
        <w:trPr>
          <w:trHeight w:val="132"/>
        </w:trPr>
        <w:tc>
          <w:tcPr>
            <w:tcW w:w="19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jc w:val="center"/>
              <w:ind w:right="560"/>
              <w:spacing w:after="0" w:line="132" w:lineRule="exact"/>
              <w:rPr>
                <w:sz w:val="20"/>
                <w:szCs w:val="20"/>
                <w:color w:val="auto"/>
              </w:rPr>
            </w:pPr>
            <w:r>
              <w:rPr>
                <w:rFonts w:ascii="Arial" w:cs="Arial" w:eastAsia="Arial" w:hAnsi="Arial"/>
                <w:sz w:val="13"/>
                <w:szCs w:val="13"/>
                <w:b w:val="1"/>
                <w:bCs w:val="1"/>
                <w:color w:val="auto"/>
                <w:w w:val="98"/>
              </w:rPr>
              <w:t>Credited</w:t>
            </w:r>
          </w:p>
        </w:tc>
        <w:tc>
          <w:tcPr>
            <w:tcW w:w="1360" w:type="dxa"/>
            <w:vAlign w:val="bottom"/>
            <w:gridSpan w:val="2"/>
          </w:tcPr>
          <w:p>
            <w:pPr>
              <w:jc w:val="center"/>
              <w:ind w:right="480"/>
              <w:spacing w:after="0" w:line="132" w:lineRule="exact"/>
              <w:rPr>
                <w:sz w:val="20"/>
                <w:szCs w:val="20"/>
                <w:color w:val="auto"/>
              </w:rPr>
            </w:pPr>
            <w:r>
              <w:rPr>
                <w:rFonts w:ascii="Arial" w:cs="Arial" w:eastAsia="Arial" w:hAnsi="Arial"/>
                <w:sz w:val="13"/>
                <w:szCs w:val="13"/>
                <w:b w:val="1"/>
                <w:bCs w:val="1"/>
                <w:color w:val="auto"/>
                <w:w w:val="97"/>
              </w:rPr>
              <w:t>Accumulated</w:t>
            </w:r>
          </w:p>
        </w:tc>
        <w:tc>
          <w:tcPr>
            <w:tcW w:w="82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9"/>
              </w:rPr>
              <w:t>During Last</w:t>
            </w:r>
          </w:p>
        </w:tc>
        <w:tc>
          <w:tcPr>
            <w:tcW w:w="0" w:type="dxa"/>
            <w:vAlign w:val="bottom"/>
          </w:tcPr>
          <w:p>
            <w:pPr>
              <w:spacing w:after="0"/>
              <w:rPr>
                <w:sz w:val="1"/>
                <w:szCs w:val="1"/>
                <w:color w:val="auto"/>
              </w:rPr>
            </w:pPr>
          </w:p>
        </w:tc>
      </w:tr>
      <w:tr>
        <w:trPr>
          <w:trHeight w:val="162"/>
        </w:trPr>
        <w:tc>
          <w:tcPr>
            <w:tcW w:w="192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380" w:type="dxa"/>
            <w:vAlign w:val="bottom"/>
          </w:tcPr>
          <w:p>
            <w:pPr>
              <w:spacing w:after="0"/>
              <w:rPr>
                <w:sz w:val="14"/>
                <w:szCs w:val="14"/>
                <w:color w:val="auto"/>
              </w:rPr>
            </w:pPr>
          </w:p>
        </w:tc>
        <w:tc>
          <w:tcPr>
            <w:tcW w:w="5380" w:type="dxa"/>
            <w:vAlign w:val="bottom"/>
            <w:vMerge w:val="restart"/>
          </w:tcPr>
          <w:p>
            <w:pPr>
              <w:ind w:left="2360"/>
              <w:spacing w:after="0"/>
              <w:rPr>
                <w:sz w:val="20"/>
                <w:szCs w:val="20"/>
                <w:color w:val="auto"/>
              </w:rPr>
            </w:pPr>
            <w:r>
              <w:rPr>
                <w:rFonts w:ascii="Arial" w:cs="Arial" w:eastAsia="Arial" w:hAnsi="Arial"/>
                <w:sz w:val="13"/>
                <w:szCs w:val="13"/>
                <w:b w:val="1"/>
                <w:bCs w:val="1"/>
                <w:color w:val="auto"/>
              </w:rPr>
              <w:t>Plan Name</w:t>
            </w:r>
          </w:p>
        </w:tc>
        <w:tc>
          <w:tcPr>
            <w:tcW w:w="360" w:type="dxa"/>
            <w:vAlign w:val="bottom"/>
            <w:vMerge w:val="restart"/>
          </w:tcPr>
          <w:p>
            <w:pPr>
              <w:spacing w:after="0"/>
              <w:rPr>
                <w:sz w:val="14"/>
                <w:szCs w:val="14"/>
                <w:color w:val="auto"/>
              </w:rPr>
            </w:pPr>
          </w:p>
        </w:tc>
        <w:tc>
          <w:tcPr>
            <w:tcW w:w="1200" w:type="dxa"/>
            <w:vAlign w:val="bottom"/>
            <w:gridSpan w:val="2"/>
          </w:tcPr>
          <w:p>
            <w:pPr>
              <w:jc w:val="center"/>
              <w:ind w:right="540"/>
              <w:spacing w:after="0" w:line="163" w:lineRule="exact"/>
              <w:rPr>
                <w:sz w:val="20"/>
                <w:szCs w:val="20"/>
                <w:color w:val="auto"/>
              </w:rPr>
            </w:pPr>
            <w:r>
              <w:rPr>
                <w:rFonts w:ascii="Arial" w:cs="Arial" w:eastAsia="Arial" w:hAnsi="Arial"/>
                <w:sz w:val="11"/>
                <w:szCs w:val="11"/>
                <w:b w:val="1"/>
                <w:bCs w:val="1"/>
                <w:color w:val="auto"/>
              </w:rPr>
              <w:t>Service</w:t>
            </w:r>
            <w:r>
              <w:rPr>
                <w:rFonts w:ascii="Arial" w:cs="Arial" w:eastAsia="Arial" w:hAnsi="Arial"/>
                <w:sz w:val="18"/>
                <w:szCs w:val="18"/>
                <w:b w:val="1"/>
                <w:bCs w:val="1"/>
                <w:color w:val="auto"/>
                <w:vertAlign w:val="superscript"/>
              </w:rPr>
              <w:t>(1)</w:t>
            </w:r>
          </w:p>
        </w:tc>
        <w:tc>
          <w:tcPr>
            <w:tcW w:w="1360" w:type="dxa"/>
            <w:vAlign w:val="bottom"/>
            <w:gridSpan w:val="2"/>
          </w:tcPr>
          <w:p>
            <w:pPr>
              <w:jc w:val="center"/>
              <w:ind w:right="480"/>
              <w:spacing w:after="0" w:line="163" w:lineRule="exact"/>
              <w:rPr>
                <w:sz w:val="20"/>
                <w:szCs w:val="20"/>
                <w:color w:val="auto"/>
              </w:rPr>
            </w:pPr>
            <w:r>
              <w:rPr>
                <w:rFonts w:ascii="Arial" w:cs="Arial" w:eastAsia="Arial" w:hAnsi="Arial"/>
                <w:sz w:val="11"/>
                <w:szCs w:val="11"/>
                <w:b w:val="1"/>
                <w:bCs w:val="1"/>
                <w:color w:val="auto"/>
              </w:rPr>
              <w:t>Benefits</w:t>
            </w:r>
            <w:r>
              <w:rPr>
                <w:rFonts w:ascii="Arial" w:cs="Arial" w:eastAsia="Arial" w:hAnsi="Arial"/>
                <w:sz w:val="18"/>
                <w:szCs w:val="18"/>
                <w:b w:val="1"/>
                <w:bCs w:val="1"/>
                <w:color w:val="auto"/>
                <w:vertAlign w:val="superscript"/>
              </w:rPr>
              <w:t>(2)</w:t>
            </w:r>
          </w:p>
        </w:tc>
        <w:tc>
          <w:tcPr>
            <w:tcW w:w="8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Fiscal Year</w:t>
            </w:r>
          </w:p>
        </w:tc>
        <w:tc>
          <w:tcPr>
            <w:tcW w:w="0" w:type="dxa"/>
            <w:vAlign w:val="bottom"/>
          </w:tcPr>
          <w:p>
            <w:pPr>
              <w:spacing w:after="0"/>
              <w:rPr>
                <w:sz w:val="1"/>
                <w:szCs w:val="1"/>
                <w:color w:val="auto"/>
              </w:rPr>
            </w:pPr>
          </w:p>
        </w:tc>
      </w:tr>
      <w:tr>
        <w:trPr>
          <w:trHeight w:val="157"/>
        </w:trPr>
        <w:tc>
          <w:tcPr>
            <w:tcW w:w="1920" w:type="dxa"/>
            <w:vAlign w:val="bottom"/>
            <w:tcBorders>
              <w:bottom w:val="single" w:sz="8" w:color="auto"/>
            </w:tcBorders>
            <w:vMerge w:val="continue"/>
          </w:tcPr>
          <w:p>
            <w:pPr>
              <w:spacing w:after="0"/>
              <w:rPr>
                <w:sz w:val="13"/>
                <w:szCs w:val="13"/>
                <w:color w:val="auto"/>
              </w:rPr>
            </w:pPr>
          </w:p>
        </w:tc>
        <w:tc>
          <w:tcPr>
            <w:tcW w:w="380" w:type="dxa"/>
            <w:vAlign w:val="bottom"/>
          </w:tcPr>
          <w:p>
            <w:pPr>
              <w:spacing w:after="0"/>
              <w:rPr>
                <w:sz w:val="13"/>
                <w:szCs w:val="13"/>
                <w:color w:val="auto"/>
              </w:rPr>
            </w:pPr>
          </w:p>
        </w:tc>
        <w:tc>
          <w:tcPr>
            <w:tcW w:w="5380" w:type="dxa"/>
            <w:vAlign w:val="bottom"/>
            <w:tcBorders>
              <w:bottom w:val="single" w:sz="8" w:color="auto"/>
            </w:tcBorders>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5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20" w:type="dxa"/>
            <w:vAlign w:val="bottom"/>
          </w:tcPr>
          <w:p>
            <w:pPr>
              <w:spacing w:after="0" w:line="188" w:lineRule="exact"/>
              <w:rPr>
                <w:sz w:val="20"/>
                <w:szCs w:val="20"/>
                <w:color w:val="auto"/>
              </w:rPr>
            </w:pPr>
            <w:r>
              <w:rPr>
                <w:rFonts w:ascii="Arial" w:cs="Arial" w:eastAsia="Arial" w:hAnsi="Arial"/>
                <w:sz w:val="17"/>
                <w:szCs w:val="17"/>
                <w:color w:val="auto"/>
              </w:rPr>
              <w:t>Ms. Rosenfeld</w:t>
            </w:r>
          </w:p>
        </w:tc>
        <w:tc>
          <w:tcPr>
            <w:tcW w:w="380" w:type="dxa"/>
            <w:vAlign w:val="bottom"/>
          </w:tcPr>
          <w:p>
            <w:pPr>
              <w:spacing w:after="0"/>
              <w:rPr>
                <w:sz w:val="16"/>
                <w:szCs w:val="16"/>
                <w:color w:val="auto"/>
              </w:rPr>
            </w:pPr>
          </w:p>
        </w:tc>
        <w:tc>
          <w:tcPr>
            <w:tcW w:w="5740" w:type="dxa"/>
            <w:vAlign w:val="bottom"/>
            <w:gridSpan w:val="2"/>
          </w:tcPr>
          <w:p>
            <w:pPr>
              <w:spacing w:after="0" w:line="188" w:lineRule="exact"/>
              <w:rPr>
                <w:sz w:val="20"/>
                <w:szCs w:val="20"/>
                <w:color w:val="auto"/>
              </w:rPr>
            </w:pPr>
            <w:r>
              <w:rPr>
                <w:rFonts w:ascii="Arial" w:cs="Arial" w:eastAsia="Arial" w:hAnsi="Arial"/>
                <w:sz w:val="17"/>
                <w:szCs w:val="17"/>
                <w:color w:val="auto"/>
              </w:rPr>
              <w:t>Kraft Foods Global, Inc. Retirement Plan</w:t>
            </w:r>
          </w:p>
        </w:tc>
        <w:tc>
          <w:tcPr>
            <w:tcW w:w="1200" w:type="dxa"/>
            <w:vAlign w:val="bottom"/>
            <w:gridSpan w:val="2"/>
          </w:tcPr>
          <w:p>
            <w:pPr>
              <w:jc w:val="right"/>
              <w:ind w:right="560"/>
              <w:spacing w:after="0" w:line="188" w:lineRule="exact"/>
              <w:rPr>
                <w:sz w:val="20"/>
                <w:szCs w:val="20"/>
                <w:color w:val="auto"/>
              </w:rPr>
            </w:pPr>
            <w:r>
              <w:rPr>
                <w:rFonts w:ascii="Arial" w:cs="Arial" w:eastAsia="Arial" w:hAnsi="Arial"/>
                <w:sz w:val="17"/>
                <w:szCs w:val="17"/>
                <w:color w:val="auto"/>
              </w:rPr>
              <w:t>29.2</w:t>
            </w:r>
          </w:p>
        </w:tc>
        <w:tc>
          <w:tcPr>
            <w:tcW w:w="900" w:type="dxa"/>
            <w:vAlign w:val="bottom"/>
          </w:tcPr>
          <w:p>
            <w:pPr>
              <w:jc w:val="right"/>
              <w:spacing w:after="0" w:line="188" w:lineRule="exact"/>
              <w:rPr>
                <w:sz w:val="20"/>
                <w:szCs w:val="20"/>
                <w:color w:val="auto"/>
              </w:rPr>
            </w:pPr>
            <w:r>
              <w:rPr>
                <w:rFonts w:ascii="Arial" w:cs="Arial" w:eastAsia="Arial" w:hAnsi="Arial"/>
                <w:sz w:val="17"/>
                <w:szCs w:val="17"/>
                <w:color w:val="auto"/>
              </w:rPr>
              <w:t>1,113,497</w:t>
            </w:r>
          </w:p>
        </w:tc>
        <w:tc>
          <w:tcPr>
            <w:tcW w:w="460" w:type="dxa"/>
            <w:vAlign w:val="bottom"/>
          </w:tcPr>
          <w:p>
            <w:pPr>
              <w:spacing w:after="0"/>
              <w:rPr>
                <w:sz w:val="16"/>
                <w:szCs w:val="16"/>
                <w:color w:val="auto"/>
              </w:rPr>
            </w:pPr>
          </w:p>
        </w:tc>
        <w:tc>
          <w:tcPr>
            <w:tcW w:w="820" w:type="dxa"/>
            <w:vAlign w:val="bottom"/>
            <w:gridSpan w:val="2"/>
          </w:tcPr>
          <w:p>
            <w:pPr>
              <w:ind w:left="460"/>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1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740" w:type="dxa"/>
            <w:vAlign w:val="bottom"/>
            <w:gridSpan w:val="2"/>
          </w:tcPr>
          <w:p>
            <w:pPr>
              <w:spacing w:after="0" w:line="192" w:lineRule="exact"/>
              <w:rPr>
                <w:sz w:val="20"/>
                <w:szCs w:val="20"/>
                <w:color w:val="auto"/>
              </w:rPr>
            </w:pPr>
            <w:r>
              <w:rPr>
                <w:rFonts w:ascii="Arial" w:cs="Arial" w:eastAsia="Arial" w:hAnsi="Arial"/>
                <w:sz w:val="17"/>
                <w:szCs w:val="17"/>
                <w:color w:val="auto"/>
              </w:rPr>
              <w:t>Kraft Foods Global, Inc. Supplemental Benefits Plan I</w:t>
            </w:r>
          </w:p>
        </w:tc>
        <w:tc>
          <w:tcPr>
            <w:tcW w:w="1200" w:type="dxa"/>
            <w:vAlign w:val="bottom"/>
            <w:gridSpan w:val="2"/>
          </w:tcPr>
          <w:p>
            <w:pPr>
              <w:jc w:val="right"/>
              <w:ind w:right="560"/>
              <w:spacing w:after="0" w:line="192" w:lineRule="exact"/>
              <w:rPr>
                <w:sz w:val="20"/>
                <w:szCs w:val="20"/>
                <w:color w:val="auto"/>
              </w:rPr>
            </w:pPr>
            <w:r>
              <w:rPr>
                <w:rFonts w:ascii="Arial" w:cs="Arial" w:eastAsia="Arial" w:hAnsi="Arial"/>
                <w:sz w:val="17"/>
                <w:szCs w:val="17"/>
                <w:color w:val="auto"/>
              </w:rPr>
              <w:t>29.2</w:t>
            </w:r>
          </w:p>
        </w:tc>
        <w:tc>
          <w:tcPr>
            <w:tcW w:w="900" w:type="dxa"/>
            <w:vAlign w:val="bottom"/>
          </w:tcPr>
          <w:p>
            <w:pPr>
              <w:jc w:val="right"/>
              <w:spacing w:after="0" w:line="192" w:lineRule="exact"/>
              <w:rPr>
                <w:sz w:val="20"/>
                <w:szCs w:val="20"/>
                <w:color w:val="auto"/>
              </w:rPr>
            </w:pPr>
            <w:r>
              <w:rPr>
                <w:rFonts w:ascii="Arial" w:cs="Arial" w:eastAsia="Arial" w:hAnsi="Arial"/>
                <w:sz w:val="17"/>
                <w:szCs w:val="17"/>
                <w:color w:val="auto"/>
              </w:rPr>
              <w:t>21,890,754</w:t>
            </w:r>
          </w:p>
        </w:tc>
        <w:tc>
          <w:tcPr>
            <w:tcW w:w="460" w:type="dxa"/>
            <w:vAlign w:val="bottom"/>
          </w:tcPr>
          <w:p>
            <w:pPr>
              <w:spacing w:after="0"/>
              <w:rPr>
                <w:sz w:val="16"/>
                <w:szCs w:val="16"/>
                <w:color w:val="auto"/>
              </w:rPr>
            </w:pPr>
          </w:p>
        </w:tc>
        <w:tc>
          <w:tcPr>
            <w:tcW w:w="820" w:type="dxa"/>
            <w:vAlign w:val="bottom"/>
            <w:gridSpan w:val="2"/>
          </w:tcPr>
          <w:p>
            <w:pPr>
              <w:ind w:left="46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740" w:type="dxa"/>
            <w:vAlign w:val="bottom"/>
            <w:gridSpan w:val="2"/>
          </w:tcPr>
          <w:p>
            <w:pPr>
              <w:spacing w:after="0" w:line="189" w:lineRule="exact"/>
              <w:rPr>
                <w:sz w:val="20"/>
                <w:szCs w:val="20"/>
                <w:color w:val="auto"/>
              </w:rPr>
            </w:pPr>
            <w:r>
              <w:rPr>
                <w:rFonts w:ascii="Arial" w:cs="Arial" w:eastAsia="Arial" w:hAnsi="Arial"/>
                <w:sz w:val="17"/>
                <w:szCs w:val="17"/>
                <w:color w:val="auto"/>
              </w:rPr>
              <w:t>Kraft Foods Global, Inc. Supplemental Benefits Plan II</w:t>
            </w:r>
          </w:p>
        </w:tc>
        <w:tc>
          <w:tcPr>
            <w:tcW w:w="120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1.7</w:t>
            </w:r>
            <w:r>
              <w:rPr>
                <w:rFonts w:ascii="Arial" w:cs="Arial" w:eastAsia="Arial" w:hAnsi="Arial"/>
                <w:sz w:val="21"/>
                <w:szCs w:val="21"/>
                <w:color w:val="auto"/>
                <w:vertAlign w:val="superscript"/>
              </w:rPr>
              <w:t>(3)</w:t>
            </w: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1,399,667</w:t>
            </w:r>
          </w:p>
        </w:tc>
        <w:tc>
          <w:tcPr>
            <w:tcW w:w="460" w:type="dxa"/>
            <w:vAlign w:val="bottom"/>
          </w:tcPr>
          <w:p>
            <w:pPr>
              <w:spacing w:after="0"/>
              <w:rPr>
                <w:sz w:val="16"/>
                <w:szCs w:val="16"/>
                <w:color w:val="auto"/>
              </w:rPr>
            </w:pPr>
          </w:p>
        </w:tc>
        <w:tc>
          <w:tcPr>
            <w:tcW w:w="820" w:type="dxa"/>
            <w:vAlign w:val="bottom"/>
            <w:gridSpan w:val="2"/>
          </w:tcPr>
          <w:p>
            <w:pPr>
              <w:ind w:left="4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192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Mr. Brearton</w:t>
            </w:r>
          </w:p>
        </w:tc>
        <w:tc>
          <w:tcPr>
            <w:tcW w:w="380" w:type="dxa"/>
            <w:vAlign w:val="bottom"/>
            <w:shd w:val="clear" w:color="auto" w:fill="D8D8D8"/>
          </w:tcPr>
          <w:p>
            <w:pPr>
              <w:spacing w:after="0"/>
              <w:rPr>
                <w:sz w:val="16"/>
                <w:szCs w:val="16"/>
                <w:color w:val="auto"/>
              </w:rPr>
            </w:pPr>
          </w:p>
        </w:tc>
        <w:tc>
          <w:tcPr>
            <w:tcW w:w="574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Kraft Foods Global, Inc. Retirement Plan</w:t>
            </w:r>
          </w:p>
        </w:tc>
        <w:tc>
          <w:tcPr>
            <w:tcW w:w="1200" w:type="dxa"/>
            <w:vAlign w:val="bottom"/>
            <w:gridSpan w:val="2"/>
            <w:shd w:val="clear" w:color="auto" w:fill="D8D8D8"/>
          </w:tcPr>
          <w:p>
            <w:pPr>
              <w:jc w:val="right"/>
              <w:ind w:right="560"/>
              <w:spacing w:after="0" w:line="192" w:lineRule="exact"/>
              <w:rPr>
                <w:sz w:val="20"/>
                <w:szCs w:val="20"/>
                <w:color w:val="auto"/>
              </w:rPr>
            </w:pPr>
            <w:r>
              <w:rPr>
                <w:rFonts w:ascii="Arial" w:cs="Arial" w:eastAsia="Arial" w:hAnsi="Arial"/>
                <w:sz w:val="17"/>
                <w:szCs w:val="17"/>
                <w:color w:val="auto"/>
              </w:rPr>
              <w:t>15.7</w:t>
            </w: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584,408</w:t>
            </w:r>
          </w:p>
        </w:tc>
        <w:tc>
          <w:tcPr>
            <w:tcW w:w="460" w:type="dxa"/>
            <w:vAlign w:val="bottom"/>
            <w:shd w:val="clear" w:color="auto" w:fill="D8D8D8"/>
          </w:tcPr>
          <w:p>
            <w:pPr>
              <w:spacing w:after="0"/>
              <w:rPr>
                <w:sz w:val="16"/>
                <w:szCs w:val="16"/>
                <w:color w:val="auto"/>
              </w:rPr>
            </w:pPr>
          </w:p>
        </w:tc>
        <w:tc>
          <w:tcPr>
            <w:tcW w:w="820" w:type="dxa"/>
            <w:vAlign w:val="bottom"/>
            <w:gridSpan w:val="2"/>
            <w:shd w:val="clear" w:color="auto" w:fill="D8D8D8"/>
          </w:tcPr>
          <w:p>
            <w:pPr>
              <w:ind w:left="46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1920" w:type="dxa"/>
            <w:vAlign w:val="bottom"/>
            <w:shd w:val="clear" w:color="auto" w:fill="D8D8D8"/>
          </w:tcPr>
          <w:p>
            <w:pPr>
              <w:spacing w:after="0"/>
              <w:rPr>
                <w:sz w:val="16"/>
                <w:szCs w:val="16"/>
                <w:color w:val="auto"/>
              </w:rPr>
            </w:pPr>
          </w:p>
        </w:tc>
        <w:tc>
          <w:tcPr>
            <w:tcW w:w="380" w:type="dxa"/>
            <w:vAlign w:val="bottom"/>
            <w:shd w:val="clear" w:color="auto" w:fill="D8D8D8"/>
          </w:tcPr>
          <w:p>
            <w:pPr>
              <w:spacing w:after="0"/>
              <w:rPr>
                <w:sz w:val="16"/>
                <w:szCs w:val="16"/>
                <w:color w:val="auto"/>
              </w:rPr>
            </w:pPr>
          </w:p>
        </w:tc>
        <w:tc>
          <w:tcPr>
            <w:tcW w:w="574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Kraft Foods Global, Inc. Supplemental Benefits Plan I</w:t>
            </w:r>
          </w:p>
        </w:tc>
        <w:tc>
          <w:tcPr>
            <w:tcW w:w="1200" w:type="dxa"/>
            <w:vAlign w:val="bottom"/>
            <w:gridSpan w:val="2"/>
            <w:shd w:val="clear" w:color="auto" w:fill="D8D8D8"/>
          </w:tcPr>
          <w:p>
            <w:pPr>
              <w:jc w:val="right"/>
              <w:ind w:right="560"/>
              <w:spacing w:after="0" w:line="192" w:lineRule="exact"/>
              <w:rPr>
                <w:sz w:val="20"/>
                <w:szCs w:val="20"/>
                <w:color w:val="auto"/>
              </w:rPr>
            </w:pPr>
            <w:r>
              <w:rPr>
                <w:rFonts w:ascii="Arial" w:cs="Arial" w:eastAsia="Arial" w:hAnsi="Arial"/>
                <w:sz w:val="17"/>
                <w:szCs w:val="17"/>
                <w:color w:val="auto"/>
              </w:rPr>
              <w:t>15.7</w:t>
            </w: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2,504,382</w:t>
            </w:r>
          </w:p>
        </w:tc>
        <w:tc>
          <w:tcPr>
            <w:tcW w:w="460" w:type="dxa"/>
            <w:vAlign w:val="bottom"/>
            <w:shd w:val="clear" w:color="auto" w:fill="D8D8D8"/>
          </w:tcPr>
          <w:p>
            <w:pPr>
              <w:spacing w:after="0"/>
              <w:rPr>
                <w:sz w:val="16"/>
                <w:szCs w:val="16"/>
                <w:color w:val="auto"/>
              </w:rPr>
            </w:pPr>
          </w:p>
        </w:tc>
        <w:tc>
          <w:tcPr>
            <w:tcW w:w="820" w:type="dxa"/>
            <w:vAlign w:val="bottom"/>
            <w:gridSpan w:val="2"/>
            <w:shd w:val="clear" w:color="auto" w:fill="D8D8D8"/>
          </w:tcPr>
          <w:p>
            <w:pPr>
              <w:ind w:left="46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1920" w:type="dxa"/>
            <w:vAlign w:val="bottom"/>
            <w:shd w:val="clear" w:color="auto" w:fill="D8D8D8"/>
          </w:tcPr>
          <w:p>
            <w:pPr>
              <w:spacing w:after="0"/>
              <w:rPr>
                <w:sz w:val="16"/>
                <w:szCs w:val="16"/>
                <w:color w:val="auto"/>
              </w:rPr>
            </w:pPr>
          </w:p>
        </w:tc>
        <w:tc>
          <w:tcPr>
            <w:tcW w:w="380" w:type="dxa"/>
            <w:vAlign w:val="bottom"/>
            <w:shd w:val="clear" w:color="auto" w:fill="D8D8D8"/>
          </w:tcPr>
          <w:p>
            <w:pPr>
              <w:spacing w:after="0"/>
              <w:rPr>
                <w:sz w:val="16"/>
                <w:szCs w:val="16"/>
                <w:color w:val="auto"/>
              </w:rPr>
            </w:pPr>
          </w:p>
        </w:tc>
        <w:tc>
          <w:tcPr>
            <w:tcW w:w="574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Kraft Canada Retirement Plan</w:t>
            </w:r>
            <w:r>
              <w:rPr>
                <w:rFonts w:ascii="Arial" w:cs="Arial" w:eastAsia="Arial" w:hAnsi="Arial"/>
                <w:sz w:val="21"/>
                <w:szCs w:val="21"/>
                <w:color w:val="auto"/>
                <w:vertAlign w:val="superscript"/>
              </w:rPr>
              <w:t>(4)</w:t>
            </w:r>
          </w:p>
        </w:tc>
        <w:tc>
          <w:tcPr>
            <w:tcW w:w="1200" w:type="dxa"/>
            <w:vAlign w:val="bottom"/>
            <w:gridSpan w:val="2"/>
            <w:shd w:val="clear" w:color="auto" w:fill="D8D8D8"/>
          </w:tcPr>
          <w:p>
            <w:pPr>
              <w:jc w:val="right"/>
              <w:ind w:right="560"/>
              <w:spacing w:after="0" w:line="192" w:lineRule="exact"/>
              <w:rPr>
                <w:sz w:val="20"/>
                <w:szCs w:val="20"/>
                <w:color w:val="auto"/>
              </w:rPr>
            </w:pPr>
            <w:r>
              <w:rPr>
                <w:rFonts w:ascii="Arial" w:cs="Arial" w:eastAsia="Arial" w:hAnsi="Arial"/>
                <w:sz w:val="17"/>
                <w:szCs w:val="17"/>
                <w:color w:val="auto"/>
              </w:rPr>
              <w:t>11.8</w:t>
            </w: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249,815</w:t>
            </w:r>
          </w:p>
        </w:tc>
        <w:tc>
          <w:tcPr>
            <w:tcW w:w="460" w:type="dxa"/>
            <w:vAlign w:val="bottom"/>
            <w:shd w:val="clear" w:color="auto" w:fill="D8D8D8"/>
          </w:tcPr>
          <w:p>
            <w:pPr>
              <w:spacing w:after="0"/>
              <w:rPr>
                <w:sz w:val="16"/>
                <w:szCs w:val="16"/>
                <w:color w:val="auto"/>
              </w:rPr>
            </w:pPr>
          </w:p>
        </w:tc>
        <w:tc>
          <w:tcPr>
            <w:tcW w:w="720" w:type="dxa"/>
            <w:vAlign w:val="bottom"/>
            <w:shd w:val="clear" w:color="auto" w:fill="D8D8D8"/>
          </w:tcPr>
          <w:p>
            <w:pPr>
              <w:spacing w:after="0"/>
              <w:rPr>
                <w:sz w:val="16"/>
                <w:szCs w:val="16"/>
                <w:color w:val="auto"/>
              </w:rPr>
            </w:pPr>
          </w:p>
        </w:tc>
        <w:tc>
          <w:tcPr>
            <w:tcW w:w="1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20" w:type="dxa"/>
            <w:vAlign w:val="bottom"/>
          </w:tcPr>
          <w:p>
            <w:pPr>
              <w:spacing w:after="0"/>
              <w:rPr>
                <w:sz w:val="20"/>
                <w:szCs w:val="20"/>
                <w:color w:val="auto"/>
              </w:rPr>
            </w:pPr>
            <w:r>
              <w:rPr>
                <w:rFonts w:ascii="Arial" w:cs="Arial" w:eastAsia="Arial" w:hAnsi="Arial"/>
                <w:sz w:val="17"/>
                <w:szCs w:val="17"/>
                <w:color w:val="auto"/>
              </w:rPr>
              <w:t>Mr. McLevish</w:t>
            </w:r>
          </w:p>
        </w:tc>
        <w:tc>
          <w:tcPr>
            <w:tcW w:w="380" w:type="dxa"/>
            <w:vAlign w:val="bottom"/>
          </w:tcPr>
          <w:p>
            <w:pPr>
              <w:spacing w:after="0"/>
              <w:rPr>
                <w:sz w:val="16"/>
                <w:szCs w:val="16"/>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Kraft Foods Global, Inc. Retirement Plan</w:t>
            </w:r>
          </w:p>
        </w:tc>
        <w:tc>
          <w:tcPr>
            <w:tcW w:w="1200" w:type="dxa"/>
            <w:vAlign w:val="bottom"/>
            <w:gridSpan w:val="2"/>
          </w:tcPr>
          <w:p>
            <w:pPr>
              <w:jc w:val="right"/>
              <w:ind w:right="560"/>
              <w:spacing w:after="0"/>
              <w:rPr>
                <w:sz w:val="20"/>
                <w:szCs w:val="20"/>
                <w:color w:val="auto"/>
              </w:rPr>
            </w:pPr>
            <w:r>
              <w:rPr>
                <w:rFonts w:ascii="Arial" w:cs="Arial" w:eastAsia="Arial" w:hAnsi="Arial"/>
                <w:sz w:val="17"/>
                <w:szCs w:val="17"/>
                <w:color w:val="auto"/>
              </w:rPr>
              <w:t>4.3</w:t>
            </w:r>
          </w:p>
        </w:tc>
        <w:tc>
          <w:tcPr>
            <w:tcW w:w="900" w:type="dxa"/>
            <w:vAlign w:val="bottom"/>
          </w:tcPr>
          <w:p>
            <w:pPr>
              <w:jc w:val="right"/>
              <w:spacing w:after="0"/>
              <w:rPr>
                <w:sz w:val="20"/>
                <w:szCs w:val="20"/>
                <w:color w:val="auto"/>
              </w:rPr>
            </w:pPr>
            <w:r>
              <w:rPr>
                <w:rFonts w:ascii="Arial" w:cs="Arial" w:eastAsia="Arial" w:hAnsi="Arial"/>
                <w:sz w:val="17"/>
                <w:szCs w:val="17"/>
                <w:color w:val="auto"/>
              </w:rPr>
              <w:t>135,043</w:t>
            </w:r>
          </w:p>
        </w:tc>
        <w:tc>
          <w:tcPr>
            <w:tcW w:w="46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740" w:type="dxa"/>
            <w:vAlign w:val="bottom"/>
            <w:gridSpan w:val="2"/>
          </w:tcPr>
          <w:p>
            <w:pPr>
              <w:spacing w:after="0" w:line="189" w:lineRule="exact"/>
              <w:rPr>
                <w:sz w:val="20"/>
                <w:szCs w:val="20"/>
                <w:color w:val="auto"/>
              </w:rPr>
            </w:pPr>
            <w:r>
              <w:rPr>
                <w:rFonts w:ascii="Arial" w:cs="Arial" w:eastAsia="Arial" w:hAnsi="Arial"/>
                <w:sz w:val="17"/>
                <w:szCs w:val="17"/>
                <w:color w:val="auto"/>
              </w:rPr>
              <w:t>Kraft Foods Global, Inc. Supplemental Benefits Plan I</w:t>
            </w:r>
          </w:p>
        </w:tc>
        <w:tc>
          <w:tcPr>
            <w:tcW w:w="120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4.3</w:t>
            </w:r>
          </w:p>
        </w:tc>
        <w:tc>
          <w:tcPr>
            <w:tcW w:w="900" w:type="dxa"/>
            <w:vAlign w:val="bottom"/>
          </w:tcPr>
          <w:p>
            <w:pPr>
              <w:jc w:val="right"/>
              <w:spacing w:after="0" w:line="189" w:lineRule="exact"/>
              <w:rPr>
                <w:sz w:val="20"/>
                <w:szCs w:val="20"/>
                <w:color w:val="auto"/>
              </w:rPr>
            </w:pPr>
            <w:r>
              <w:rPr>
                <w:rFonts w:ascii="Arial" w:cs="Arial" w:eastAsia="Arial" w:hAnsi="Arial"/>
                <w:sz w:val="17"/>
                <w:szCs w:val="17"/>
                <w:color w:val="auto"/>
              </w:rPr>
              <w:t>701,920</w:t>
            </w:r>
          </w:p>
        </w:tc>
        <w:tc>
          <w:tcPr>
            <w:tcW w:w="460" w:type="dxa"/>
            <w:vAlign w:val="bottom"/>
          </w:tcPr>
          <w:p>
            <w:pPr>
              <w:spacing w:after="0"/>
              <w:rPr>
                <w:sz w:val="16"/>
                <w:szCs w:val="16"/>
                <w:color w:val="auto"/>
              </w:rPr>
            </w:pPr>
          </w:p>
        </w:tc>
        <w:tc>
          <w:tcPr>
            <w:tcW w:w="820" w:type="dxa"/>
            <w:vAlign w:val="bottom"/>
            <w:gridSpan w:val="2"/>
          </w:tcPr>
          <w:p>
            <w:pPr>
              <w:ind w:left="4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192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Mr. Khosla</w:t>
            </w:r>
          </w:p>
        </w:tc>
        <w:tc>
          <w:tcPr>
            <w:tcW w:w="380" w:type="dxa"/>
            <w:vAlign w:val="bottom"/>
            <w:shd w:val="clear" w:color="auto" w:fill="D8D8D8"/>
          </w:tcPr>
          <w:p>
            <w:pPr>
              <w:spacing w:after="0"/>
              <w:rPr>
                <w:sz w:val="16"/>
                <w:szCs w:val="16"/>
                <w:color w:val="auto"/>
              </w:rPr>
            </w:pPr>
          </w:p>
        </w:tc>
        <w:tc>
          <w:tcPr>
            <w:tcW w:w="574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Kraft Foods Global, Inc. Retirement Plan</w:t>
            </w:r>
          </w:p>
        </w:tc>
        <w:tc>
          <w:tcPr>
            <w:tcW w:w="1200" w:type="dxa"/>
            <w:vAlign w:val="bottom"/>
            <w:gridSpan w:val="2"/>
            <w:shd w:val="clear" w:color="auto" w:fill="D8D8D8"/>
          </w:tcPr>
          <w:p>
            <w:pPr>
              <w:jc w:val="right"/>
              <w:ind w:right="560"/>
              <w:spacing w:after="0" w:line="192" w:lineRule="exact"/>
              <w:rPr>
                <w:sz w:val="20"/>
                <w:szCs w:val="20"/>
                <w:color w:val="auto"/>
              </w:rPr>
            </w:pPr>
            <w:r>
              <w:rPr>
                <w:rFonts w:ascii="Arial" w:cs="Arial" w:eastAsia="Arial" w:hAnsi="Arial"/>
                <w:sz w:val="17"/>
                <w:szCs w:val="17"/>
                <w:color w:val="auto"/>
              </w:rPr>
              <w:t>5.0</w:t>
            </w: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165,654</w:t>
            </w:r>
          </w:p>
        </w:tc>
        <w:tc>
          <w:tcPr>
            <w:tcW w:w="460" w:type="dxa"/>
            <w:vAlign w:val="bottom"/>
            <w:shd w:val="clear" w:color="auto" w:fill="D8D8D8"/>
          </w:tcPr>
          <w:p>
            <w:pPr>
              <w:spacing w:after="0"/>
              <w:rPr>
                <w:sz w:val="16"/>
                <w:szCs w:val="16"/>
                <w:color w:val="auto"/>
              </w:rPr>
            </w:pPr>
          </w:p>
        </w:tc>
        <w:tc>
          <w:tcPr>
            <w:tcW w:w="820" w:type="dxa"/>
            <w:vAlign w:val="bottom"/>
            <w:gridSpan w:val="2"/>
            <w:shd w:val="clear" w:color="auto" w:fill="D8D8D8"/>
          </w:tcPr>
          <w:p>
            <w:pPr>
              <w:ind w:left="46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1920" w:type="dxa"/>
            <w:vAlign w:val="bottom"/>
            <w:shd w:val="clear" w:color="auto" w:fill="D8D8D8"/>
          </w:tcPr>
          <w:p>
            <w:pPr>
              <w:spacing w:after="0"/>
              <w:rPr>
                <w:sz w:val="16"/>
                <w:szCs w:val="16"/>
                <w:color w:val="auto"/>
              </w:rPr>
            </w:pPr>
          </w:p>
        </w:tc>
        <w:tc>
          <w:tcPr>
            <w:tcW w:w="380" w:type="dxa"/>
            <w:vAlign w:val="bottom"/>
            <w:shd w:val="clear" w:color="auto" w:fill="D8D8D8"/>
          </w:tcPr>
          <w:p>
            <w:pPr>
              <w:spacing w:after="0"/>
              <w:rPr>
                <w:sz w:val="16"/>
                <w:szCs w:val="16"/>
                <w:color w:val="auto"/>
              </w:rPr>
            </w:pPr>
          </w:p>
        </w:tc>
        <w:tc>
          <w:tcPr>
            <w:tcW w:w="574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Kraft Foods Global, Inc. Supplemental Benefits Plan I</w:t>
            </w:r>
          </w:p>
        </w:tc>
        <w:tc>
          <w:tcPr>
            <w:tcW w:w="1200" w:type="dxa"/>
            <w:vAlign w:val="bottom"/>
            <w:gridSpan w:val="2"/>
            <w:shd w:val="clear" w:color="auto" w:fill="D8D8D8"/>
          </w:tcPr>
          <w:p>
            <w:pPr>
              <w:jc w:val="right"/>
              <w:ind w:right="560"/>
              <w:spacing w:after="0" w:line="192" w:lineRule="exact"/>
              <w:rPr>
                <w:sz w:val="20"/>
                <w:szCs w:val="20"/>
                <w:color w:val="auto"/>
              </w:rPr>
            </w:pPr>
            <w:r>
              <w:rPr>
                <w:rFonts w:ascii="Arial" w:cs="Arial" w:eastAsia="Arial" w:hAnsi="Arial"/>
                <w:sz w:val="17"/>
                <w:szCs w:val="17"/>
                <w:color w:val="auto"/>
              </w:rPr>
              <w:t>5.0</w:t>
            </w: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955,278</w:t>
            </w:r>
          </w:p>
        </w:tc>
        <w:tc>
          <w:tcPr>
            <w:tcW w:w="460" w:type="dxa"/>
            <w:vAlign w:val="bottom"/>
            <w:shd w:val="clear" w:color="auto" w:fill="D8D8D8"/>
          </w:tcPr>
          <w:p>
            <w:pPr>
              <w:spacing w:after="0"/>
              <w:rPr>
                <w:sz w:val="16"/>
                <w:szCs w:val="16"/>
                <w:color w:val="auto"/>
              </w:rPr>
            </w:pPr>
          </w:p>
        </w:tc>
        <w:tc>
          <w:tcPr>
            <w:tcW w:w="820" w:type="dxa"/>
            <w:vAlign w:val="bottom"/>
            <w:gridSpan w:val="2"/>
            <w:shd w:val="clear" w:color="auto" w:fill="D8D8D8"/>
          </w:tcPr>
          <w:p>
            <w:pPr>
              <w:ind w:left="46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1920" w:type="dxa"/>
            <w:vAlign w:val="bottom"/>
          </w:tcPr>
          <w:p>
            <w:pPr>
              <w:spacing w:after="0"/>
              <w:rPr>
                <w:sz w:val="20"/>
                <w:szCs w:val="20"/>
                <w:color w:val="auto"/>
              </w:rPr>
            </w:pPr>
            <w:r>
              <w:rPr>
                <w:rFonts w:ascii="Arial" w:cs="Arial" w:eastAsia="Arial" w:hAnsi="Arial"/>
                <w:sz w:val="17"/>
                <w:szCs w:val="17"/>
                <w:color w:val="auto"/>
              </w:rPr>
              <w:t>Ms. West</w:t>
            </w:r>
          </w:p>
        </w:tc>
        <w:tc>
          <w:tcPr>
            <w:tcW w:w="380" w:type="dxa"/>
            <w:vAlign w:val="bottom"/>
          </w:tcPr>
          <w:p>
            <w:pPr>
              <w:spacing w:after="0"/>
              <w:rPr>
                <w:sz w:val="16"/>
                <w:szCs w:val="16"/>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Kraft Foods Global, Inc. Retirement Plan</w:t>
            </w:r>
          </w:p>
        </w:tc>
        <w:tc>
          <w:tcPr>
            <w:tcW w:w="1200" w:type="dxa"/>
            <w:vAlign w:val="bottom"/>
            <w:gridSpan w:val="2"/>
          </w:tcPr>
          <w:p>
            <w:pPr>
              <w:jc w:val="right"/>
              <w:ind w:right="560"/>
              <w:spacing w:after="0"/>
              <w:rPr>
                <w:sz w:val="20"/>
                <w:szCs w:val="20"/>
                <w:color w:val="auto"/>
              </w:rPr>
            </w:pPr>
            <w:r>
              <w:rPr>
                <w:rFonts w:ascii="Arial" w:cs="Arial" w:eastAsia="Arial" w:hAnsi="Arial"/>
                <w:sz w:val="17"/>
                <w:szCs w:val="17"/>
                <w:color w:val="auto"/>
              </w:rPr>
              <w:t>25.6</w:t>
            </w:r>
          </w:p>
        </w:tc>
        <w:tc>
          <w:tcPr>
            <w:tcW w:w="900" w:type="dxa"/>
            <w:vAlign w:val="bottom"/>
          </w:tcPr>
          <w:p>
            <w:pPr>
              <w:jc w:val="right"/>
              <w:spacing w:after="0"/>
              <w:rPr>
                <w:sz w:val="20"/>
                <w:szCs w:val="20"/>
                <w:color w:val="auto"/>
              </w:rPr>
            </w:pPr>
            <w:r>
              <w:rPr>
                <w:rFonts w:ascii="Arial" w:cs="Arial" w:eastAsia="Arial" w:hAnsi="Arial"/>
                <w:sz w:val="17"/>
                <w:szCs w:val="17"/>
                <w:color w:val="auto"/>
              </w:rPr>
              <w:t>633,564</w:t>
            </w:r>
          </w:p>
        </w:tc>
        <w:tc>
          <w:tcPr>
            <w:tcW w:w="460" w:type="dxa"/>
            <w:vAlign w:val="bottom"/>
          </w:tcPr>
          <w:p>
            <w:pPr>
              <w:spacing w:after="0"/>
              <w:rPr>
                <w:sz w:val="16"/>
                <w:szCs w:val="16"/>
                <w:color w:val="auto"/>
              </w:rPr>
            </w:pPr>
          </w:p>
        </w:tc>
        <w:tc>
          <w:tcPr>
            <w:tcW w:w="82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1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740" w:type="dxa"/>
            <w:vAlign w:val="bottom"/>
            <w:gridSpan w:val="2"/>
          </w:tcPr>
          <w:p>
            <w:pPr>
              <w:spacing w:after="0"/>
              <w:rPr>
                <w:sz w:val="20"/>
                <w:szCs w:val="20"/>
                <w:color w:val="auto"/>
              </w:rPr>
            </w:pPr>
            <w:r>
              <w:rPr>
                <w:rFonts w:ascii="Arial" w:cs="Arial" w:eastAsia="Arial" w:hAnsi="Arial"/>
                <w:sz w:val="17"/>
                <w:szCs w:val="17"/>
                <w:color w:val="auto"/>
              </w:rPr>
              <w:t>Kraft Foods Global, Inc. Supplemental Benefits Plan I</w:t>
            </w:r>
          </w:p>
        </w:tc>
        <w:tc>
          <w:tcPr>
            <w:tcW w:w="1200" w:type="dxa"/>
            <w:vAlign w:val="bottom"/>
            <w:gridSpan w:val="2"/>
          </w:tcPr>
          <w:p>
            <w:pPr>
              <w:jc w:val="right"/>
              <w:ind w:right="560"/>
              <w:spacing w:after="0"/>
              <w:rPr>
                <w:sz w:val="20"/>
                <w:szCs w:val="20"/>
                <w:color w:val="auto"/>
              </w:rPr>
            </w:pPr>
            <w:r>
              <w:rPr>
                <w:rFonts w:ascii="Arial" w:cs="Arial" w:eastAsia="Arial" w:hAnsi="Arial"/>
                <w:sz w:val="17"/>
                <w:szCs w:val="17"/>
                <w:color w:val="auto"/>
              </w:rPr>
              <w:t>25.6</w:t>
            </w:r>
          </w:p>
        </w:tc>
        <w:tc>
          <w:tcPr>
            <w:tcW w:w="900" w:type="dxa"/>
            <w:vAlign w:val="bottom"/>
          </w:tcPr>
          <w:p>
            <w:pPr>
              <w:jc w:val="right"/>
              <w:spacing w:after="0"/>
              <w:rPr>
                <w:sz w:val="20"/>
                <w:szCs w:val="20"/>
                <w:color w:val="auto"/>
              </w:rPr>
            </w:pPr>
            <w:r>
              <w:rPr>
                <w:rFonts w:ascii="Arial" w:cs="Arial" w:eastAsia="Arial" w:hAnsi="Arial"/>
                <w:sz w:val="17"/>
                <w:szCs w:val="17"/>
                <w:color w:val="auto"/>
              </w:rPr>
              <w:t>1,783,021</w:t>
            </w:r>
          </w:p>
        </w:tc>
        <w:tc>
          <w:tcPr>
            <w:tcW w:w="460" w:type="dxa"/>
            <w:vAlign w:val="bottom"/>
          </w:tcPr>
          <w:p>
            <w:pPr>
              <w:spacing w:after="0"/>
              <w:rPr>
                <w:sz w:val="17"/>
                <w:szCs w:val="17"/>
                <w:color w:val="auto"/>
              </w:rPr>
            </w:pPr>
          </w:p>
        </w:tc>
        <w:tc>
          <w:tcPr>
            <w:tcW w:w="820" w:type="dxa"/>
            <w:vAlign w:val="bottom"/>
            <w:gridSpan w:val="2"/>
          </w:tcPr>
          <w:p>
            <w:pPr>
              <w:ind w:left="4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57785</wp:posOffset>
            </wp:positionV>
            <wp:extent cx="7226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12" w:lineRule="exact"/>
        <w:rPr>
          <w:sz w:val="20"/>
          <w:szCs w:val="20"/>
          <w:color w:val="auto"/>
        </w:rPr>
      </w:pPr>
    </w:p>
    <w:p>
      <w:pPr>
        <w:ind w:left="340" w:right="440" w:hanging="338"/>
        <w:spacing w:after="0" w:line="241" w:lineRule="auto"/>
        <w:tabs>
          <w:tab w:leader="none" w:pos="3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years of credited service under the plans are equivalent to the years of total service for the Named Executive Officers through December 31, 2011, unless otherwise noted.</w:t>
      </w:r>
    </w:p>
    <w:p>
      <w:pPr>
        <w:spacing w:after="0" w:line="55" w:lineRule="exact"/>
        <w:rPr>
          <w:rFonts w:ascii="Arial" w:cs="Arial" w:eastAsia="Arial" w:hAnsi="Arial"/>
          <w:sz w:val="17"/>
          <w:szCs w:val="17"/>
          <w:color w:val="auto"/>
        </w:rPr>
      </w:pPr>
    </w:p>
    <w:p>
      <w:pPr>
        <w:ind w:left="340" w:right="200" w:hanging="338"/>
        <w:spacing w:after="0" w:line="239" w:lineRule="auto"/>
        <w:tabs>
          <w:tab w:leader="none" w:pos="3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For Mses. Rosenfeld and West and Messrs. Brearton, McLevish and Khosla, the amounts reflect the actuarial present value of benefits accumulated under the respective retirement plans, in accordance with the same assumptions and measurement dates disclosed in Note 11 to the consolidated financial statements contained in our Form 10-K.</w:t>
      </w:r>
    </w:p>
    <w:p>
      <w:pPr>
        <w:spacing w:after="0" w:line="42"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The assumptions for each of the plans are as follows:</w:t>
      </w:r>
    </w:p>
    <w:p>
      <w:pPr>
        <w:spacing w:after="0" w:line="56" w:lineRule="exact"/>
        <w:rPr>
          <w:rFonts w:ascii="Arial" w:cs="Arial" w:eastAsia="Arial" w:hAnsi="Arial"/>
          <w:sz w:val="17"/>
          <w:szCs w:val="17"/>
          <w:color w:val="auto"/>
        </w:rPr>
      </w:pPr>
    </w:p>
    <w:p>
      <w:pPr>
        <w:ind w:left="1000" w:hanging="320"/>
        <w:spacing w:after="0"/>
        <w:tabs>
          <w:tab w:leader="none" w:pos="1000" w:val="left"/>
        </w:tabs>
        <w:numPr>
          <w:ilvl w:val="1"/>
          <w:numId w:val="76"/>
        </w:numPr>
        <w:rPr>
          <w:rFonts w:ascii="Arial" w:cs="Arial" w:eastAsia="Arial" w:hAnsi="Arial"/>
          <w:sz w:val="17"/>
          <w:szCs w:val="17"/>
          <w:color w:val="auto"/>
        </w:rPr>
      </w:pPr>
      <w:r>
        <w:rPr>
          <w:rFonts w:ascii="Arial" w:cs="Arial" w:eastAsia="Arial" w:hAnsi="Arial"/>
          <w:sz w:val="17"/>
          <w:szCs w:val="17"/>
          <w:color w:val="auto"/>
        </w:rPr>
        <w:t>Assumes commencement at the earliest age that participants would be eligible for an unreduced pension benefit, which is age 62 for</w:t>
      </w:r>
    </w:p>
    <w:p>
      <w:pPr>
        <w:ind w:left="1000"/>
        <w:spacing w:after="0"/>
        <w:rPr>
          <w:rFonts w:ascii="Arial" w:cs="Arial" w:eastAsia="Arial" w:hAnsi="Arial"/>
          <w:sz w:val="17"/>
          <w:szCs w:val="17"/>
          <w:color w:val="auto"/>
        </w:rPr>
      </w:pPr>
      <w:r>
        <w:rPr>
          <w:rFonts w:ascii="Arial" w:cs="Arial" w:eastAsia="Arial" w:hAnsi="Arial"/>
          <w:sz w:val="16"/>
          <w:szCs w:val="16"/>
          <w:color w:val="auto"/>
        </w:rPr>
        <w:t>Mses. Rosenfeld and West and Mr. Brearton and 65 for Messrs. McLevish and Khosla. Present value amounts are discounted for current age;</w:t>
      </w:r>
    </w:p>
    <w:p>
      <w:pPr>
        <w:spacing w:after="0" w:line="71" w:lineRule="exact"/>
        <w:rPr>
          <w:rFonts w:ascii="Arial" w:cs="Arial" w:eastAsia="Arial" w:hAnsi="Arial"/>
          <w:sz w:val="17"/>
          <w:szCs w:val="17"/>
          <w:color w:val="auto"/>
        </w:rPr>
      </w:pPr>
    </w:p>
    <w:p>
      <w:pPr>
        <w:ind w:left="1000" w:hanging="320"/>
        <w:spacing w:after="0"/>
        <w:tabs>
          <w:tab w:leader="none" w:pos="1000" w:val="left"/>
        </w:tabs>
        <w:numPr>
          <w:ilvl w:val="1"/>
          <w:numId w:val="76"/>
        </w:numPr>
        <w:rPr>
          <w:rFonts w:ascii="Arial" w:cs="Arial" w:eastAsia="Arial" w:hAnsi="Arial"/>
          <w:sz w:val="17"/>
          <w:szCs w:val="17"/>
          <w:color w:val="auto"/>
        </w:rPr>
      </w:pPr>
      <w:r>
        <w:rPr>
          <w:rFonts w:ascii="Arial" w:cs="Arial" w:eastAsia="Arial" w:hAnsi="Arial"/>
          <w:sz w:val="17"/>
          <w:szCs w:val="17"/>
          <w:color w:val="auto"/>
        </w:rPr>
        <w:t>Measurement date of December 31, 2011;</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444" w:right="23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left="1000" w:hanging="320"/>
        <w:spacing w:after="0"/>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Discount rate of 4.9%; and</w:t>
      </w:r>
    </w:p>
    <w:p>
      <w:pPr>
        <w:spacing w:after="0" w:line="60" w:lineRule="exact"/>
        <w:rPr>
          <w:rFonts w:ascii="Arial" w:cs="Arial" w:eastAsia="Arial" w:hAnsi="Arial"/>
          <w:sz w:val="17"/>
          <w:szCs w:val="17"/>
          <w:color w:val="auto"/>
        </w:rPr>
      </w:pPr>
    </w:p>
    <w:p>
      <w:pPr>
        <w:ind w:left="1000" w:hanging="320"/>
        <w:spacing w:after="0"/>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RP 2000 Mortality Table Projected to 2011.</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Mr. Brearton, the amount also reflects the actuarial present value of benefits accumulated under our Canadian Pension Plan.</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assumptions for this plan are as follows:</w:t>
      </w:r>
    </w:p>
    <w:p>
      <w:pPr>
        <w:spacing w:after="0" w:line="60" w:lineRule="exact"/>
        <w:rPr>
          <w:sz w:val="20"/>
          <w:szCs w:val="20"/>
          <w:color w:val="auto"/>
        </w:rPr>
      </w:pPr>
    </w:p>
    <w:p>
      <w:pPr>
        <w:ind w:left="1000" w:right="260" w:hanging="320"/>
        <w:spacing w:after="0" w:line="241" w:lineRule="auto"/>
        <w:tabs>
          <w:tab w:leader="none" w:pos="10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Assumes commencement at the earliest age that participants would be eligible for an unreduced pension benefit, which is age 60. Present value amounts are discounted for current age;</w:t>
      </w:r>
    </w:p>
    <w:p>
      <w:pPr>
        <w:spacing w:after="0" w:line="55" w:lineRule="exact"/>
        <w:rPr>
          <w:rFonts w:ascii="Arial" w:cs="Arial" w:eastAsia="Arial" w:hAnsi="Arial"/>
          <w:sz w:val="17"/>
          <w:szCs w:val="17"/>
          <w:color w:val="auto"/>
        </w:rPr>
      </w:pPr>
    </w:p>
    <w:p>
      <w:pPr>
        <w:ind w:left="1000" w:hanging="320"/>
        <w:spacing w:after="0"/>
        <w:tabs>
          <w:tab w:leader="none" w:pos="10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Measurement date of December 31, 2011;</w:t>
      </w:r>
    </w:p>
    <w:p>
      <w:pPr>
        <w:spacing w:after="0" w:line="60" w:lineRule="exact"/>
        <w:rPr>
          <w:rFonts w:ascii="Arial" w:cs="Arial" w:eastAsia="Arial" w:hAnsi="Arial"/>
          <w:sz w:val="17"/>
          <w:szCs w:val="17"/>
          <w:color w:val="auto"/>
        </w:rPr>
      </w:pPr>
    </w:p>
    <w:p>
      <w:pPr>
        <w:ind w:left="1000" w:hanging="320"/>
        <w:spacing w:after="0"/>
        <w:tabs>
          <w:tab w:leader="none" w:pos="10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Discount rate of 4.25%; and</w:t>
      </w:r>
    </w:p>
    <w:p>
      <w:pPr>
        <w:spacing w:after="0" w:line="60" w:lineRule="exact"/>
        <w:rPr>
          <w:rFonts w:ascii="Arial" w:cs="Arial" w:eastAsia="Arial" w:hAnsi="Arial"/>
          <w:sz w:val="17"/>
          <w:szCs w:val="17"/>
          <w:color w:val="auto"/>
        </w:rPr>
      </w:pPr>
    </w:p>
    <w:p>
      <w:pPr>
        <w:ind w:left="1000" w:hanging="320"/>
        <w:spacing w:after="0"/>
        <w:tabs>
          <w:tab w:leader="none" w:pos="10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RP 2000 Mortality Table Projected to 2011.</w:t>
      </w:r>
    </w:p>
    <w:p>
      <w:pPr>
        <w:spacing w:after="0" w:line="60" w:lineRule="exact"/>
        <w:rPr>
          <w:rFonts w:ascii="Arial" w:cs="Arial" w:eastAsia="Arial" w:hAnsi="Arial"/>
          <w:sz w:val="17"/>
          <w:szCs w:val="17"/>
          <w:color w:val="auto"/>
        </w:rPr>
      </w:pPr>
    </w:p>
    <w:p>
      <w:pPr>
        <w:ind w:left="340" w:right="220" w:hanging="338"/>
        <w:spacing w:after="0" w:line="241" w:lineRule="auto"/>
        <w:tabs>
          <w:tab w:leader="none" w:pos="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Reflects the number of years of credited service, which includes an enhanced pension benefit that provides for additional credited service during the period between 2004 and 2006.</w:t>
      </w:r>
    </w:p>
    <w:p>
      <w:pPr>
        <w:spacing w:after="0" w:line="67" w:lineRule="exact"/>
        <w:rPr>
          <w:rFonts w:ascii="Arial" w:cs="Arial" w:eastAsia="Arial" w:hAnsi="Arial"/>
          <w:sz w:val="17"/>
          <w:szCs w:val="17"/>
          <w:color w:val="auto"/>
        </w:rPr>
      </w:pPr>
    </w:p>
    <w:p>
      <w:pPr>
        <w:ind w:left="340" w:hanging="338"/>
        <w:spacing w:after="0" w:line="238" w:lineRule="auto"/>
        <w:tabs>
          <w:tab w:leader="none" w:pos="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Mr. Brearton has service under the Kraft Foods U.S. and Canadian Pension Plans. According to the Kraft Foods Global, Inc. Retirement Plan (the “U.S. Plan”) policy on retirement benefits (the “Retirement Benefits Policy”), eligible active employees who transfer from a non-U.S. affiliate directly to a U.S. affiliate will be provided a benefit from the U.S. Plan using service recognized by the U.S. Plan after the date of transfer to the U.S. affiliate, as well as all years of “Relevant Service” under the non-U.S. Plan.</w:t>
      </w:r>
    </w:p>
    <w:p>
      <w:pPr>
        <w:spacing w:after="0" w:line="68"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Under the Retirement Benefits Policy, the benefit is calculated as follows:</w:t>
      </w:r>
    </w:p>
    <w:p>
      <w:pPr>
        <w:spacing w:after="0" w:line="73"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Based on the current benefit formula for the U.S. Plan, the employee’s pension benefit under the U.S. Plan will be equal to the sum of:</w:t>
      </w:r>
    </w:p>
    <w:p>
      <w:pPr>
        <w:spacing w:after="0" w:line="73" w:lineRule="exact"/>
        <w:rPr>
          <w:rFonts w:ascii="Arial" w:cs="Arial" w:eastAsia="Arial" w:hAnsi="Arial"/>
          <w:sz w:val="17"/>
          <w:szCs w:val="17"/>
          <w:color w:val="auto"/>
        </w:rPr>
      </w:pPr>
    </w:p>
    <w:p>
      <w:pPr>
        <w:ind w:left="1000" w:right="200" w:hanging="320"/>
        <w:spacing w:after="0" w:line="241" w:lineRule="auto"/>
        <w:tabs>
          <w:tab w:leader="none" w:pos="10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benefit calculated under the formula in the U.S. Plan, except that “years of service” are equal to service on and after the date of transfer while the employee is a participant in the U.S. Plan, plus Relevant Service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minus</w:t>
      </w:r>
    </w:p>
    <w:p>
      <w:pPr>
        <w:spacing w:after="0" w:line="73" w:lineRule="exact"/>
        <w:rPr>
          <w:sz w:val="20"/>
          <w:szCs w:val="20"/>
          <w:color w:val="auto"/>
        </w:rPr>
      </w:pPr>
    </w:p>
    <w:p>
      <w:pPr>
        <w:ind w:left="340" w:right="3000" w:firstLine="340"/>
        <w:spacing w:after="0" w:line="350" w:lineRule="auto"/>
        <w:tabs>
          <w:tab w:leader="none" w:pos="1005"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benefit earned and either paid or payable under the non-U.S. Plan(s) based on Relevant Service. A participant who is eligible for the Retirement Benefits Policy receives benefits equal to the sum of:</w:t>
      </w:r>
    </w:p>
    <w:p>
      <w:pPr>
        <w:ind w:left="1000" w:hanging="320"/>
        <w:spacing w:after="0"/>
        <w:tabs>
          <w:tab w:leader="none" w:pos="10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actual benefit earned under the non-U.S. Plan; plus, the greater of</w:t>
      </w:r>
    </w:p>
    <w:p>
      <w:pPr>
        <w:spacing w:after="0" w:line="73" w:lineRule="exact"/>
        <w:rPr>
          <w:rFonts w:ascii="Arial" w:cs="Arial" w:eastAsia="Arial" w:hAnsi="Arial"/>
          <w:sz w:val="17"/>
          <w:szCs w:val="17"/>
          <w:color w:val="auto"/>
        </w:rPr>
      </w:pPr>
    </w:p>
    <w:p>
      <w:pPr>
        <w:ind w:left="1700" w:hanging="444"/>
        <w:spacing w:after="0"/>
        <w:tabs>
          <w:tab w:leader="none" w:pos="1700"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benefit under the U.S. Plan calculated under the Retirement Benefits Policy; and</w:t>
      </w:r>
    </w:p>
    <w:p>
      <w:pPr>
        <w:spacing w:after="0" w:line="73" w:lineRule="exact"/>
        <w:rPr>
          <w:rFonts w:ascii="Arial" w:cs="Arial" w:eastAsia="Arial" w:hAnsi="Arial"/>
          <w:sz w:val="17"/>
          <w:szCs w:val="17"/>
          <w:color w:val="auto"/>
        </w:rPr>
      </w:pPr>
    </w:p>
    <w:p>
      <w:pPr>
        <w:ind w:left="1700" w:right="740" w:hanging="444"/>
        <w:spacing w:after="0" w:line="241" w:lineRule="auto"/>
        <w:tabs>
          <w:tab w:leader="none" w:pos="1700"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benefit earned under the U.S. Plan, based on years of service on and after the date of transfer while the employee is a participant in the U.S. Plan.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Benefit Plan Descriptions</w:t>
      </w:r>
    </w:p>
    <w:p>
      <w:pPr>
        <w:spacing w:after="0" w:line="170" w:lineRule="exact"/>
        <w:rPr>
          <w:sz w:val="20"/>
          <w:szCs w:val="20"/>
          <w:color w:val="auto"/>
        </w:rPr>
      </w:pPr>
    </w:p>
    <w:p>
      <w:pPr>
        <w:ind w:right="500"/>
        <w:spacing w:after="0" w:line="241" w:lineRule="auto"/>
        <w:rPr>
          <w:sz w:val="20"/>
          <w:szCs w:val="20"/>
          <w:color w:val="auto"/>
        </w:rPr>
      </w:pPr>
      <w:r>
        <w:rPr>
          <w:rFonts w:ascii="Arial" w:cs="Arial" w:eastAsia="Arial" w:hAnsi="Arial"/>
          <w:sz w:val="17"/>
          <w:szCs w:val="17"/>
          <w:color w:val="auto"/>
        </w:rPr>
        <w:t>Both the qualified and supplemental retirement plans are generally offered to executive officers, including the Named Executive Officers, and vary by country.</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Kraft Foods Global, Inc. Retirement Plan</w:t>
      </w:r>
    </w:p>
    <w:p>
      <w:pPr>
        <w:spacing w:after="0" w:line="15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Beginning January 1, 2009, this program is not offered to newly hired U.S. employees. However, all eligible full-time and part-time U.S. employees hired before January 1, 2009, including Mses. Rosenfeld and West and Messrs. McLevish and Khosla, are covered automatically in our funded non-contributory, tax-qualified defined benefit plan. Mr. Vernon, hired after December 31, 2008, is not eligible for this program. Mr. Vernon, similar to all other U.S. employees hired after December 31, 2008, is eligible to participate in an enhanced defined contribution plan, which is described under “– 2011 Non-Qualified Deferred Compensation Benefits” and “– U.S. Supplemental Defined Contribution Plan” below.</w:t>
      </w:r>
    </w:p>
    <w:p>
      <w:pPr>
        <w:spacing w:after="0" w:line="148" w:lineRule="exact"/>
        <w:rPr>
          <w:sz w:val="20"/>
          <w:szCs w:val="20"/>
          <w:color w:val="auto"/>
        </w:rPr>
      </w:pPr>
    </w:p>
    <w:p>
      <w:pPr>
        <w:ind w:right="220"/>
        <w:spacing w:after="0" w:line="238" w:lineRule="auto"/>
        <w:rPr>
          <w:sz w:val="20"/>
          <w:szCs w:val="20"/>
          <w:color w:val="auto"/>
        </w:rPr>
      </w:pPr>
      <w:r>
        <w:rPr>
          <w:rFonts w:ascii="Arial" w:cs="Arial" w:eastAsia="Arial" w:hAnsi="Arial"/>
          <w:sz w:val="17"/>
          <w:szCs w:val="17"/>
          <w:color w:val="auto"/>
        </w:rPr>
        <w:t>Benefits under this plan are payable upon retirement in the form of an annuity or a lump sum (if the employee was hired before 2004). Normal retirement under this plan is defined as age 65 with five years of vesting service, at which point participants are eligible to receive an unreduced benefit. Vested participants may elect to receive benefits before age 65, but the amount is reduced as benefits are paid over a longer period of time. Participants must have at least five years of service to become vested.</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443" w:right="23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formula used to calculate a benefit is equal to the following:</w:t>
      </w:r>
    </w:p>
    <w:p>
      <w:pPr>
        <w:spacing w:after="0" w:line="73" w:lineRule="exact"/>
        <w:rPr>
          <w:sz w:val="20"/>
          <w:szCs w:val="20"/>
          <w:color w:val="auto"/>
        </w:rPr>
      </w:pPr>
    </w:p>
    <w:p>
      <w:pPr>
        <w:ind w:left="880" w:hanging="315"/>
        <w:spacing w:after="0"/>
        <w:tabs>
          <w:tab w:leader="none" w:pos="8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1.3% of final average pay up to the Social Security covered compensation amount multiplied by years of service up to 30; plus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1.675% of final average pay in excess of the Social Security covered compensation amount, multiplied by years of service up to 30; plus</w:t>
      </w:r>
    </w:p>
    <w:p>
      <w:pPr>
        <w:spacing w:after="0" w:line="73" w:lineRule="exact"/>
        <w:rPr>
          <w:rFonts w:ascii="Arial" w:cs="Arial" w:eastAsia="Arial" w:hAnsi="Arial"/>
          <w:sz w:val="17"/>
          <w:szCs w:val="17"/>
          <w:color w:val="auto"/>
        </w:rPr>
      </w:pPr>
    </w:p>
    <w:p>
      <w:pPr>
        <w:ind w:left="880" w:right="140" w:hanging="315"/>
        <w:spacing w:after="0" w:line="237" w:lineRule="auto"/>
        <w:tabs>
          <w:tab w:leader="none" w:pos="8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0.5% of final average pay multiplied by years of service in excess of 30. Final average pay is defined as the greater of (a) the average of an executive officer’s salary plus annual bonus during the last 60 consecutive months of service before separation and (b) the five highest consecutive calendar years of salary plus annual bonus out of the last ten years prior to separation. Social Security covered compensation is an amount equal to the average of the Social Security taxable wage bases for the 35-year period that ends in the year the participant reaches age 65. (If you were born between 1938 and 1954, the 35–year average ends in the year you reach age 66. If you were born after 1954, the 35–year average ends in the year you reach age 67). The Internal Revenue Service has established certain limits on how much employees may receive from this plan.</w:t>
      </w:r>
    </w:p>
    <w:p>
      <w:pPr>
        <w:spacing w:after="0" w:line="145"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As of December 31, 2011, Ms. Rosenfeld is eligible to retire under the Kraft Foods Global, Inc. Retirement Plan. Employees hired before January 1, 2004, with at least ten years of service, are eligible to retire under this plan at age 55. The benefits payable to employees eligible to retire before age 62 are reduced by 3% each year (maximum 20%) between age 62 and the year that the employee retires.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Kraft Foods Global, Inc. Supplemental Benefits Plan I</w:t>
      </w:r>
    </w:p>
    <w:p>
      <w:pPr>
        <w:spacing w:after="0" w:line="15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Code limits the amount employees may receive from the tax-qualified pension plan. Therefore, we offer a Supplemental Defined Benefit Pension Plan and several Named Executive Officers participate in this plan. Beginning January 1, 2009, this program is not offered to newly hired U.S. employees. However, all eligible full-time and part-time U.S. employees hired before January 1, 2009, including Mses. Rosenfeld and West and Messrs. McLevish and Khosla, may participate in this unfunded plan that provides for the difference between what would have been payable based upon the pension plan formula stated above absent the applicable Code limits and the amount actually payable from the Kraft Foods Global, Inc. Retirement Plan. Additionally, any eligible base salary and annual cash incentive deferrals made under the voluntary non-qualified deferred compensation plan are considered non-qualified earnings and are subsequently paid out under this plan regardless of whether or not the executive exceeds the applicable Code limits. Mr. Vernon, hired after December 31, 2008, is not eligible for this program. Mr. Vernon is eligible to participate in an enhanced defined contribution plan, which is described under “– 2011 Non-Qualified Deferred Compensation Benefits” and “– U.S. Supplemental Defined Contribution Plan” below. As of December 31, 2011,</w:t>
      </w:r>
    </w:p>
    <w:p>
      <w:pPr>
        <w:spacing w:after="0" w:line="2" w:lineRule="exact"/>
        <w:rPr>
          <w:sz w:val="20"/>
          <w:szCs w:val="20"/>
          <w:color w:val="auto"/>
        </w:rPr>
      </w:pPr>
    </w:p>
    <w:p>
      <w:pPr>
        <w:jc w:val="both"/>
        <w:ind w:right="240"/>
        <w:spacing w:after="0" w:line="239" w:lineRule="auto"/>
        <w:rPr>
          <w:sz w:val="20"/>
          <w:szCs w:val="20"/>
          <w:color w:val="auto"/>
        </w:rPr>
      </w:pPr>
      <w:r>
        <w:rPr>
          <w:rFonts w:ascii="Arial" w:cs="Arial" w:eastAsia="Arial" w:hAnsi="Arial"/>
          <w:sz w:val="17"/>
          <w:szCs w:val="17"/>
          <w:color w:val="auto"/>
        </w:rPr>
        <w:t>Ms. Rosenfeld is eligible to retire under the Kraft Foods Global, Inc. Supplemental Benefits Plan I. Employees hired before January 1, 2004, with at least ten years of service, are eligible to retire under this plan at age 55. The benefits payable to employees eligible to retire before age 62 are reduced by 3% each year (maximum 20%) between age 62 and the year that the employee retires.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Kraft Foods Global, Inc. Supplemental Benefits Plan II – Ms. Rosenfeld</w:t>
      </w:r>
    </w:p>
    <w:p>
      <w:pPr>
        <w:spacing w:after="0" w:line="15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Ms. Rosenfeld’s employment offer letter provided her with credited service during the period she was not working for Kraft Foods between 2004 and 2006. This enhanced pension benefit was part of a broader incentive program designed to compensate Ms. Rosenfeld for the forfeiture of benefits at her prior employer, as well as to encourage her to return to Kraft Foods.</w:t>
      </w:r>
    </w:p>
    <w:p>
      <w:pPr>
        <w:spacing w:after="0" w:line="145" w:lineRule="exact"/>
        <w:rPr>
          <w:sz w:val="20"/>
          <w:szCs w:val="20"/>
          <w:color w:val="auto"/>
        </w:rPr>
      </w:pPr>
    </w:p>
    <w:p>
      <w:pPr>
        <w:ind w:right="440"/>
        <w:spacing w:after="0" w:line="241" w:lineRule="auto"/>
        <w:rPr>
          <w:sz w:val="20"/>
          <w:szCs w:val="20"/>
          <w:color w:val="auto"/>
        </w:rPr>
      </w:pPr>
      <w:r>
        <w:rPr>
          <w:rFonts w:ascii="Arial" w:cs="Arial" w:eastAsia="Arial" w:hAnsi="Arial"/>
          <w:sz w:val="17"/>
          <w:szCs w:val="17"/>
          <w:color w:val="auto"/>
        </w:rPr>
        <w:t>As of December 31, 2011, Ms. Rosenfeld is eligible to retire under the Kraft Foods Global, Inc. Supplemental Benefits Plan II. The benefits payable to Ms. Rosenfeld before age 62 are reduced by 3% each year (maximum 20%) between age 62 and the year that she retires.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444" w:right="2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Kraft Canada, Inc. Retirement Plan for Canadian Salaried Employees of Kraft Canada Inc. – Mr. Brearton</w:t>
      </w:r>
    </w:p>
    <w:p>
      <w:pPr>
        <w:spacing w:after="0" w:line="15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All eligible full-time and part-time General Foods Canadian salaried employees hired before January 1, 1991, including Mr. Brearton, are eligible to participate in our funded non-contributory, tax-qualified defined pension plan. Benefits under this plan are payable upon retirement in the form of a monthly pension payment. Normal retirement under this plan is defined as age 65, at which point participants are eligible to receive an unreduced benefit. Participants may elect to receive benefits before age 65 but the amount is reduced as benefits are paid over a longer period of time. Participants under age 55 must have at least two years of service to become vested. Participants over age 55 are immediately vested.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formula used to calculate a benefit is equal to the following:</w:t>
      </w:r>
    </w:p>
    <w:p>
      <w:pPr>
        <w:spacing w:after="0" w:line="132"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i w:val="1"/>
          <w:iCs w:val="1"/>
          <w:color w:val="auto"/>
        </w:rPr>
        <w:t xml:space="preserve">Post December 31, 1986 </w:t>
      </w:r>
      <w:r>
        <w:rPr>
          <w:rFonts w:ascii="Arial" w:cs="Arial" w:eastAsia="Arial" w:hAnsi="Arial"/>
          <w:sz w:val="17"/>
          <w:szCs w:val="17"/>
          <w:color w:val="auto"/>
        </w:rPr>
        <w:t>– 1.25% of final average earnings (five years) less 1.4285% of the Canada Pension Plan benefit, multiplied by credited service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(maximum 35 years).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 January 1, 1987 – Better of:</w:t>
      </w:r>
    </w:p>
    <w:p>
      <w:pPr>
        <w:spacing w:after="0" w:line="91" w:lineRule="exact"/>
        <w:rPr>
          <w:sz w:val="20"/>
          <w:szCs w:val="20"/>
          <w:color w:val="auto"/>
        </w:rPr>
      </w:pPr>
    </w:p>
    <w:p>
      <w:pPr>
        <w:ind w:left="880" w:right="200" w:hanging="315"/>
        <w:spacing w:after="0" w:line="241" w:lineRule="auto"/>
        <w:tabs>
          <w:tab w:leader="none" w:pos="8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1.25% of final average earnings (five years) less 1.4285% times 0.5 of the Canada Pension Plan benefit, multiplied by credited service in the plan (maximum 30 years); or</w:t>
      </w:r>
    </w:p>
    <w:p>
      <w:pPr>
        <w:spacing w:after="0" w:line="183" w:lineRule="exact"/>
        <w:rPr>
          <w:rFonts w:ascii="Arial" w:cs="Arial" w:eastAsia="Arial" w:hAnsi="Arial"/>
          <w:sz w:val="17"/>
          <w:szCs w:val="17"/>
          <w:color w:val="auto"/>
        </w:rPr>
      </w:pPr>
    </w:p>
    <w:p>
      <w:pPr>
        <w:ind w:left="880" w:hanging="315"/>
        <w:spacing w:after="0"/>
        <w:tabs>
          <w:tab w:leader="none" w:pos="8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1.00% of final average earnings (five years) multiplied by credited service in the plan (maximum 30 years).</w:t>
      </w:r>
    </w:p>
    <w:p>
      <w:pPr>
        <w:spacing w:after="0" w:line="150"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Employees hired before January 1, 1991 are eligible to retire under this plan at age 55. The benefits payable to employees eligible to retire before age 65 are reduced by 4% for each year (maximum 20%) between age 55 and age 60. The benefits are unreduced after age 60.</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Kraft Canada Supplemental Benefits Plan – Mr. Brearton</w:t>
      </w:r>
    </w:p>
    <w:p>
      <w:pPr>
        <w:spacing w:after="0" w:line="150"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The Canadian government limits the amount employees may receive from the tax-qualified pension plan. Therefore, we offer a Supplemental Defined Benefit Pension. All eligible full-time and part-time salaried employees may participate in this unfunded plan that provides for the difference between what would have been payable based upon the pension plan formula stated above and the amount actually payable from the Kraft Canada, Inc. Retirement Plan. Eligible employees may retire under this plan at age 55. The benefits payable to employees eligible to retire before age 65 are reduced by 4% each year (maximum 20%) between age 55 and age 60. The benefits are unreduced after age 60.</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00"/>
          </w:cols>
          <w:pgMar w:left="240" w:top="443" w:right="25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Non-Qualified Deferred Compensation Benefits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40" w:type="dxa"/>
            <w:vAlign w:val="bottom"/>
            <w:gridSpan w:val="2"/>
          </w:tcPr>
          <w:p>
            <w:pPr>
              <w:jc w:val="center"/>
              <w:ind w:right="980"/>
              <w:spacing w:after="0"/>
              <w:rPr>
                <w:sz w:val="20"/>
                <w:szCs w:val="20"/>
                <w:color w:val="auto"/>
              </w:rPr>
            </w:pPr>
            <w:r>
              <w:rPr>
                <w:rFonts w:ascii="Arial" w:cs="Arial" w:eastAsia="Arial" w:hAnsi="Arial"/>
                <w:sz w:val="13"/>
                <w:szCs w:val="13"/>
                <w:b w:val="1"/>
                <w:bCs w:val="1"/>
                <w:color w:val="auto"/>
                <w:w w:val="96"/>
              </w:rPr>
              <w:t>Aggregate</w:t>
            </w:r>
          </w:p>
        </w:tc>
        <w:tc>
          <w:tcPr>
            <w:tcW w:w="1860" w:type="dxa"/>
            <w:vAlign w:val="bottom"/>
            <w:gridSpan w:val="2"/>
          </w:tcPr>
          <w:p>
            <w:pPr>
              <w:jc w:val="center"/>
              <w:ind w:right="1060"/>
              <w:spacing w:after="0"/>
              <w:rPr>
                <w:sz w:val="20"/>
                <w:szCs w:val="20"/>
                <w:color w:val="auto"/>
              </w:rPr>
            </w:pPr>
            <w:r>
              <w:rPr>
                <w:rFonts w:ascii="Arial" w:cs="Arial" w:eastAsia="Arial" w:hAnsi="Arial"/>
                <w:sz w:val="13"/>
                <w:szCs w:val="13"/>
                <w:b w:val="1"/>
                <w:bCs w:val="1"/>
                <w:color w:val="auto"/>
                <w:w w:val="99"/>
              </w:rPr>
              <w:t>Aggregate</w:t>
            </w: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9"/>
              </w:rPr>
              <w:t>Aggregate</w:t>
            </w:r>
          </w:p>
        </w:tc>
        <w:tc>
          <w:tcPr>
            <w:tcW w:w="0" w:type="dxa"/>
            <w:vAlign w:val="bottom"/>
          </w:tcPr>
          <w:p>
            <w:pPr>
              <w:spacing w:after="0"/>
              <w:rPr>
                <w:sz w:val="1"/>
                <w:szCs w:val="1"/>
                <w:color w:val="auto"/>
              </w:rPr>
            </w:pPr>
          </w:p>
        </w:tc>
      </w:tr>
      <w:tr>
        <w:trPr>
          <w:trHeight w:val="141"/>
        </w:trPr>
        <w:tc>
          <w:tcPr>
            <w:tcW w:w="1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gridSpan w:val="2"/>
          </w:tcPr>
          <w:p>
            <w:pPr>
              <w:jc w:val="center"/>
              <w:ind w:right="980"/>
              <w:spacing w:after="0" w:line="141" w:lineRule="exact"/>
              <w:rPr>
                <w:sz w:val="20"/>
                <w:szCs w:val="20"/>
                <w:color w:val="auto"/>
              </w:rPr>
            </w:pPr>
            <w:r>
              <w:rPr>
                <w:rFonts w:ascii="Arial" w:cs="Arial" w:eastAsia="Arial" w:hAnsi="Arial"/>
                <w:sz w:val="13"/>
                <w:szCs w:val="13"/>
                <w:b w:val="1"/>
                <w:bCs w:val="1"/>
                <w:color w:val="auto"/>
                <w:w w:val="95"/>
              </w:rPr>
              <w:t>Executive</w:t>
            </w:r>
          </w:p>
        </w:tc>
        <w:tc>
          <w:tcPr>
            <w:tcW w:w="1820" w:type="dxa"/>
            <w:vAlign w:val="bottom"/>
            <w:gridSpan w:val="2"/>
          </w:tcPr>
          <w:p>
            <w:pPr>
              <w:jc w:val="center"/>
              <w:ind w:right="980"/>
              <w:spacing w:after="0" w:line="141" w:lineRule="exact"/>
              <w:rPr>
                <w:sz w:val="20"/>
                <w:szCs w:val="20"/>
                <w:color w:val="auto"/>
              </w:rPr>
            </w:pPr>
            <w:r>
              <w:rPr>
                <w:rFonts w:ascii="Arial" w:cs="Arial" w:eastAsia="Arial" w:hAnsi="Arial"/>
                <w:sz w:val="13"/>
                <w:szCs w:val="13"/>
                <w:b w:val="1"/>
                <w:bCs w:val="1"/>
                <w:color w:val="auto"/>
                <w:w w:val="99"/>
              </w:rPr>
              <w:t>Registrant</w:t>
            </w:r>
          </w:p>
        </w:tc>
        <w:tc>
          <w:tcPr>
            <w:tcW w:w="1640" w:type="dxa"/>
            <w:vAlign w:val="bottom"/>
            <w:gridSpan w:val="2"/>
          </w:tcPr>
          <w:p>
            <w:pPr>
              <w:jc w:val="center"/>
              <w:ind w:right="980"/>
              <w:spacing w:after="0" w:line="141" w:lineRule="exact"/>
              <w:rPr>
                <w:sz w:val="20"/>
                <w:szCs w:val="20"/>
                <w:color w:val="auto"/>
              </w:rPr>
            </w:pPr>
            <w:r>
              <w:rPr>
                <w:rFonts w:ascii="Arial" w:cs="Arial" w:eastAsia="Arial" w:hAnsi="Arial"/>
                <w:sz w:val="13"/>
                <w:szCs w:val="13"/>
                <w:b w:val="1"/>
                <w:bCs w:val="1"/>
                <w:color w:val="auto"/>
                <w:w w:val="96"/>
              </w:rPr>
              <w:t>Earnings</w:t>
            </w:r>
          </w:p>
        </w:tc>
        <w:tc>
          <w:tcPr>
            <w:tcW w:w="1860" w:type="dxa"/>
            <w:vAlign w:val="bottom"/>
            <w:gridSpan w:val="2"/>
          </w:tcPr>
          <w:p>
            <w:pPr>
              <w:jc w:val="center"/>
              <w:ind w:right="1060"/>
              <w:spacing w:after="0" w:line="141" w:lineRule="exact"/>
              <w:rPr>
                <w:sz w:val="20"/>
                <w:szCs w:val="20"/>
                <w:color w:val="auto"/>
              </w:rPr>
            </w:pPr>
            <w:r>
              <w:rPr>
                <w:rFonts w:ascii="Arial" w:cs="Arial" w:eastAsia="Arial" w:hAnsi="Arial"/>
                <w:sz w:val="13"/>
                <w:szCs w:val="13"/>
                <w:b w:val="1"/>
                <w:bCs w:val="1"/>
                <w:color w:val="auto"/>
                <w:w w:val="99"/>
              </w:rPr>
              <w:t>Withdrawals/</w:t>
            </w:r>
          </w:p>
        </w:tc>
        <w:tc>
          <w:tcPr>
            <w:tcW w:w="9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rPr>
              <w:t>Balance as of</w:t>
            </w:r>
          </w:p>
        </w:tc>
        <w:tc>
          <w:tcPr>
            <w:tcW w:w="0" w:type="dxa"/>
            <w:vAlign w:val="bottom"/>
          </w:tcPr>
          <w:p>
            <w:pPr>
              <w:spacing w:after="0"/>
              <w:rPr>
                <w:sz w:val="1"/>
                <w:szCs w:val="1"/>
                <w:color w:val="auto"/>
              </w:rPr>
            </w:pPr>
          </w:p>
        </w:tc>
      </w:tr>
      <w:tr>
        <w:trPr>
          <w:trHeight w:val="132"/>
        </w:trPr>
        <w:tc>
          <w:tcPr>
            <w:tcW w:w="1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840" w:type="dxa"/>
            <w:vAlign w:val="bottom"/>
            <w:gridSpan w:val="2"/>
          </w:tcPr>
          <w:p>
            <w:pPr>
              <w:jc w:val="center"/>
              <w:ind w:right="980"/>
              <w:spacing w:after="0" w:line="132" w:lineRule="exact"/>
              <w:rPr>
                <w:sz w:val="20"/>
                <w:szCs w:val="20"/>
                <w:color w:val="auto"/>
              </w:rPr>
            </w:pPr>
            <w:r>
              <w:rPr>
                <w:rFonts w:ascii="Arial" w:cs="Arial" w:eastAsia="Arial" w:hAnsi="Arial"/>
                <w:sz w:val="13"/>
                <w:szCs w:val="13"/>
                <w:b w:val="1"/>
                <w:bCs w:val="1"/>
                <w:color w:val="auto"/>
                <w:w w:val="96"/>
              </w:rPr>
              <w:t>Contributions</w:t>
            </w:r>
          </w:p>
        </w:tc>
        <w:tc>
          <w:tcPr>
            <w:tcW w:w="1820" w:type="dxa"/>
            <w:vAlign w:val="bottom"/>
            <w:gridSpan w:val="2"/>
          </w:tcPr>
          <w:p>
            <w:pPr>
              <w:jc w:val="center"/>
              <w:ind w:right="980"/>
              <w:spacing w:after="0" w:line="132" w:lineRule="exact"/>
              <w:rPr>
                <w:sz w:val="20"/>
                <w:szCs w:val="20"/>
                <w:color w:val="auto"/>
              </w:rPr>
            </w:pPr>
            <w:r>
              <w:rPr>
                <w:rFonts w:ascii="Arial" w:cs="Arial" w:eastAsia="Arial" w:hAnsi="Arial"/>
                <w:sz w:val="13"/>
                <w:szCs w:val="13"/>
                <w:b w:val="1"/>
                <w:bCs w:val="1"/>
                <w:color w:val="auto"/>
                <w:w w:val="98"/>
              </w:rPr>
              <w:t>Contributions</w:t>
            </w:r>
          </w:p>
        </w:tc>
        <w:tc>
          <w:tcPr>
            <w:tcW w:w="1640" w:type="dxa"/>
            <w:vAlign w:val="bottom"/>
            <w:gridSpan w:val="2"/>
          </w:tcPr>
          <w:p>
            <w:pPr>
              <w:jc w:val="center"/>
              <w:ind w:right="960"/>
              <w:spacing w:after="0" w:line="132" w:lineRule="exact"/>
              <w:rPr>
                <w:sz w:val="20"/>
                <w:szCs w:val="20"/>
                <w:color w:val="auto"/>
              </w:rPr>
            </w:pPr>
            <w:r>
              <w:rPr>
                <w:rFonts w:ascii="Arial" w:cs="Arial" w:eastAsia="Arial" w:hAnsi="Arial"/>
                <w:sz w:val="13"/>
                <w:szCs w:val="13"/>
                <w:b w:val="1"/>
                <w:bCs w:val="1"/>
                <w:color w:val="auto"/>
              </w:rPr>
              <w:t>in</w:t>
            </w:r>
          </w:p>
        </w:tc>
        <w:tc>
          <w:tcPr>
            <w:tcW w:w="1860" w:type="dxa"/>
            <w:vAlign w:val="bottom"/>
            <w:gridSpan w:val="2"/>
          </w:tcPr>
          <w:p>
            <w:pPr>
              <w:jc w:val="center"/>
              <w:ind w:right="1060"/>
              <w:spacing w:after="0" w:line="132" w:lineRule="exact"/>
              <w:rPr>
                <w:sz w:val="20"/>
                <w:szCs w:val="20"/>
                <w:color w:val="auto"/>
              </w:rPr>
            </w:pPr>
            <w:r>
              <w:rPr>
                <w:rFonts w:ascii="Arial" w:cs="Arial" w:eastAsia="Arial" w:hAnsi="Arial"/>
                <w:sz w:val="13"/>
                <w:szCs w:val="13"/>
                <w:b w:val="1"/>
                <w:bCs w:val="1"/>
                <w:color w:val="auto"/>
                <w:w w:val="99"/>
              </w:rPr>
              <w:t>Distributions</w:t>
            </w:r>
          </w:p>
        </w:tc>
        <w:tc>
          <w:tcPr>
            <w:tcW w:w="94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50"/>
        </w:trPr>
        <w:tc>
          <w:tcPr>
            <w:tcW w:w="112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2200" w:type="dxa"/>
            <w:vAlign w:val="bottom"/>
          </w:tcPr>
          <w:p>
            <w:pPr>
              <w:spacing w:after="0"/>
              <w:rPr>
                <w:sz w:val="13"/>
                <w:szCs w:val="13"/>
                <w:color w:val="auto"/>
              </w:rPr>
            </w:pPr>
          </w:p>
        </w:tc>
        <w:tc>
          <w:tcPr>
            <w:tcW w:w="1840" w:type="dxa"/>
            <w:vAlign w:val="bottom"/>
            <w:gridSpan w:val="2"/>
          </w:tcPr>
          <w:p>
            <w:pPr>
              <w:jc w:val="center"/>
              <w:ind w:right="980"/>
              <w:spacing w:after="0" w:line="150" w:lineRule="exact"/>
              <w:rPr>
                <w:sz w:val="20"/>
                <w:szCs w:val="20"/>
                <w:color w:val="auto"/>
              </w:rPr>
            </w:pPr>
            <w:r>
              <w:rPr>
                <w:rFonts w:ascii="Arial" w:cs="Arial" w:eastAsia="Arial" w:hAnsi="Arial"/>
                <w:sz w:val="11"/>
                <w:szCs w:val="11"/>
                <w:b w:val="1"/>
                <w:bCs w:val="1"/>
                <w:color w:val="auto"/>
              </w:rPr>
              <w:t>in 2011</w:t>
            </w:r>
            <w:r>
              <w:rPr>
                <w:rFonts w:ascii="Arial" w:cs="Arial" w:eastAsia="Arial" w:hAnsi="Arial"/>
                <w:sz w:val="17"/>
                <w:szCs w:val="17"/>
                <w:b w:val="1"/>
                <w:bCs w:val="1"/>
                <w:color w:val="auto"/>
                <w:vertAlign w:val="superscript"/>
              </w:rPr>
              <w:t>(1)</w:t>
            </w:r>
          </w:p>
        </w:tc>
        <w:tc>
          <w:tcPr>
            <w:tcW w:w="1820" w:type="dxa"/>
            <w:vAlign w:val="bottom"/>
            <w:gridSpan w:val="2"/>
          </w:tcPr>
          <w:p>
            <w:pPr>
              <w:jc w:val="center"/>
              <w:ind w:right="980"/>
              <w:spacing w:after="0" w:line="150" w:lineRule="exact"/>
              <w:rPr>
                <w:sz w:val="20"/>
                <w:szCs w:val="20"/>
                <w:color w:val="auto"/>
              </w:rPr>
            </w:pPr>
            <w:r>
              <w:rPr>
                <w:rFonts w:ascii="Arial" w:cs="Arial" w:eastAsia="Arial" w:hAnsi="Arial"/>
                <w:sz w:val="11"/>
                <w:szCs w:val="11"/>
                <w:b w:val="1"/>
                <w:bCs w:val="1"/>
                <w:color w:val="auto"/>
              </w:rPr>
              <w:t>in 2011</w:t>
            </w:r>
            <w:r>
              <w:rPr>
                <w:rFonts w:ascii="Arial" w:cs="Arial" w:eastAsia="Arial" w:hAnsi="Arial"/>
                <w:sz w:val="17"/>
                <w:szCs w:val="17"/>
                <w:b w:val="1"/>
                <w:bCs w:val="1"/>
                <w:color w:val="auto"/>
                <w:vertAlign w:val="superscript"/>
              </w:rPr>
              <w:t>(2)</w:t>
            </w:r>
          </w:p>
        </w:tc>
        <w:tc>
          <w:tcPr>
            <w:tcW w:w="660" w:type="dxa"/>
            <w:vAlign w:val="bottom"/>
          </w:tcPr>
          <w:p>
            <w:pPr>
              <w:jc w:val="right"/>
              <w:ind w:right="46"/>
              <w:spacing w:after="0" w:line="150"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7"/>
                <w:szCs w:val="17"/>
                <w:b w:val="1"/>
                <w:bCs w:val="1"/>
                <w:color w:val="auto"/>
                <w:vertAlign w:val="superscript"/>
              </w:rPr>
              <w:t>(3)</w:t>
            </w:r>
          </w:p>
        </w:tc>
        <w:tc>
          <w:tcPr>
            <w:tcW w:w="980" w:type="dxa"/>
            <w:vAlign w:val="bottom"/>
          </w:tcPr>
          <w:p>
            <w:pPr>
              <w:spacing w:after="0"/>
              <w:rPr>
                <w:sz w:val="13"/>
                <w:szCs w:val="13"/>
                <w:color w:val="auto"/>
              </w:rPr>
            </w:pPr>
          </w:p>
        </w:tc>
        <w:tc>
          <w:tcPr>
            <w:tcW w:w="1860" w:type="dxa"/>
            <w:vAlign w:val="bottom"/>
            <w:gridSpan w:val="2"/>
          </w:tcPr>
          <w:p>
            <w:pPr>
              <w:jc w:val="center"/>
              <w:ind w:right="1060"/>
              <w:spacing w:after="0"/>
              <w:rPr>
                <w:sz w:val="20"/>
                <w:szCs w:val="20"/>
                <w:color w:val="auto"/>
              </w:rPr>
            </w:pPr>
            <w:r>
              <w:rPr>
                <w:rFonts w:ascii="Arial" w:cs="Arial" w:eastAsia="Arial" w:hAnsi="Arial"/>
                <w:sz w:val="13"/>
                <w:szCs w:val="13"/>
                <w:b w:val="1"/>
                <w:bCs w:val="1"/>
                <w:color w:val="auto"/>
                <w:w w:val="99"/>
              </w:rPr>
              <w:t>in 2011</w:t>
            </w:r>
          </w:p>
        </w:tc>
        <w:tc>
          <w:tcPr>
            <w:tcW w:w="840" w:type="dxa"/>
            <w:vAlign w:val="bottom"/>
          </w:tcPr>
          <w:p>
            <w:pPr>
              <w:jc w:val="right"/>
              <w:ind w:right="146"/>
              <w:spacing w:after="0" w:line="150"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7"/>
                <w:szCs w:val="17"/>
                <w:b w:val="1"/>
                <w:bCs w:val="1"/>
                <w:color w:val="auto"/>
                <w:vertAlign w:val="superscript"/>
              </w:rPr>
              <w:t>(4)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20" w:type="dxa"/>
            <w:vAlign w:val="bottom"/>
            <w:tcBorders>
              <w:bottom w:val="single" w:sz="8" w:color="auto"/>
            </w:tcBorders>
            <w:vMerge w:val="continue"/>
          </w:tcPr>
          <w:p>
            <w:pPr>
              <w:spacing w:after="0"/>
              <w:rPr>
                <w:sz w:val="14"/>
                <w:szCs w:val="14"/>
                <w:color w:val="auto"/>
              </w:rPr>
            </w:pPr>
          </w:p>
        </w:tc>
        <w:tc>
          <w:tcPr>
            <w:tcW w:w="2200" w:type="dxa"/>
            <w:vAlign w:val="bottom"/>
          </w:tcPr>
          <w:p>
            <w:pPr>
              <w:spacing w:after="0"/>
              <w:rPr>
                <w:sz w:val="14"/>
                <w:szCs w:val="14"/>
                <w:color w:val="auto"/>
              </w:rPr>
            </w:pPr>
          </w:p>
        </w:tc>
        <w:tc>
          <w:tcPr>
            <w:tcW w:w="86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w w:val="87"/>
              </w:rPr>
              <w:t>($)</w:t>
            </w:r>
          </w:p>
        </w:tc>
        <w:tc>
          <w:tcPr>
            <w:tcW w:w="980" w:type="dxa"/>
            <w:vAlign w:val="bottom"/>
          </w:tcPr>
          <w:p>
            <w:pPr>
              <w:spacing w:after="0"/>
              <w:rPr>
                <w:sz w:val="14"/>
                <w:szCs w:val="14"/>
                <w:color w:val="auto"/>
              </w:rPr>
            </w:pPr>
          </w:p>
        </w:tc>
        <w:tc>
          <w:tcPr>
            <w:tcW w:w="84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980" w:type="dxa"/>
            <w:vAlign w:val="bottom"/>
          </w:tcPr>
          <w:p>
            <w:pPr>
              <w:spacing w:after="0"/>
              <w:rPr>
                <w:sz w:val="14"/>
                <w:szCs w:val="14"/>
                <w:color w:val="auto"/>
              </w:rPr>
            </w:pPr>
          </w:p>
        </w:tc>
        <w:tc>
          <w:tcPr>
            <w:tcW w:w="660" w:type="dxa"/>
            <w:vAlign w:val="bottom"/>
            <w:tcBorders>
              <w:bottom w:val="single" w:sz="8" w:color="auto"/>
            </w:tcBorders>
          </w:tcPr>
          <w:p>
            <w:pPr>
              <w:jc w:val="right"/>
              <w:ind w:right="166"/>
              <w:spacing w:after="0" w:line="145" w:lineRule="exact"/>
              <w:rPr>
                <w:sz w:val="20"/>
                <w:szCs w:val="20"/>
                <w:color w:val="auto"/>
              </w:rPr>
            </w:pPr>
            <w:r>
              <w:rPr>
                <w:rFonts w:ascii="Arial" w:cs="Arial" w:eastAsia="Arial" w:hAnsi="Arial"/>
                <w:sz w:val="13"/>
                <w:szCs w:val="13"/>
                <w:b w:val="1"/>
                <w:bCs w:val="1"/>
                <w:color w:val="auto"/>
              </w:rPr>
              <w:t>($)</w:t>
            </w:r>
          </w:p>
        </w:tc>
        <w:tc>
          <w:tcPr>
            <w:tcW w:w="980" w:type="dxa"/>
            <w:vAlign w:val="bottom"/>
          </w:tcPr>
          <w:p>
            <w:pPr>
              <w:spacing w:after="0"/>
              <w:rPr>
                <w:sz w:val="14"/>
                <w:szCs w:val="14"/>
                <w:color w:val="auto"/>
              </w:rPr>
            </w:pPr>
          </w:p>
        </w:tc>
        <w:tc>
          <w:tcPr>
            <w:tcW w:w="80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060" w:type="dxa"/>
            <w:vAlign w:val="bottom"/>
          </w:tcPr>
          <w:p>
            <w:pPr>
              <w:spacing w:after="0"/>
              <w:rPr>
                <w:sz w:val="14"/>
                <w:szCs w:val="14"/>
                <w:color w:val="auto"/>
              </w:rPr>
            </w:pPr>
          </w:p>
        </w:tc>
        <w:tc>
          <w:tcPr>
            <w:tcW w:w="840" w:type="dxa"/>
            <w:vAlign w:val="bottom"/>
            <w:tcBorders>
              <w:bottom w:val="single" w:sz="8" w:color="auto"/>
            </w:tcBorders>
          </w:tcPr>
          <w:p>
            <w:pPr>
              <w:jc w:val="right"/>
              <w:ind w:right="266"/>
              <w:spacing w:after="0" w:line="14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20" w:type="dxa"/>
            <w:vAlign w:val="bottom"/>
          </w:tcPr>
          <w:p>
            <w:pPr>
              <w:spacing w:after="0" w:line="177" w:lineRule="exact"/>
              <w:rPr>
                <w:sz w:val="20"/>
                <w:szCs w:val="20"/>
                <w:color w:val="auto"/>
              </w:rPr>
            </w:pPr>
            <w:r>
              <w:rPr>
                <w:rFonts w:ascii="Arial" w:cs="Arial" w:eastAsia="Arial" w:hAnsi="Arial"/>
                <w:sz w:val="17"/>
                <w:szCs w:val="17"/>
                <w:color w:val="auto"/>
              </w:rPr>
              <w:t>Ms. Rosenfeld</w:t>
            </w:r>
          </w:p>
        </w:tc>
        <w:tc>
          <w:tcPr>
            <w:tcW w:w="4040" w:type="dxa"/>
            <w:vAlign w:val="bottom"/>
            <w:gridSpan w:val="3"/>
          </w:tcPr>
          <w:p>
            <w:pPr>
              <w:jc w:val="right"/>
              <w:ind w:right="980"/>
              <w:spacing w:after="0" w:line="177" w:lineRule="exact"/>
              <w:rPr>
                <w:sz w:val="20"/>
                <w:szCs w:val="20"/>
                <w:color w:val="auto"/>
              </w:rPr>
            </w:pPr>
            <w:r>
              <w:rPr>
                <w:rFonts w:ascii="Arial" w:cs="Arial" w:eastAsia="Arial" w:hAnsi="Arial"/>
                <w:sz w:val="17"/>
                <w:szCs w:val="17"/>
                <w:color w:val="auto"/>
              </w:rPr>
              <w:t>205,591</w:t>
            </w:r>
          </w:p>
        </w:tc>
        <w:tc>
          <w:tcPr>
            <w:tcW w:w="840" w:type="dxa"/>
            <w:vAlign w:val="bottom"/>
          </w:tcPr>
          <w:p>
            <w:pPr>
              <w:jc w:val="right"/>
              <w:spacing w:after="0" w:line="177" w:lineRule="exact"/>
              <w:rPr>
                <w:sz w:val="20"/>
                <w:szCs w:val="20"/>
                <w:color w:val="auto"/>
              </w:rPr>
            </w:pPr>
            <w:r>
              <w:rPr>
                <w:rFonts w:ascii="Arial" w:cs="Arial" w:eastAsia="Arial" w:hAnsi="Arial"/>
                <w:sz w:val="17"/>
                <w:szCs w:val="17"/>
                <w:color w:val="auto"/>
              </w:rPr>
              <w:t>154,193</w:t>
            </w:r>
          </w:p>
        </w:tc>
        <w:tc>
          <w:tcPr>
            <w:tcW w:w="980" w:type="dxa"/>
            <w:vAlign w:val="bottom"/>
          </w:tcPr>
          <w:p>
            <w:pPr>
              <w:spacing w:after="0"/>
              <w:rPr>
                <w:sz w:val="15"/>
                <w:szCs w:val="15"/>
                <w:color w:val="auto"/>
              </w:rPr>
            </w:pPr>
          </w:p>
        </w:tc>
        <w:tc>
          <w:tcPr>
            <w:tcW w:w="660" w:type="dxa"/>
            <w:vAlign w:val="bottom"/>
          </w:tcPr>
          <w:p>
            <w:pPr>
              <w:jc w:val="right"/>
              <w:spacing w:after="0" w:line="177" w:lineRule="exact"/>
              <w:rPr>
                <w:sz w:val="20"/>
                <w:szCs w:val="20"/>
                <w:color w:val="auto"/>
              </w:rPr>
            </w:pPr>
            <w:r>
              <w:rPr>
                <w:rFonts w:ascii="Arial" w:cs="Arial" w:eastAsia="Arial" w:hAnsi="Arial"/>
                <w:sz w:val="17"/>
                <w:szCs w:val="17"/>
                <w:color w:val="auto"/>
              </w:rPr>
              <w:t>224,065</w:t>
            </w:r>
          </w:p>
        </w:tc>
        <w:tc>
          <w:tcPr>
            <w:tcW w:w="980" w:type="dxa"/>
            <w:vAlign w:val="bottom"/>
          </w:tcPr>
          <w:p>
            <w:pPr>
              <w:spacing w:after="0"/>
              <w:rPr>
                <w:sz w:val="15"/>
                <w:szCs w:val="15"/>
                <w:color w:val="auto"/>
              </w:rPr>
            </w:pPr>
          </w:p>
        </w:tc>
        <w:tc>
          <w:tcPr>
            <w:tcW w:w="1860" w:type="dxa"/>
            <w:vAlign w:val="bottom"/>
            <w:gridSpan w:val="2"/>
          </w:tcPr>
          <w:p>
            <w:pPr>
              <w:ind w:left="60"/>
              <w:spacing w:after="0" w:line="177" w:lineRule="exact"/>
              <w:rPr>
                <w:sz w:val="20"/>
                <w:szCs w:val="20"/>
                <w:color w:val="auto"/>
              </w:rPr>
            </w:pPr>
            <w:r>
              <w:rPr>
                <w:rFonts w:ascii="Arial" w:cs="Arial" w:eastAsia="Arial" w:hAnsi="Arial"/>
                <w:sz w:val="17"/>
                <w:szCs w:val="17"/>
                <w:color w:val="auto"/>
              </w:rPr>
              <w:t>5,385,893</w:t>
            </w:r>
            <w:r>
              <w:rPr>
                <w:rFonts w:ascii="Arial" w:cs="Arial" w:eastAsia="Arial" w:hAnsi="Arial"/>
                <w:sz w:val="10"/>
                <w:szCs w:val="10"/>
                <w:color w:val="auto"/>
              </w:rPr>
              <w:t>(5)</w:t>
            </w:r>
          </w:p>
        </w:tc>
        <w:tc>
          <w:tcPr>
            <w:tcW w:w="840" w:type="dxa"/>
            <w:vAlign w:val="bottom"/>
          </w:tcPr>
          <w:p>
            <w:pPr>
              <w:jc w:val="right"/>
              <w:spacing w:after="0" w:line="177" w:lineRule="exact"/>
              <w:rPr>
                <w:sz w:val="20"/>
                <w:szCs w:val="20"/>
                <w:color w:val="auto"/>
              </w:rPr>
            </w:pPr>
            <w:r>
              <w:rPr>
                <w:rFonts w:ascii="Arial" w:cs="Arial" w:eastAsia="Arial" w:hAnsi="Arial"/>
                <w:sz w:val="17"/>
                <w:szCs w:val="17"/>
                <w:color w:val="auto"/>
              </w:rPr>
              <w:t>4,850,812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2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Mr. Brearton</w:t>
            </w:r>
          </w:p>
        </w:tc>
        <w:tc>
          <w:tcPr>
            <w:tcW w:w="4040" w:type="dxa"/>
            <w:vAlign w:val="bottom"/>
            <w:gridSpan w:val="3"/>
            <w:shd w:val="clear" w:color="auto" w:fill="D8D8D8"/>
          </w:tcPr>
          <w:p>
            <w:pPr>
              <w:jc w:val="right"/>
              <w:ind w:right="980"/>
              <w:spacing w:after="0" w:line="192" w:lineRule="exact"/>
              <w:rPr>
                <w:sz w:val="20"/>
                <w:szCs w:val="20"/>
                <w:color w:val="auto"/>
              </w:rPr>
            </w:pPr>
            <w:r>
              <w:rPr>
                <w:rFonts w:ascii="Arial" w:cs="Arial" w:eastAsia="Arial" w:hAnsi="Arial"/>
                <w:sz w:val="17"/>
                <w:szCs w:val="17"/>
                <w:color w:val="auto"/>
              </w:rPr>
              <w:t>211,830</w:t>
            </w:r>
          </w:p>
        </w:tc>
        <w:tc>
          <w:tcPr>
            <w:tcW w:w="8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29,028</w:t>
            </w:r>
          </w:p>
        </w:tc>
        <w:tc>
          <w:tcPr>
            <w:tcW w:w="980" w:type="dxa"/>
            <w:vAlign w:val="bottom"/>
            <w:shd w:val="clear" w:color="auto" w:fill="D8D8D8"/>
          </w:tcPr>
          <w:p>
            <w:pPr>
              <w:spacing w:after="0"/>
              <w:rPr>
                <w:sz w:val="16"/>
                <w:szCs w:val="16"/>
                <w:color w:val="auto"/>
              </w:rPr>
            </w:pPr>
          </w:p>
        </w:tc>
        <w:tc>
          <w:tcPr>
            <w:tcW w:w="6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51,580</w:t>
            </w:r>
          </w:p>
        </w:tc>
        <w:tc>
          <w:tcPr>
            <w:tcW w:w="980" w:type="dxa"/>
            <w:vAlign w:val="bottom"/>
            <w:shd w:val="clear" w:color="auto" w:fill="D8D8D8"/>
          </w:tcPr>
          <w:p>
            <w:pPr>
              <w:spacing w:after="0"/>
              <w:rPr>
                <w:sz w:val="16"/>
                <w:szCs w:val="16"/>
                <w:color w:val="auto"/>
              </w:rPr>
            </w:pPr>
          </w:p>
        </w:tc>
        <w:tc>
          <w:tcPr>
            <w:tcW w:w="1860" w:type="dxa"/>
            <w:vAlign w:val="bottom"/>
            <w:gridSpan w:val="2"/>
            <w:shd w:val="clear" w:color="auto" w:fill="D8D8D8"/>
          </w:tcPr>
          <w:p>
            <w:pPr>
              <w:ind w:left="540"/>
              <w:spacing w:after="0" w:line="192" w:lineRule="exact"/>
              <w:rPr>
                <w:sz w:val="20"/>
                <w:szCs w:val="20"/>
                <w:color w:val="auto"/>
              </w:rPr>
            </w:pPr>
            <w:r>
              <w:rPr>
                <w:rFonts w:ascii="Arial" w:cs="Arial" w:eastAsia="Arial" w:hAnsi="Arial"/>
                <w:sz w:val="17"/>
                <w:szCs w:val="17"/>
                <w:color w:val="auto"/>
              </w:rPr>
              <w:t>—</w:t>
            </w:r>
          </w:p>
        </w:tc>
        <w:tc>
          <w:tcPr>
            <w:tcW w:w="8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2,337,411</w:t>
            </w:r>
          </w:p>
        </w:tc>
        <w:tc>
          <w:tcPr>
            <w:tcW w:w="1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line="192" w:lineRule="exact"/>
              <w:rPr>
                <w:sz w:val="20"/>
                <w:szCs w:val="20"/>
                <w:color w:val="auto"/>
              </w:rPr>
            </w:pPr>
            <w:r>
              <w:rPr>
                <w:rFonts w:ascii="Arial" w:cs="Arial" w:eastAsia="Arial" w:hAnsi="Arial"/>
                <w:sz w:val="17"/>
                <w:szCs w:val="17"/>
                <w:color w:val="auto"/>
              </w:rPr>
              <w:t>Mr. McLevish</w:t>
            </w:r>
          </w:p>
        </w:tc>
        <w:tc>
          <w:tcPr>
            <w:tcW w:w="4040" w:type="dxa"/>
            <w:vAlign w:val="bottom"/>
            <w:gridSpan w:val="3"/>
          </w:tcPr>
          <w:p>
            <w:pPr>
              <w:jc w:val="right"/>
              <w:ind w:right="980"/>
              <w:spacing w:after="0" w:line="192" w:lineRule="exact"/>
              <w:rPr>
                <w:sz w:val="20"/>
                <w:szCs w:val="20"/>
                <w:color w:val="auto"/>
              </w:rPr>
            </w:pPr>
            <w:r>
              <w:rPr>
                <w:rFonts w:ascii="Arial" w:cs="Arial" w:eastAsia="Arial" w:hAnsi="Arial"/>
                <w:sz w:val="17"/>
                <w:szCs w:val="17"/>
                <w:color w:val="auto"/>
              </w:rPr>
              <w:t>176,712</w:t>
            </w:r>
          </w:p>
        </w:tc>
        <w:tc>
          <w:tcPr>
            <w:tcW w:w="840" w:type="dxa"/>
            <w:vAlign w:val="bottom"/>
          </w:tcPr>
          <w:p>
            <w:pPr>
              <w:jc w:val="right"/>
              <w:spacing w:after="0" w:line="192" w:lineRule="exact"/>
              <w:rPr>
                <w:sz w:val="20"/>
                <w:szCs w:val="20"/>
                <w:color w:val="auto"/>
              </w:rPr>
            </w:pPr>
            <w:r>
              <w:rPr>
                <w:rFonts w:ascii="Arial" w:cs="Arial" w:eastAsia="Arial" w:hAnsi="Arial"/>
                <w:sz w:val="17"/>
                <w:szCs w:val="17"/>
                <w:color w:val="auto"/>
              </w:rPr>
              <w:t>53,014</w:t>
            </w:r>
          </w:p>
        </w:tc>
        <w:tc>
          <w:tcPr>
            <w:tcW w:w="980" w:type="dxa"/>
            <w:vAlign w:val="bottom"/>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7"/>
                <w:szCs w:val="17"/>
                <w:color w:val="auto"/>
              </w:rPr>
              <w:t>27,437</w:t>
            </w:r>
          </w:p>
        </w:tc>
        <w:tc>
          <w:tcPr>
            <w:tcW w:w="980" w:type="dxa"/>
            <w:vAlign w:val="bottom"/>
          </w:tcPr>
          <w:p>
            <w:pPr>
              <w:spacing w:after="0"/>
              <w:rPr>
                <w:sz w:val="16"/>
                <w:szCs w:val="16"/>
                <w:color w:val="auto"/>
              </w:rPr>
            </w:pPr>
          </w:p>
        </w:tc>
        <w:tc>
          <w:tcPr>
            <w:tcW w:w="1860" w:type="dxa"/>
            <w:vAlign w:val="bottom"/>
            <w:gridSpan w:val="2"/>
          </w:tcPr>
          <w:p>
            <w:pPr>
              <w:ind w:left="540"/>
              <w:spacing w:after="0" w:line="192"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92" w:lineRule="exact"/>
              <w:rPr>
                <w:sz w:val="20"/>
                <w:szCs w:val="20"/>
                <w:color w:val="auto"/>
              </w:rPr>
            </w:pPr>
            <w:r>
              <w:rPr>
                <w:rFonts w:ascii="Arial" w:cs="Arial" w:eastAsia="Arial" w:hAnsi="Arial"/>
                <w:sz w:val="17"/>
                <w:szCs w:val="17"/>
                <w:color w:val="auto"/>
              </w:rPr>
              <w:t>984,577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2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Mr. Khosla</w:t>
            </w:r>
          </w:p>
        </w:tc>
        <w:tc>
          <w:tcPr>
            <w:tcW w:w="4040" w:type="dxa"/>
            <w:vAlign w:val="bottom"/>
            <w:gridSpan w:val="3"/>
            <w:shd w:val="clear" w:color="auto" w:fill="D8D8D8"/>
          </w:tcPr>
          <w:p>
            <w:pPr>
              <w:jc w:val="right"/>
              <w:ind w:right="980"/>
              <w:spacing w:after="0" w:line="192" w:lineRule="exact"/>
              <w:rPr>
                <w:sz w:val="20"/>
                <w:szCs w:val="20"/>
                <w:color w:val="auto"/>
              </w:rPr>
            </w:pPr>
            <w:r>
              <w:rPr>
                <w:rFonts w:ascii="Arial" w:cs="Arial" w:eastAsia="Arial" w:hAnsi="Arial"/>
                <w:sz w:val="17"/>
                <w:szCs w:val="17"/>
                <w:color w:val="auto"/>
              </w:rPr>
              <w:t>202,983</w:t>
            </w:r>
          </w:p>
        </w:tc>
        <w:tc>
          <w:tcPr>
            <w:tcW w:w="8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60,895</w:t>
            </w:r>
          </w:p>
        </w:tc>
        <w:tc>
          <w:tcPr>
            <w:tcW w:w="980" w:type="dxa"/>
            <w:vAlign w:val="bottom"/>
            <w:shd w:val="clear" w:color="auto" w:fill="D8D8D8"/>
          </w:tcPr>
          <w:p>
            <w:pPr>
              <w:spacing w:after="0"/>
              <w:rPr>
                <w:sz w:val="16"/>
                <w:szCs w:val="16"/>
                <w:color w:val="auto"/>
              </w:rPr>
            </w:pPr>
          </w:p>
        </w:tc>
        <w:tc>
          <w:tcPr>
            <w:tcW w:w="6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34,223</w:t>
            </w:r>
          </w:p>
        </w:tc>
        <w:tc>
          <w:tcPr>
            <w:tcW w:w="980" w:type="dxa"/>
            <w:vAlign w:val="bottom"/>
            <w:shd w:val="clear" w:color="auto" w:fill="D8D8D8"/>
          </w:tcPr>
          <w:p>
            <w:pPr>
              <w:spacing w:after="0"/>
              <w:rPr>
                <w:sz w:val="16"/>
                <w:szCs w:val="16"/>
                <w:color w:val="auto"/>
              </w:rPr>
            </w:pPr>
          </w:p>
        </w:tc>
        <w:tc>
          <w:tcPr>
            <w:tcW w:w="1860" w:type="dxa"/>
            <w:vAlign w:val="bottom"/>
            <w:gridSpan w:val="2"/>
            <w:shd w:val="clear" w:color="auto" w:fill="D8D8D8"/>
          </w:tcPr>
          <w:p>
            <w:pPr>
              <w:ind w:left="540"/>
              <w:spacing w:after="0" w:line="192" w:lineRule="exact"/>
              <w:rPr>
                <w:sz w:val="20"/>
                <w:szCs w:val="20"/>
                <w:color w:val="auto"/>
              </w:rPr>
            </w:pPr>
            <w:r>
              <w:rPr>
                <w:rFonts w:ascii="Arial" w:cs="Arial" w:eastAsia="Arial" w:hAnsi="Arial"/>
                <w:sz w:val="17"/>
                <w:szCs w:val="17"/>
                <w:color w:val="auto"/>
              </w:rPr>
              <w:t>—</w:t>
            </w:r>
          </w:p>
        </w:tc>
        <w:tc>
          <w:tcPr>
            <w:tcW w:w="8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1,211,152</w:t>
            </w:r>
          </w:p>
        </w:tc>
        <w:tc>
          <w:tcPr>
            <w:tcW w:w="1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line="192" w:lineRule="exact"/>
              <w:rPr>
                <w:sz w:val="20"/>
                <w:szCs w:val="20"/>
                <w:color w:val="auto"/>
              </w:rPr>
            </w:pPr>
            <w:r>
              <w:rPr>
                <w:rFonts w:ascii="Arial" w:cs="Arial" w:eastAsia="Arial" w:hAnsi="Arial"/>
                <w:sz w:val="17"/>
                <w:szCs w:val="17"/>
                <w:color w:val="auto"/>
              </w:rPr>
              <w:t>Mr. Vernon</w:t>
            </w:r>
          </w:p>
        </w:tc>
        <w:tc>
          <w:tcPr>
            <w:tcW w:w="4040" w:type="dxa"/>
            <w:vAlign w:val="bottom"/>
            <w:gridSpan w:val="3"/>
          </w:tcPr>
          <w:p>
            <w:pPr>
              <w:jc w:val="right"/>
              <w:ind w:right="980"/>
              <w:spacing w:after="0" w:line="192" w:lineRule="exact"/>
              <w:rPr>
                <w:sz w:val="20"/>
                <w:szCs w:val="20"/>
                <w:color w:val="auto"/>
              </w:rPr>
            </w:pPr>
            <w:r>
              <w:rPr>
                <w:rFonts w:ascii="Arial" w:cs="Arial" w:eastAsia="Arial" w:hAnsi="Arial"/>
                <w:sz w:val="17"/>
                <w:szCs w:val="17"/>
                <w:color w:val="auto"/>
              </w:rPr>
              <w:t>55,352</w:t>
            </w:r>
          </w:p>
        </w:tc>
        <w:tc>
          <w:tcPr>
            <w:tcW w:w="840" w:type="dxa"/>
            <w:vAlign w:val="bottom"/>
          </w:tcPr>
          <w:p>
            <w:pPr>
              <w:jc w:val="right"/>
              <w:spacing w:after="0" w:line="192" w:lineRule="exact"/>
              <w:rPr>
                <w:sz w:val="20"/>
                <w:szCs w:val="20"/>
                <w:color w:val="auto"/>
              </w:rPr>
            </w:pPr>
            <w:r>
              <w:rPr>
                <w:rFonts w:ascii="Arial" w:cs="Arial" w:eastAsia="Arial" w:hAnsi="Arial"/>
                <w:sz w:val="17"/>
                <w:szCs w:val="17"/>
                <w:color w:val="auto"/>
              </w:rPr>
              <w:t>90,930</w:t>
            </w:r>
          </w:p>
        </w:tc>
        <w:tc>
          <w:tcPr>
            <w:tcW w:w="980" w:type="dxa"/>
            <w:vAlign w:val="bottom"/>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7"/>
                <w:szCs w:val="17"/>
                <w:color w:val="auto"/>
              </w:rPr>
              <w:t>6,257</w:t>
            </w:r>
          </w:p>
        </w:tc>
        <w:tc>
          <w:tcPr>
            <w:tcW w:w="980" w:type="dxa"/>
            <w:vAlign w:val="bottom"/>
          </w:tcPr>
          <w:p>
            <w:pPr>
              <w:spacing w:after="0"/>
              <w:rPr>
                <w:sz w:val="16"/>
                <w:szCs w:val="16"/>
                <w:color w:val="auto"/>
              </w:rPr>
            </w:pPr>
          </w:p>
        </w:tc>
        <w:tc>
          <w:tcPr>
            <w:tcW w:w="1860" w:type="dxa"/>
            <w:vAlign w:val="bottom"/>
            <w:gridSpan w:val="2"/>
          </w:tcPr>
          <w:p>
            <w:pPr>
              <w:ind w:left="540"/>
              <w:spacing w:after="0" w:line="192"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92" w:lineRule="exact"/>
              <w:rPr>
                <w:sz w:val="20"/>
                <w:szCs w:val="20"/>
                <w:color w:val="auto"/>
              </w:rPr>
            </w:pPr>
            <w:r>
              <w:rPr>
                <w:rFonts w:ascii="Arial" w:cs="Arial" w:eastAsia="Arial" w:hAnsi="Arial"/>
                <w:sz w:val="17"/>
                <w:szCs w:val="17"/>
                <w:color w:val="auto"/>
              </w:rPr>
              <w:t>274,375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2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Ms. West</w:t>
            </w:r>
          </w:p>
        </w:tc>
        <w:tc>
          <w:tcPr>
            <w:tcW w:w="4040" w:type="dxa"/>
            <w:vAlign w:val="bottom"/>
            <w:gridSpan w:val="3"/>
            <w:shd w:val="clear" w:color="auto" w:fill="D8D8D8"/>
          </w:tcPr>
          <w:p>
            <w:pPr>
              <w:jc w:val="right"/>
              <w:ind w:right="980"/>
              <w:spacing w:after="0" w:line="192" w:lineRule="exact"/>
              <w:rPr>
                <w:sz w:val="20"/>
                <w:szCs w:val="20"/>
                <w:color w:val="auto"/>
              </w:rPr>
            </w:pPr>
            <w:r>
              <w:rPr>
                <w:rFonts w:ascii="Arial" w:cs="Arial" w:eastAsia="Arial" w:hAnsi="Arial"/>
                <w:sz w:val="17"/>
                <w:szCs w:val="17"/>
                <w:color w:val="auto"/>
              </w:rPr>
              <w:t>52,341</w:t>
            </w:r>
          </w:p>
        </w:tc>
        <w:tc>
          <w:tcPr>
            <w:tcW w:w="8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39,256</w:t>
            </w:r>
          </w:p>
        </w:tc>
        <w:tc>
          <w:tcPr>
            <w:tcW w:w="980" w:type="dxa"/>
            <w:vAlign w:val="bottom"/>
            <w:shd w:val="clear" w:color="auto" w:fill="D8D8D8"/>
          </w:tcPr>
          <w:p>
            <w:pPr>
              <w:spacing w:after="0"/>
              <w:rPr>
                <w:sz w:val="16"/>
                <w:szCs w:val="16"/>
                <w:color w:val="auto"/>
              </w:rPr>
            </w:pPr>
          </w:p>
        </w:tc>
        <w:tc>
          <w:tcPr>
            <w:tcW w:w="66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15,446</w:t>
            </w:r>
          </w:p>
        </w:tc>
        <w:tc>
          <w:tcPr>
            <w:tcW w:w="980" w:type="dxa"/>
            <w:vAlign w:val="bottom"/>
            <w:shd w:val="clear" w:color="auto" w:fill="D8D8D8"/>
          </w:tcPr>
          <w:p>
            <w:pPr>
              <w:spacing w:after="0"/>
              <w:rPr>
                <w:sz w:val="16"/>
                <w:szCs w:val="16"/>
                <w:color w:val="auto"/>
              </w:rPr>
            </w:pPr>
          </w:p>
        </w:tc>
        <w:tc>
          <w:tcPr>
            <w:tcW w:w="1860" w:type="dxa"/>
            <w:vAlign w:val="bottom"/>
            <w:gridSpan w:val="2"/>
            <w:shd w:val="clear" w:color="auto" w:fill="D8D8D8"/>
          </w:tcPr>
          <w:p>
            <w:pPr>
              <w:ind w:left="540"/>
              <w:spacing w:after="0" w:line="192" w:lineRule="exact"/>
              <w:rPr>
                <w:sz w:val="20"/>
                <w:szCs w:val="20"/>
                <w:color w:val="auto"/>
              </w:rPr>
            </w:pPr>
            <w:r>
              <w:rPr>
                <w:rFonts w:ascii="Arial" w:cs="Arial" w:eastAsia="Arial" w:hAnsi="Arial"/>
                <w:sz w:val="17"/>
                <w:szCs w:val="17"/>
                <w:color w:val="auto"/>
              </w:rPr>
              <w:t>—</w:t>
            </w:r>
          </w:p>
        </w:tc>
        <w:tc>
          <w:tcPr>
            <w:tcW w:w="84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541,995</w:t>
            </w:r>
          </w:p>
        </w:tc>
        <w:tc>
          <w:tcPr>
            <w:tcW w:w="1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64770</wp:posOffset>
            </wp:positionV>
            <wp:extent cx="7226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4" w:lineRule="exact"/>
        <w:rPr>
          <w:sz w:val="20"/>
          <w:szCs w:val="20"/>
          <w:color w:val="auto"/>
        </w:rPr>
      </w:pPr>
    </w:p>
    <w:p>
      <w:pPr>
        <w:ind w:left="1360" w:hanging="449"/>
        <w:spacing w:after="0" w:line="238" w:lineRule="auto"/>
        <w:tabs>
          <w:tab w:leader="none" w:pos="13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All executive contributions made in 2011 were under our U.S. Supplemental Defined Contribution Plan. Amounts are deferred from base salary and amounts paid in 2011 under the Annual Cash Incentive Program are included in the 2011 Summary Compensation Table. The amount of executive contributions in 2011 attributable to base salary and Annual Cash Incentive Program awards for the participating Named Executive Officers is as follows: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Annual Cash</w:t>
            </w:r>
          </w:p>
        </w:tc>
        <w:tc>
          <w:tcPr>
            <w:tcW w:w="0" w:type="dxa"/>
            <w:vAlign w:val="bottom"/>
          </w:tcPr>
          <w:p>
            <w:pPr>
              <w:spacing w:after="0"/>
              <w:rPr>
                <w:sz w:val="1"/>
                <w:szCs w:val="1"/>
                <w:color w:val="auto"/>
              </w:rPr>
            </w:pPr>
          </w:p>
        </w:tc>
      </w:tr>
      <w:tr>
        <w:trPr>
          <w:trHeight w:val="141"/>
        </w:trPr>
        <w:tc>
          <w:tcPr>
            <w:tcW w:w="20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30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rPr>
              <w:t>Incentive Program</w:t>
            </w:r>
          </w:p>
        </w:tc>
        <w:tc>
          <w:tcPr>
            <w:tcW w:w="0" w:type="dxa"/>
            <w:vAlign w:val="bottom"/>
          </w:tcPr>
          <w:p>
            <w:pPr>
              <w:spacing w:after="0"/>
              <w:rPr>
                <w:sz w:val="1"/>
                <w:szCs w:val="1"/>
                <w:color w:val="auto"/>
              </w:rPr>
            </w:pPr>
          </w:p>
        </w:tc>
      </w:tr>
      <w:tr>
        <w:trPr>
          <w:trHeight w:val="141"/>
        </w:trPr>
        <w:tc>
          <w:tcPr>
            <w:tcW w:w="20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780" w:type="dxa"/>
            <w:vAlign w:val="bottom"/>
            <w:vMerge w:val="restart"/>
          </w:tcPr>
          <w:p>
            <w:pPr>
              <w:spacing w:after="0"/>
              <w:rPr>
                <w:sz w:val="12"/>
                <w:szCs w:val="12"/>
                <w:color w:val="auto"/>
              </w:rPr>
            </w:pPr>
          </w:p>
        </w:tc>
        <w:tc>
          <w:tcPr>
            <w:tcW w:w="2600" w:type="dxa"/>
            <w:vAlign w:val="bottom"/>
            <w:gridSpan w:val="2"/>
          </w:tcPr>
          <w:p>
            <w:pPr>
              <w:jc w:val="right"/>
              <w:ind w:right="1880"/>
              <w:spacing w:after="0" w:line="141" w:lineRule="exact"/>
              <w:rPr>
                <w:sz w:val="20"/>
                <w:szCs w:val="20"/>
                <w:color w:val="auto"/>
              </w:rPr>
            </w:pPr>
            <w:r>
              <w:rPr>
                <w:rFonts w:ascii="Arial" w:cs="Arial" w:eastAsia="Arial" w:hAnsi="Arial"/>
                <w:sz w:val="13"/>
                <w:szCs w:val="13"/>
                <w:b w:val="1"/>
                <w:bCs w:val="1"/>
                <w:color w:val="auto"/>
                <w:w w:val="94"/>
              </w:rPr>
              <w:t>Base Salary</w:t>
            </w:r>
          </w:p>
        </w:tc>
        <w:tc>
          <w:tcPr>
            <w:tcW w:w="130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5"/>
              </w:rPr>
              <w:t>Award</w:t>
            </w:r>
          </w:p>
        </w:tc>
        <w:tc>
          <w:tcPr>
            <w:tcW w:w="0" w:type="dxa"/>
            <w:vAlign w:val="bottom"/>
          </w:tcPr>
          <w:p>
            <w:pPr>
              <w:spacing w:after="0"/>
              <w:rPr>
                <w:sz w:val="1"/>
                <w:szCs w:val="1"/>
                <w:color w:val="auto"/>
              </w:rPr>
            </w:pPr>
          </w:p>
        </w:tc>
      </w:tr>
      <w:tr>
        <w:trPr>
          <w:trHeight w:val="157"/>
        </w:trPr>
        <w:tc>
          <w:tcPr>
            <w:tcW w:w="2080" w:type="dxa"/>
            <w:vAlign w:val="bottom"/>
            <w:tcBorders>
              <w:bottom w:val="single" w:sz="8" w:color="auto"/>
            </w:tcBorders>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720" w:type="dxa"/>
            <w:vAlign w:val="bottom"/>
            <w:tcBorders>
              <w:bottom w:val="single" w:sz="8" w:color="auto"/>
            </w:tcBorders>
          </w:tcPr>
          <w:p>
            <w:pPr>
              <w:jc w:val="right"/>
              <w:ind w:right="202"/>
              <w:spacing w:after="0"/>
              <w:rPr>
                <w:sz w:val="20"/>
                <w:szCs w:val="20"/>
                <w:color w:val="auto"/>
              </w:rPr>
            </w:pPr>
            <w:r>
              <w:rPr>
                <w:rFonts w:ascii="Arial" w:cs="Arial" w:eastAsia="Arial" w:hAnsi="Arial"/>
                <w:sz w:val="13"/>
                <w:szCs w:val="13"/>
                <w:b w:val="1"/>
                <w:bCs w:val="1"/>
                <w:color w:val="auto"/>
              </w:rPr>
              <w:t>($)</w:t>
            </w:r>
          </w:p>
        </w:tc>
        <w:tc>
          <w:tcPr>
            <w:tcW w:w="188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860" w:type="dxa"/>
            <w:vAlign w:val="bottom"/>
            <w:gridSpan w:val="2"/>
          </w:tcPr>
          <w:p>
            <w:pPr>
              <w:spacing w:after="0" w:line="185" w:lineRule="exact"/>
              <w:rPr>
                <w:sz w:val="20"/>
                <w:szCs w:val="20"/>
                <w:color w:val="auto"/>
              </w:rPr>
            </w:pPr>
            <w:r>
              <w:rPr>
                <w:rFonts w:ascii="Arial" w:cs="Arial" w:eastAsia="Arial" w:hAnsi="Arial"/>
                <w:sz w:val="17"/>
                <w:szCs w:val="17"/>
                <w:color w:val="auto"/>
              </w:rPr>
              <w:t>Ms. Rosenfeld</w:t>
            </w:r>
          </w:p>
        </w:tc>
        <w:tc>
          <w:tcPr>
            <w:tcW w:w="2600" w:type="dxa"/>
            <w:vAlign w:val="bottom"/>
            <w:gridSpan w:val="2"/>
          </w:tcPr>
          <w:p>
            <w:pPr>
              <w:jc w:val="right"/>
              <w:ind w:right="1880"/>
              <w:spacing w:after="0" w:line="185" w:lineRule="exact"/>
              <w:rPr>
                <w:sz w:val="20"/>
                <w:szCs w:val="20"/>
                <w:color w:val="auto"/>
              </w:rPr>
            </w:pPr>
            <w:r>
              <w:rPr>
                <w:rFonts w:ascii="Arial" w:cs="Arial" w:eastAsia="Arial" w:hAnsi="Arial"/>
                <w:sz w:val="17"/>
                <w:szCs w:val="17"/>
                <w:color w:val="auto"/>
              </w:rPr>
              <w:t>77,743</w:t>
            </w:r>
          </w:p>
        </w:tc>
        <w:tc>
          <w:tcPr>
            <w:tcW w:w="1180" w:type="dxa"/>
            <w:vAlign w:val="bottom"/>
          </w:tcPr>
          <w:p>
            <w:pPr>
              <w:jc w:val="right"/>
              <w:spacing w:after="0" w:line="185" w:lineRule="exact"/>
              <w:rPr>
                <w:sz w:val="20"/>
                <w:szCs w:val="20"/>
                <w:color w:val="auto"/>
              </w:rPr>
            </w:pPr>
            <w:r>
              <w:rPr>
                <w:rFonts w:ascii="Arial" w:cs="Arial" w:eastAsia="Arial" w:hAnsi="Arial"/>
                <w:sz w:val="17"/>
                <w:szCs w:val="17"/>
                <w:color w:val="auto"/>
              </w:rPr>
              <w:t>127,848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Brearton</w:t>
            </w:r>
          </w:p>
        </w:tc>
        <w:tc>
          <w:tcPr>
            <w:tcW w:w="2600" w:type="dxa"/>
            <w:vAlign w:val="bottom"/>
            <w:gridSpan w:val="2"/>
            <w:shd w:val="clear" w:color="auto" w:fill="D8D8D8"/>
          </w:tcPr>
          <w:p>
            <w:pPr>
              <w:jc w:val="right"/>
              <w:ind w:right="1880"/>
              <w:spacing w:after="0" w:line="192" w:lineRule="exact"/>
              <w:rPr>
                <w:sz w:val="20"/>
                <w:szCs w:val="20"/>
                <w:color w:val="auto"/>
              </w:rPr>
            </w:pPr>
            <w:r>
              <w:rPr>
                <w:rFonts w:ascii="Arial" w:cs="Arial" w:eastAsia="Arial" w:hAnsi="Arial"/>
                <w:sz w:val="17"/>
                <w:szCs w:val="17"/>
                <w:color w:val="auto"/>
              </w:rPr>
              <w:t>76,455</w:t>
            </w:r>
          </w:p>
        </w:tc>
        <w:tc>
          <w:tcPr>
            <w:tcW w:w="118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135,375</w:t>
            </w:r>
          </w:p>
        </w:tc>
        <w:tc>
          <w:tcPr>
            <w:tcW w:w="12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gridSpan w:val="2"/>
          </w:tcPr>
          <w:p>
            <w:pPr>
              <w:spacing w:after="0" w:line="192" w:lineRule="exact"/>
              <w:rPr>
                <w:sz w:val="20"/>
                <w:szCs w:val="20"/>
                <w:color w:val="auto"/>
              </w:rPr>
            </w:pPr>
            <w:r>
              <w:rPr>
                <w:rFonts w:ascii="Arial" w:cs="Arial" w:eastAsia="Arial" w:hAnsi="Arial"/>
                <w:sz w:val="17"/>
                <w:szCs w:val="17"/>
                <w:color w:val="auto"/>
              </w:rPr>
              <w:t>Mr. McLevish</w:t>
            </w:r>
          </w:p>
        </w:tc>
        <w:tc>
          <w:tcPr>
            <w:tcW w:w="2600" w:type="dxa"/>
            <w:vAlign w:val="bottom"/>
            <w:gridSpan w:val="2"/>
          </w:tcPr>
          <w:p>
            <w:pPr>
              <w:jc w:val="right"/>
              <w:ind w:right="1880"/>
              <w:spacing w:after="0" w:line="192" w:lineRule="exact"/>
              <w:rPr>
                <w:sz w:val="20"/>
                <w:szCs w:val="20"/>
                <w:color w:val="auto"/>
              </w:rPr>
            </w:pPr>
            <w:r>
              <w:rPr>
                <w:rFonts w:ascii="Arial" w:cs="Arial" w:eastAsia="Arial" w:hAnsi="Arial"/>
                <w:sz w:val="17"/>
                <w:szCs w:val="17"/>
                <w:color w:val="auto"/>
              </w:rPr>
              <w:t>92,077</w:t>
            </w:r>
          </w:p>
        </w:tc>
        <w:tc>
          <w:tcPr>
            <w:tcW w:w="1300" w:type="dxa"/>
            <w:vAlign w:val="bottom"/>
            <w:gridSpan w:val="2"/>
          </w:tcPr>
          <w:p>
            <w:pPr>
              <w:jc w:val="right"/>
              <w:ind w:right="120"/>
              <w:spacing w:after="0" w:line="192" w:lineRule="exact"/>
              <w:rPr>
                <w:sz w:val="20"/>
                <w:szCs w:val="20"/>
                <w:color w:val="auto"/>
              </w:rPr>
            </w:pPr>
            <w:r>
              <w:rPr>
                <w:rFonts w:ascii="Arial" w:cs="Arial" w:eastAsia="Arial" w:hAnsi="Arial"/>
                <w:sz w:val="17"/>
                <w:szCs w:val="17"/>
                <w:color w:val="auto"/>
              </w:rPr>
              <w:t>84,635</w:t>
            </w:r>
          </w:p>
        </w:tc>
        <w:tc>
          <w:tcPr>
            <w:tcW w:w="0" w:type="dxa"/>
            <w:vAlign w:val="bottom"/>
          </w:tcPr>
          <w:p>
            <w:pPr>
              <w:spacing w:after="0"/>
              <w:rPr>
                <w:sz w:val="1"/>
                <w:szCs w:val="1"/>
                <w:color w:val="auto"/>
              </w:rPr>
            </w:pPr>
          </w:p>
        </w:tc>
      </w:tr>
      <w:tr>
        <w:trPr>
          <w:trHeight w:val="192"/>
        </w:trPr>
        <w:tc>
          <w:tcPr>
            <w:tcW w:w="38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Khosla</w:t>
            </w:r>
          </w:p>
        </w:tc>
        <w:tc>
          <w:tcPr>
            <w:tcW w:w="2600" w:type="dxa"/>
            <w:vAlign w:val="bottom"/>
            <w:gridSpan w:val="2"/>
            <w:shd w:val="clear" w:color="auto" w:fill="D8D8D8"/>
          </w:tcPr>
          <w:p>
            <w:pPr>
              <w:jc w:val="right"/>
              <w:ind w:right="1880"/>
              <w:spacing w:after="0" w:line="192" w:lineRule="exact"/>
              <w:rPr>
                <w:sz w:val="20"/>
                <w:szCs w:val="20"/>
                <w:color w:val="auto"/>
              </w:rPr>
            </w:pPr>
            <w:r>
              <w:rPr>
                <w:rFonts w:ascii="Arial" w:cs="Arial" w:eastAsia="Arial" w:hAnsi="Arial"/>
                <w:sz w:val="17"/>
                <w:szCs w:val="17"/>
                <w:color w:val="auto"/>
              </w:rPr>
              <w:t>91,307</w:t>
            </w:r>
          </w:p>
        </w:tc>
        <w:tc>
          <w:tcPr>
            <w:tcW w:w="118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111,676</w:t>
            </w:r>
          </w:p>
        </w:tc>
        <w:tc>
          <w:tcPr>
            <w:tcW w:w="12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60" w:type="dxa"/>
            <w:vAlign w:val="bottom"/>
            <w:gridSpan w:val="2"/>
          </w:tcPr>
          <w:p>
            <w:pPr>
              <w:spacing w:after="0" w:line="192" w:lineRule="exact"/>
              <w:rPr>
                <w:sz w:val="20"/>
                <w:szCs w:val="20"/>
                <w:color w:val="auto"/>
              </w:rPr>
            </w:pPr>
            <w:r>
              <w:rPr>
                <w:rFonts w:ascii="Arial" w:cs="Arial" w:eastAsia="Arial" w:hAnsi="Arial"/>
                <w:sz w:val="17"/>
                <w:szCs w:val="17"/>
                <w:color w:val="auto"/>
              </w:rPr>
              <w:t>Mr. Vernon</w:t>
            </w:r>
          </w:p>
        </w:tc>
        <w:tc>
          <w:tcPr>
            <w:tcW w:w="2600" w:type="dxa"/>
            <w:vAlign w:val="bottom"/>
            <w:gridSpan w:val="2"/>
          </w:tcPr>
          <w:p>
            <w:pPr>
              <w:jc w:val="right"/>
              <w:ind w:right="1880"/>
              <w:spacing w:after="0" w:line="192" w:lineRule="exact"/>
              <w:rPr>
                <w:sz w:val="20"/>
                <w:szCs w:val="20"/>
                <w:color w:val="auto"/>
              </w:rPr>
            </w:pPr>
            <w:r>
              <w:rPr>
                <w:rFonts w:ascii="Arial" w:cs="Arial" w:eastAsia="Arial" w:hAnsi="Arial"/>
                <w:sz w:val="17"/>
                <w:szCs w:val="17"/>
                <w:color w:val="auto"/>
              </w:rPr>
              <w:t>36,831</w:t>
            </w:r>
          </w:p>
        </w:tc>
        <w:tc>
          <w:tcPr>
            <w:tcW w:w="1300" w:type="dxa"/>
            <w:vAlign w:val="bottom"/>
            <w:gridSpan w:val="2"/>
          </w:tcPr>
          <w:p>
            <w:pPr>
              <w:jc w:val="right"/>
              <w:ind w:right="120"/>
              <w:spacing w:after="0" w:line="192" w:lineRule="exact"/>
              <w:rPr>
                <w:sz w:val="20"/>
                <w:szCs w:val="20"/>
                <w:color w:val="auto"/>
              </w:rPr>
            </w:pPr>
            <w:r>
              <w:rPr>
                <w:rFonts w:ascii="Arial" w:cs="Arial" w:eastAsia="Arial" w:hAnsi="Arial"/>
                <w:sz w:val="17"/>
                <w:szCs w:val="17"/>
                <w:color w:val="auto"/>
              </w:rPr>
              <w:t>18,521</w:t>
            </w:r>
          </w:p>
        </w:tc>
        <w:tc>
          <w:tcPr>
            <w:tcW w:w="0" w:type="dxa"/>
            <w:vAlign w:val="bottom"/>
          </w:tcPr>
          <w:p>
            <w:pPr>
              <w:spacing w:after="0"/>
              <w:rPr>
                <w:sz w:val="1"/>
                <w:szCs w:val="1"/>
                <w:color w:val="auto"/>
              </w:rPr>
            </w:pPr>
          </w:p>
        </w:tc>
      </w:tr>
      <w:tr>
        <w:trPr>
          <w:trHeight w:val="192"/>
        </w:trPr>
        <w:tc>
          <w:tcPr>
            <w:tcW w:w="38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Ms. West</w:t>
            </w:r>
          </w:p>
        </w:tc>
        <w:tc>
          <w:tcPr>
            <w:tcW w:w="2600" w:type="dxa"/>
            <w:vAlign w:val="bottom"/>
            <w:gridSpan w:val="2"/>
            <w:shd w:val="clear" w:color="auto" w:fill="D8D8D8"/>
          </w:tcPr>
          <w:p>
            <w:pPr>
              <w:jc w:val="right"/>
              <w:ind w:right="1880"/>
              <w:spacing w:after="0" w:line="192" w:lineRule="exact"/>
              <w:rPr>
                <w:sz w:val="20"/>
                <w:szCs w:val="20"/>
                <w:color w:val="auto"/>
              </w:rPr>
            </w:pPr>
            <w:r>
              <w:rPr>
                <w:rFonts w:ascii="Arial" w:cs="Arial" w:eastAsia="Arial" w:hAnsi="Arial"/>
                <w:sz w:val="17"/>
                <w:szCs w:val="17"/>
                <w:color w:val="auto"/>
              </w:rPr>
              <w:t>31,941</w:t>
            </w:r>
          </w:p>
        </w:tc>
        <w:tc>
          <w:tcPr>
            <w:tcW w:w="1300" w:type="dxa"/>
            <w:vAlign w:val="bottom"/>
            <w:gridSpan w:val="2"/>
            <w:shd w:val="clear" w:color="auto" w:fill="D8D8D8"/>
          </w:tcPr>
          <w:p>
            <w:pPr>
              <w:jc w:val="right"/>
              <w:ind w:right="120"/>
              <w:spacing w:after="0" w:line="192" w:lineRule="exact"/>
              <w:rPr>
                <w:sz w:val="20"/>
                <w:szCs w:val="20"/>
                <w:color w:val="auto"/>
              </w:rPr>
            </w:pPr>
            <w:r>
              <w:rPr>
                <w:rFonts w:ascii="Arial" w:cs="Arial" w:eastAsia="Arial" w:hAnsi="Arial"/>
                <w:sz w:val="17"/>
                <w:szCs w:val="17"/>
                <w:color w:val="auto"/>
              </w:rPr>
              <w:t>20,400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360" w:hanging="449"/>
        <w:spacing w:after="0"/>
        <w:tabs>
          <w:tab w:leader="none" w:pos="13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amounts in this column are also included in the “All Other Compensation” column in the 2011 Summary Compensation Table.</w:t>
      </w:r>
    </w:p>
    <w:p>
      <w:pPr>
        <w:spacing w:after="0" w:line="60" w:lineRule="exact"/>
        <w:rPr>
          <w:rFonts w:ascii="Arial" w:cs="Arial" w:eastAsia="Arial" w:hAnsi="Arial"/>
          <w:sz w:val="17"/>
          <w:szCs w:val="17"/>
          <w:color w:val="auto"/>
        </w:rPr>
      </w:pPr>
    </w:p>
    <w:p>
      <w:pPr>
        <w:ind w:left="1360" w:hanging="449"/>
        <w:spacing w:after="0"/>
        <w:tabs>
          <w:tab w:leader="none" w:pos="13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amounts in this column are at market rates and are not reflected in the 2011 Summary Compensation Table.</w:t>
      </w:r>
    </w:p>
    <w:p>
      <w:pPr>
        <w:spacing w:after="0" w:line="60" w:lineRule="exact"/>
        <w:rPr>
          <w:rFonts w:ascii="Arial" w:cs="Arial" w:eastAsia="Arial" w:hAnsi="Arial"/>
          <w:sz w:val="17"/>
          <w:szCs w:val="17"/>
          <w:color w:val="auto"/>
        </w:rPr>
      </w:pPr>
    </w:p>
    <w:p>
      <w:pPr>
        <w:ind w:left="1360" w:right="60" w:hanging="449"/>
        <w:spacing w:after="0" w:line="238" w:lineRule="auto"/>
        <w:tabs>
          <w:tab w:leader="none" w:pos="13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aggregate balance includes amounts that were reported as compensation for our Named Executive Officers in prior years. Amounts reported attributable to base salary, Annual Cash Incentive Plan awards or all other compensation that were reported in the Summary Compensation Table of previously filed proxy statements for the participating Named Executive Officers are as follows: Ms. Rosenfeld – $3,509,299; Mr. McLevish – $695,256; Mr. Khosla – $862,222; and Mr. Vernon – $119,769.</w:t>
      </w:r>
    </w:p>
    <w:p>
      <w:pPr>
        <w:spacing w:after="0" w:line="56" w:lineRule="exact"/>
        <w:rPr>
          <w:rFonts w:ascii="Arial" w:cs="Arial" w:eastAsia="Arial" w:hAnsi="Arial"/>
          <w:sz w:val="17"/>
          <w:szCs w:val="17"/>
          <w:color w:val="auto"/>
        </w:rPr>
      </w:pPr>
    </w:p>
    <w:p>
      <w:pPr>
        <w:ind w:left="1360" w:hanging="449"/>
        <w:spacing w:after="0"/>
        <w:tabs>
          <w:tab w:leader="none" w:pos="13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Ms. Rosenfeld received a distribution from her Kraft Executive Deferred Compensation Plan Account in this amount.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 Supplemental Defined Contribution Plan</w:t>
      </w:r>
    </w:p>
    <w:p>
      <w:pPr>
        <w:spacing w:after="0" w:line="150"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Because the Code limits the amount that may be contributed to the tax-qualified defined contribution plan on behalf of an employee, we offer a Supplemental Defined Contribution Plan. Mses. Rosenfeld and West and Messrs. McLevish, Khosla and Vernon contributed to the Supplemental Defined Contribution Plan in 2011. This is an unfunded plan that allows eligible employees to defer a portion of their annual compensation (base salary and annual cash incentive awards) and receive corresponding Kraft Foods matching amounts to the extent that their contributions to the tax-qualified defined contribution plan (and the corresponding Kraft Foods matching contributions) are limited by Code Section 401(a)(17) or 415. Executives must defer receipt of the payments until retirement. Executive contributions and employer matching amounts earn the same rate of return as the Interest Income Fund, which is a market rate fund available to employees in the tax-qualified defined contribution plan. The rate of return under this investment fund in 2011 was 3.18%.</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443" w:right="23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 Executive Deferred Compensation Plan</w:t>
      </w:r>
    </w:p>
    <w:p>
      <w:pPr>
        <w:spacing w:after="0" w:line="15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The Kraft Foods U.S. Executive Deferred Compensation Plan is a non-qualified plan that allows our Named Executive Officers to defer, on a pre-tax basis, up to 50% of salary and up to 100% of their annual and long-term cash incentives. The investment choices are similar to those offered to eligible employees in our U.S. 401(k) plan. Participants may elect to defer their compensation until termination of employment or retirement. They may also elect to receive distributions of their accounts while still employed with Kraft Foods, but the plan requires a minimum deferral period of two years. Distributions may be made in a lump sum or in annual installments of between two and ten years.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170"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tables and narrative below describe the potential payments to each Named Executive Officer upon termination. Other than the types of compensation and benefits described in the tables below or as would be received by all other salaried employees, no other payments are earned by or would be awarded to the Named Executive Officers. In accordance with SEC rules, all information described in this section is presented as if a triggering event occurred on December 31, 2011.</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Involuntary Termination Without Cause (Non-Change in Control Event)</w:t>
      </w:r>
    </w:p>
    <w:p>
      <w:pPr>
        <w:spacing w:after="0" w:line="150"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We may provide separation pay and benefits to our employees, including the Named Executive Officers, in the event of an involuntary termination without cause. In these circumstances, we have a separation pay plan in the United States that provides employees a payment equal to one month of salary for every year of service up to a maximum of 12 months, assuming at least five years of service.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Under the plan, an involuntary termination without cause is any company-initiated termination for reasons other than:</w:t>
      </w:r>
    </w:p>
    <w:p>
      <w:pPr>
        <w:spacing w:after="0" w:line="188" w:lineRule="exact"/>
        <w:rPr>
          <w:sz w:val="20"/>
          <w:szCs w:val="20"/>
          <w:color w:val="auto"/>
        </w:rPr>
      </w:pPr>
    </w:p>
    <w:p>
      <w:pPr>
        <w:ind w:left="880" w:hanging="315"/>
        <w:spacing w:after="0"/>
        <w:tabs>
          <w:tab w:leader="none" w:pos="8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continued failure to substantially perform the job duties, other than a failure resulting from incapacity due to disability;</w:t>
      </w:r>
    </w:p>
    <w:p>
      <w:pPr>
        <w:spacing w:after="0" w:line="73" w:lineRule="exact"/>
        <w:rPr>
          <w:rFonts w:ascii="Arial" w:cs="Arial" w:eastAsia="Arial" w:hAnsi="Arial"/>
          <w:sz w:val="17"/>
          <w:szCs w:val="17"/>
          <w:color w:val="auto"/>
        </w:rPr>
      </w:pPr>
    </w:p>
    <w:p>
      <w:pPr>
        <w:ind w:left="880" w:right="340" w:hanging="315"/>
        <w:spacing w:after="0" w:line="241" w:lineRule="auto"/>
        <w:tabs>
          <w:tab w:leader="none" w:pos="8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gross negligence, dishonesty or violation of any reasonable company rule or regulation if the violation results in significant damage to Kraft Foods; or</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engaging in other conduct that adversely reflects on Kraft Foods in any material respect.</w:t>
      </w:r>
    </w:p>
    <w:p>
      <w:pPr>
        <w:spacing w:after="0" w:line="150" w:lineRule="exact"/>
        <w:rPr>
          <w:sz w:val="20"/>
          <w:szCs w:val="20"/>
          <w:color w:val="auto"/>
        </w:rPr>
      </w:pPr>
    </w:p>
    <w:p>
      <w:pPr>
        <w:jc w:val="both"/>
        <w:ind w:right="40"/>
        <w:spacing w:after="0" w:line="239" w:lineRule="auto"/>
        <w:rPr>
          <w:sz w:val="20"/>
          <w:szCs w:val="20"/>
          <w:color w:val="auto"/>
        </w:rPr>
      </w:pPr>
      <w:r>
        <w:rPr>
          <w:rFonts w:ascii="Arial" w:cs="Arial" w:eastAsia="Arial" w:hAnsi="Arial"/>
          <w:sz w:val="17"/>
          <w:szCs w:val="17"/>
          <w:color w:val="auto"/>
        </w:rPr>
        <w:t>These separation benefits are generally structured similarly to those benefits available to all other employees. The separation pay and benefits available to all employees are generally contingent upon Kraft Foods receiving a general release of claims from the employee. For executive officers, it is typical to use the separation pay and benefits practices in the applicable country as the basis for the pay and benefits.</w:t>
      </w:r>
    </w:p>
    <w:p>
      <w:pPr>
        <w:spacing w:after="0" w:line="145"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On a case-by-case basis, we may provide additional pay and benefits to Named Executive Officers in excess of the amount typically payable upon an involuntary termination without cause. These additional pay and benefits amounts would be compensation for receiving non-competition, non-solicitation, non-disparagement and confidentiality agreements from our Named Executive Officers, in addition to a general release.</w:t>
      </w:r>
    </w:p>
    <w:p>
      <w:pPr>
        <w:spacing w:after="0" w:line="145" w:lineRule="exact"/>
        <w:rPr>
          <w:sz w:val="20"/>
          <w:szCs w:val="20"/>
          <w:color w:val="auto"/>
        </w:rPr>
      </w:pPr>
    </w:p>
    <w:p>
      <w:pPr>
        <w:ind w:right="620"/>
        <w:spacing w:after="0" w:line="241" w:lineRule="auto"/>
        <w:rPr>
          <w:sz w:val="20"/>
          <w:szCs w:val="20"/>
          <w:color w:val="auto"/>
        </w:rPr>
      </w:pPr>
      <w:r>
        <w:rPr>
          <w:rFonts w:ascii="Arial" w:cs="Arial" w:eastAsia="Arial" w:hAnsi="Arial"/>
          <w:sz w:val="17"/>
          <w:szCs w:val="17"/>
          <w:color w:val="auto"/>
        </w:rPr>
        <w:t>The typical elements of separation pay and benefits consist of base salary continuation, health and welfare benefits continuation and outplacement assistance.</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Separation Pay</w:t>
      </w:r>
    </w:p>
    <w:p>
      <w:pPr>
        <w:spacing w:after="0" w:line="168"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Separation pay to Named Executive Officers is typically 12 months of base salary, except for the CEO, who typically receives 24 months of base salary, plus pro-rata target annual cash incentive. That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00"/>
          </w:cols>
          <w:pgMar w:left="240" w:top="444" w:right="25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amount may be increased, at the discretion of management, with the approval of the Human Resources and Compensation Committee, in consideration of the restrictive covenants described above. Separation pay amounts are typically paid as salary continuation. In some cases, amounts are paid in a lump sum.</w:t>
      </w:r>
    </w:p>
    <w:p>
      <w:pPr>
        <w:spacing w:after="0" w:line="145" w:lineRule="exact"/>
        <w:rPr>
          <w:sz w:val="20"/>
          <w:szCs w:val="20"/>
          <w:color w:val="auto"/>
        </w:rPr>
      </w:pPr>
    </w:p>
    <w:p>
      <w:pPr>
        <w:jc w:val="both"/>
        <w:ind w:right="320"/>
        <w:spacing w:after="0" w:line="239" w:lineRule="auto"/>
        <w:rPr>
          <w:sz w:val="20"/>
          <w:szCs w:val="20"/>
          <w:color w:val="auto"/>
        </w:rPr>
      </w:pPr>
      <w:r>
        <w:rPr>
          <w:rFonts w:ascii="Arial" w:cs="Arial" w:eastAsia="Arial" w:hAnsi="Arial"/>
          <w:sz w:val="17"/>
          <w:szCs w:val="17"/>
          <w:color w:val="auto"/>
        </w:rPr>
        <w:t>In the event that separation pay is considered deferred compensation, subject to Section 409A of the Code, payments that would otherwise have been payable are withheld during the six-month period following termination of employment to comply with Section 409A. We then pay the amount, in a lump sum without interest, as soon as permitted under Section 409A.</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Benefits Continuation</w:t>
      </w:r>
    </w:p>
    <w:p>
      <w:pPr>
        <w:spacing w:after="0" w:line="16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Named Executive Officers typically continue participating in the health and welfare benefits plans during the period in which they continue to receive a salary. If an executive officer receives separation pay in a lump sum, then his or her participation in the health and welfare benefits plans ends at the time of the lump sum payment. In addition, under our retirement plans, eligible Named Executive Officers receive an additional one year of pension accrual, except for the CEO who receives an additional two years of pension accrual.</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Additional Arrangements</w:t>
      </w:r>
    </w:p>
    <w:p>
      <w:pPr>
        <w:spacing w:after="0" w:line="168" w:lineRule="exact"/>
        <w:rPr>
          <w:sz w:val="20"/>
          <w:szCs w:val="20"/>
          <w:color w:val="auto"/>
        </w:rPr>
      </w:pPr>
    </w:p>
    <w:p>
      <w:pPr>
        <w:ind w:right="280"/>
        <w:spacing w:after="0" w:line="237" w:lineRule="auto"/>
        <w:rPr>
          <w:sz w:val="20"/>
          <w:szCs w:val="20"/>
          <w:color w:val="auto"/>
        </w:rPr>
      </w:pPr>
      <w:r>
        <w:rPr>
          <w:rFonts w:ascii="Arial" w:cs="Arial" w:eastAsia="Arial" w:hAnsi="Arial"/>
          <w:sz w:val="17"/>
          <w:szCs w:val="17"/>
          <w:color w:val="auto"/>
        </w:rPr>
        <w:t>In addition to the separation pay and benefits described above, car allowance and financial counseling allowance will continue for each of the Named Executive Officers for one year and for two years for Ms. Rosenfeld. In addition, in accordance with Mr. Vernon’s employment offer letter, if he is involuntarily terminated without cause prior to the vesting of the restricted stock granted to him upon joining Kraft Foods, his individual restricted stock awards will continue to vest on the normal vesting date. As of December 31, 2011, Mr. Vernon’s restricted stock granted to him upon joining Kraft Foods had not fully vested.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Potential Payout upon an Involuntary Termination Without Cause at Fiscal Year-End 2011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6"/>
              </w:rPr>
              <w:t>Present</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8"/>
              </w:rPr>
              <w:t>Value of</w:t>
            </w: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8"/>
              </w:rPr>
              <w:t>Value of</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9"/>
              </w:rPr>
              <w:t>Unvested</w:t>
            </w: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7"/>
              </w:rPr>
              <w:t>Additional</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8"/>
              </w:rPr>
              <w:t>Health &amp;</w:t>
            </w:r>
          </w:p>
        </w:tc>
        <w:tc>
          <w:tcPr>
            <w:tcW w:w="106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7"/>
              </w:rPr>
              <w:t>Restricted</w:t>
            </w:r>
          </w:p>
        </w:tc>
        <w:tc>
          <w:tcPr>
            <w:tcW w:w="1220" w:type="dxa"/>
            <w:vAlign w:val="bottom"/>
            <w:gridSpan w:val="2"/>
          </w:tcPr>
          <w:p>
            <w:pPr>
              <w:ind w:left="60"/>
              <w:spacing w:after="0" w:line="141" w:lineRule="exact"/>
              <w:rPr>
                <w:sz w:val="20"/>
                <w:szCs w:val="20"/>
                <w:color w:val="auto"/>
              </w:rPr>
            </w:pPr>
            <w:r>
              <w:rPr>
                <w:rFonts w:ascii="Arial" w:cs="Arial" w:eastAsia="Arial" w:hAnsi="Arial"/>
                <w:sz w:val="13"/>
                <w:szCs w:val="13"/>
                <w:b w:val="1"/>
                <w:bCs w:val="1"/>
                <w:color w:val="auto"/>
              </w:rPr>
              <w:t>Continuation</w:t>
            </w:r>
          </w:p>
        </w:tc>
        <w:tc>
          <w:tcPr>
            <w:tcW w:w="1220" w:type="dxa"/>
            <w:vAlign w:val="bottom"/>
            <w:gridSpan w:val="2"/>
          </w:tcPr>
          <w:p>
            <w:pPr>
              <w:jc w:val="center"/>
              <w:ind w:right="320"/>
              <w:spacing w:after="0" w:line="141" w:lineRule="exact"/>
              <w:rPr>
                <w:sz w:val="20"/>
                <w:szCs w:val="20"/>
                <w:color w:val="auto"/>
              </w:rPr>
            </w:pPr>
            <w:r>
              <w:rPr>
                <w:rFonts w:ascii="Arial" w:cs="Arial" w:eastAsia="Arial" w:hAnsi="Arial"/>
                <w:sz w:val="13"/>
                <w:szCs w:val="13"/>
                <w:b w:val="1"/>
                <w:bCs w:val="1"/>
                <w:color w:val="auto"/>
                <w:w w:val="97"/>
              </w:rPr>
              <w:t>Retirement</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440"/>
              <w:spacing w:after="0" w:line="132" w:lineRule="exact"/>
              <w:rPr>
                <w:sz w:val="20"/>
                <w:szCs w:val="20"/>
                <w:color w:val="auto"/>
              </w:rPr>
            </w:pPr>
            <w:r>
              <w:rPr>
                <w:rFonts w:ascii="Arial" w:cs="Arial" w:eastAsia="Arial" w:hAnsi="Arial"/>
                <w:sz w:val="13"/>
                <w:szCs w:val="13"/>
                <w:b w:val="1"/>
                <w:bCs w:val="1"/>
                <w:color w:val="auto"/>
                <w:w w:val="98"/>
              </w:rPr>
              <w:t>Separation</w:t>
            </w:r>
          </w:p>
        </w:tc>
        <w:tc>
          <w:tcPr>
            <w:tcW w:w="1360" w:type="dxa"/>
            <w:vAlign w:val="bottom"/>
            <w:gridSpan w:val="2"/>
          </w:tcPr>
          <w:p>
            <w:pPr>
              <w:jc w:val="center"/>
              <w:ind w:right="300"/>
              <w:spacing w:after="0" w:line="132" w:lineRule="exact"/>
              <w:rPr>
                <w:sz w:val="20"/>
                <w:szCs w:val="20"/>
                <w:color w:val="auto"/>
              </w:rPr>
            </w:pPr>
            <w:r>
              <w:rPr>
                <w:rFonts w:ascii="Arial" w:cs="Arial" w:eastAsia="Arial" w:hAnsi="Arial"/>
                <w:sz w:val="13"/>
                <w:szCs w:val="13"/>
                <w:b w:val="1"/>
                <w:bCs w:val="1"/>
                <w:color w:val="auto"/>
                <w:w w:val="97"/>
              </w:rPr>
              <w:t>Welfare</w:t>
            </w:r>
          </w:p>
        </w:tc>
        <w:tc>
          <w:tcPr>
            <w:tcW w:w="1060" w:type="dxa"/>
            <w:vAlign w:val="bottom"/>
            <w:gridSpan w:val="2"/>
          </w:tcPr>
          <w:p>
            <w:pPr>
              <w:jc w:val="center"/>
              <w:ind w:right="320"/>
              <w:spacing w:after="0" w:line="132" w:lineRule="exact"/>
              <w:rPr>
                <w:sz w:val="20"/>
                <w:szCs w:val="20"/>
                <w:color w:val="auto"/>
              </w:rPr>
            </w:pPr>
            <w:r>
              <w:rPr>
                <w:rFonts w:ascii="Arial" w:cs="Arial" w:eastAsia="Arial" w:hAnsi="Arial"/>
                <w:sz w:val="13"/>
                <w:szCs w:val="13"/>
                <w:b w:val="1"/>
                <w:bCs w:val="1"/>
                <w:color w:val="auto"/>
                <w:w w:val="95"/>
              </w:rPr>
              <w:t>Stock</w:t>
            </w:r>
          </w:p>
        </w:tc>
        <w:tc>
          <w:tcPr>
            <w:tcW w:w="1220" w:type="dxa"/>
            <w:vAlign w:val="bottom"/>
            <w:gridSpan w:val="2"/>
          </w:tcPr>
          <w:p>
            <w:pPr>
              <w:ind w:left="380"/>
              <w:spacing w:after="0" w:line="132" w:lineRule="exact"/>
              <w:rPr>
                <w:sz w:val="20"/>
                <w:szCs w:val="20"/>
                <w:color w:val="auto"/>
              </w:rPr>
            </w:pPr>
            <w:r>
              <w:rPr>
                <w:rFonts w:ascii="Arial" w:cs="Arial" w:eastAsia="Arial" w:hAnsi="Arial"/>
                <w:sz w:val="13"/>
                <w:szCs w:val="13"/>
                <w:b w:val="1"/>
                <w:bCs w:val="1"/>
                <w:color w:val="auto"/>
              </w:rPr>
              <w:t>of</w:t>
            </w:r>
          </w:p>
        </w:tc>
        <w:tc>
          <w:tcPr>
            <w:tcW w:w="1220" w:type="dxa"/>
            <w:vAlign w:val="bottom"/>
            <w:gridSpan w:val="2"/>
          </w:tcPr>
          <w:p>
            <w:pPr>
              <w:jc w:val="center"/>
              <w:ind w:right="320"/>
              <w:spacing w:after="0" w:line="132" w:lineRule="exact"/>
              <w:rPr>
                <w:sz w:val="20"/>
                <w:szCs w:val="20"/>
                <w:color w:val="auto"/>
              </w:rPr>
            </w:pPr>
            <w:r>
              <w:rPr>
                <w:rFonts w:ascii="Arial" w:cs="Arial" w:eastAsia="Arial" w:hAnsi="Arial"/>
                <w:sz w:val="13"/>
                <w:szCs w:val="13"/>
                <w:b w:val="1"/>
                <w:bCs w:val="1"/>
                <w:color w:val="auto"/>
                <w:w w:val="95"/>
              </w:rPr>
              <w:t>Benefit</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400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220" w:type="dxa"/>
            <w:vAlign w:val="bottom"/>
            <w:vMerge w:val="restart"/>
          </w:tcPr>
          <w:p>
            <w:pPr>
              <w:spacing w:after="0"/>
              <w:rPr>
                <w:sz w:val="13"/>
                <w:szCs w:val="13"/>
                <w:color w:val="auto"/>
              </w:rPr>
            </w:pPr>
          </w:p>
        </w:tc>
        <w:tc>
          <w:tcPr>
            <w:tcW w:w="1300" w:type="dxa"/>
            <w:vAlign w:val="bottom"/>
            <w:gridSpan w:val="2"/>
          </w:tcPr>
          <w:p>
            <w:pPr>
              <w:jc w:val="center"/>
              <w:ind w:right="420"/>
              <w:spacing w:after="0" w:line="150" w:lineRule="exact"/>
              <w:rPr>
                <w:sz w:val="20"/>
                <w:szCs w:val="20"/>
                <w:color w:val="auto"/>
              </w:rPr>
            </w:pPr>
            <w:r>
              <w:rPr>
                <w:rFonts w:ascii="Arial" w:cs="Arial" w:eastAsia="Arial" w:hAnsi="Arial"/>
                <w:sz w:val="11"/>
                <w:szCs w:val="11"/>
                <w:b w:val="1"/>
                <w:bCs w:val="1"/>
                <w:color w:val="auto"/>
              </w:rPr>
              <w:t>Pay</w:t>
            </w:r>
            <w:r>
              <w:rPr>
                <w:rFonts w:ascii="Arial" w:cs="Arial" w:eastAsia="Arial" w:hAnsi="Arial"/>
                <w:sz w:val="17"/>
                <w:szCs w:val="17"/>
                <w:b w:val="1"/>
                <w:bCs w:val="1"/>
                <w:color w:val="auto"/>
                <w:vertAlign w:val="superscript"/>
              </w:rPr>
              <w:t>(1)</w:t>
            </w:r>
          </w:p>
        </w:tc>
        <w:tc>
          <w:tcPr>
            <w:tcW w:w="1360" w:type="dxa"/>
            <w:vAlign w:val="bottom"/>
            <w:gridSpan w:val="2"/>
          </w:tcPr>
          <w:p>
            <w:pPr>
              <w:jc w:val="center"/>
              <w:ind w:right="320"/>
              <w:spacing w:after="0" w:line="150" w:lineRule="exact"/>
              <w:rPr>
                <w:sz w:val="20"/>
                <w:szCs w:val="20"/>
                <w:color w:val="auto"/>
              </w:rPr>
            </w:pPr>
            <w:r>
              <w:rPr>
                <w:rFonts w:ascii="Arial" w:cs="Arial" w:eastAsia="Arial" w:hAnsi="Arial"/>
                <w:sz w:val="11"/>
                <w:szCs w:val="11"/>
                <w:b w:val="1"/>
                <w:bCs w:val="1"/>
                <w:color w:val="auto"/>
              </w:rPr>
              <w:t>Continuation</w:t>
            </w:r>
            <w:r>
              <w:rPr>
                <w:rFonts w:ascii="Arial" w:cs="Arial" w:eastAsia="Arial" w:hAnsi="Arial"/>
                <w:sz w:val="17"/>
                <w:szCs w:val="17"/>
                <w:b w:val="1"/>
                <w:bCs w:val="1"/>
                <w:color w:val="auto"/>
                <w:vertAlign w:val="superscript"/>
              </w:rPr>
              <w:t>(2)</w:t>
            </w:r>
          </w:p>
        </w:tc>
        <w:tc>
          <w:tcPr>
            <w:tcW w:w="1060" w:type="dxa"/>
            <w:vAlign w:val="bottom"/>
            <w:gridSpan w:val="2"/>
          </w:tcPr>
          <w:p>
            <w:pPr>
              <w:jc w:val="center"/>
              <w:ind w:right="320"/>
              <w:spacing w:after="0" w:line="150"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(3)</w:t>
            </w:r>
          </w:p>
        </w:tc>
        <w:tc>
          <w:tcPr>
            <w:tcW w:w="1220" w:type="dxa"/>
            <w:vAlign w:val="bottom"/>
            <w:gridSpan w:val="2"/>
          </w:tcPr>
          <w:p>
            <w:pPr>
              <w:ind w:left="140"/>
              <w:spacing w:after="0" w:line="150" w:lineRule="exact"/>
              <w:rPr>
                <w:sz w:val="20"/>
                <w:szCs w:val="20"/>
                <w:color w:val="auto"/>
              </w:rPr>
            </w:pPr>
            <w:r>
              <w:rPr>
                <w:rFonts w:ascii="Arial" w:cs="Arial" w:eastAsia="Arial" w:hAnsi="Arial"/>
                <w:sz w:val="11"/>
                <w:szCs w:val="11"/>
                <w:b w:val="1"/>
                <w:bCs w:val="1"/>
                <w:color w:val="auto"/>
              </w:rPr>
              <w:t>Benefits</w:t>
            </w:r>
            <w:r>
              <w:rPr>
                <w:rFonts w:ascii="Arial" w:cs="Arial" w:eastAsia="Arial" w:hAnsi="Arial"/>
                <w:sz w:val="17"/>
                <w:szCs w:val="17"/>
                <w:b w:val="1"/>
                <w:bCs w:val="1"/>
                <w:color w:val="auto"/>
                <w:vertAlign w:val="superscript"/>
              </w:rPr>
              <w:t>(4)</w:t>
            </w:r>
          </w:p>
        </w:tc>
        <w:tc>
          <w:tcPr>
            <w:tcW w:w="1220" w:type="dxa"/>
            <w:vAlign w:val="bottom"/>
            <w:gridSpan w:val="2"/>
          </w:tcPr>
          <w:p>
            <w:pPr>
              <w:jc w:val="center"/>
              <w:ind w:right="320"/>
              <w:spacing w:after="0" w:line="150" w:lineRule="exact"/>
              <w:rPr>
                <w:sz w:val="20"/>
                <w:szCs w:val="20"/>
                <w:color w:val="auto"/>
              </w:rPr>
            </w:pPr>
            <w:r>
              <w:rPr>
                <w:rFonts w:ascii="Arial" w:cs="Arial" w:eastAsia="Arial" w:hAnsi="Arial"/>
                <w:sz w:val="11"/>
                <w:szCs w:val="11"/>
                <w:b w:val="1"/>
                <w:bCs w:val="1"/>
                <w:color w:val="auto"/>
              </w:rPr>
              <w:t>Plans</w:t>
            </w:r>
            <w:r>
              <w:rPr>
                <w:rFonts w:ascii="Arial" w:cs="Arial" w:eastAsia="Arial" w:hAnsi="Arial"/>
                <w:sz w:val="17"/>
                <w:szCs w:val="17"/>
                <w:b w:val="1"/>
                <w:bCs w:val="1"/>
                <w:color w:val="auto"/>
                <w:vertAlign w:val="superscript"/>
              </w:rPr>
              <w:t>(5)</w:t>
            </w:r>
          </w:p>
        </w:tc>
        <w:tc>
          <w:tcPr>
            <w:tcW w:w="1040" w:type="dxa"/>
            <w:vAlign w:val="bottom"/>
            <w:gridSpan w:val="2"/>
          </w:tcPr>
          <w:p>
            <w:pPr>
              <w:ind w:lef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7"/>
        </w:trPr>
        <w:tc>
          <w:tcPr>
            <w:tcW w:w="400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320" w:type="dxa"/>
            <w:vAlign w:val="bottom"/>
          </w:tcPr>
          <w:p>
            <w:pPr>
              <w:spacing w:after="0"/>
              <w:rPr>
                <w:sz w:val="13"/>
                <w:szCs w:val="13"/>
                <w:color w:val="auto"/>
              </w:rPr>
            </w:pP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320" w:type="dxa"/>
            <w:vAlign w:val="bottom"/>
          </w:tcPr>
          <w:p>
            <w:pPr>
              <w:spacing w:after="0"/>
              <w:rPr>
                <w:sz w:val="13"/>
                <w:szCs w:val="13"/>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20" w:type="dxa"/>
            <w:vAlign w:val="bottom"/>
            <w:gridSpan w:val="2"/>
          </w:tcPr>
          <w:p>
            <w:pPr>
              <w:spacing w:after="0" w:line="185" w:lineRule="exact"/>
              <w:rPr>
                <w:sz w:val="20"/>
                <w:szCs w:val="20"/>
                <w:color w:val="auto"/>
              </w:rPr>
            </w:pPr>
            <w:r>
              <w:rPr>
                <w:rFonts w:ascii="Arial" w:cs="Arial" w:eastAsia="Arial" w:hAnsi="Arial"/>
                <w:sz w:val="17"/>
                <w:szCs w:val="17"/>
                <w:color w:val="auto"/>
              </w:rPr>
              <w:t>Ms. Rosenfeld</w:t>
            </w:r>
          </w:p>
        </w:tc>
        <w:tc>
          <w:tcPr>
            <w:tcW w:w="1300" w:type="dxa"/>
            <w:vAlign w:val="bottom"/>
            <w:gridSpan w:val="2"/>
          </w:tcPr>
          <w:p>
            <w:pPr>
              <w:jc w:val="right"/>
              <w:ind w:right="420"/>
              <w:spacing w:after="0" w:line="185" w:lineRule="exact"/>
              <w:rPr>
                <w:sz w:val="20"/>
                <w:szCs w:val="20"/>
                <w:color w:val="auto"/>
              </w:rPr>
            </w:pPr>
            <w:r>
              <w:rPr>
                <w:rFonts w:ascii="Arial" w:cs="Arial" w:eastAsia="Arial" w:hAnsi="Arial"/>
                <w:sz w:val="17"/>
                <w:szCs w:val="17"/>
                <w:color w:val="auto"/>
              </w:rPr>
              <w:t>3,100,000</w:t>
            </w:r>
          </w:p>
        </w:tc>
        <w:tc>
          <w:tcPr>
            <w:tcW w:w="1040" w:type="dxa"/>
            <w:vAlign w:val="bottom"/>
          </w:tcPr>
          <w:p>
            <w:pPr>
              <w:jc w:val="right"/>
              <w:spacing w:after="0" w:line="185" w:lineRule="exact"/>
              <w:rPr>
                <w:sz w:val="20"/>
                <w:szCs w:val="20"/>
                <w:color w:val="auto"/>
              </w:rPr>
            </w:pPr>
            <w:r>
              <w:rPr>
                <w:rFonts w:ascii="Arial" w:cs="Arial" w:eastAsia="Arial" w:hAnsi="Arial"/>
                <w:sz w:val="17"/>
                <w:szCs w:val="17"/>
                <w:color w:val="auto"/>
              </w:rPr>
              <w:t>455,864</w:t>
            </w:r>
          </w:p>
        </w:tc>
        <w:tc>
          <w:tcPr>
            <w:tcW w:w="320" w:type="dxa"/>
            <w:vAlign w:val="bottom"/>
          </w:tcPr>
          <w:p>
            <w:pPr>
              <w:spacing w:after="0"/>
              <w:rPr>
                <w:sz w:val="16"/>
                <w:szCs w:val="16"/>
                <w:color w:val="auto"/>
              </w:rPr>
            </w:pPr>
          </w:p>
        </w:tc>
        <w:tc>
          <w:tcPr>
            <w:tcW w:w="1060" w:type="dxa"/>
            <w:vAlign w:val="bottom"/>
            <w:gridSpan w:val="2"/>
          </w:tcPr>
          <w:p>
            <w:pPr>
              <w:ind w:left="480"/>
              <w:spacing w:after="0" w:line="185" w:lineRule="exact"/>
              <w:rPr>
                <w:sz w:val="20"/>
                <w:szCs w:val="20"/>
                <w:color w:val="auto"/>
              </w:rPr>
            </w:pPr>
            <w:r>
              <w:rPr>
                <w:rFonts w:ascii="Arial" w:cs="Arial" w:eastAsia="Arial" w:hAnsi="Arial"/>
                <w:sz w:val="17"/>
                <w:szCs w:val="17"/>
                <w:color w:val="auto"/>
              </w:rPr>
              <w:t>—</w:t>
            </w:r>
          </w:p>
        </w:tc>
        <w:tc>
          <w:tcPr>
            <w:tcW w:w="1220" w:type="dxa"/>
            <w:vAlign w:val="bottom"/>
            <w:gridSpan w:val="2"/>
          </w:tcPr>
          <w:p>
            <w:pPr>
              <w:ind w:left="380"/>
              <w:spacing w:after="0" w:line="185" w:lineRule="exact"/>
              <w:rPr>
                <w:sz w:val="20"/>
                <w:szCs w:val="20"/>
                <w:color w:val="auto"/>
              </w:rPr>
            </w:pPr>
            <w:r>
              <w:rPr>
                <w:rFonts w:ascii="Arial" w:cs="Arial" w:eastAsia="Arial" w:hAnsi="Arial"/>
                <w:sz w:val="17"/>
                <w:szCs w:val="17"/>
                <w:color w:val="auto"/>
              </w:rPr>
              <w:t>66,667</w:t>
            </w:r>
          </w:p>
        </w:tc>
        <w:tc>
          <w:tcPr>
            <w:tcW w:w="900" w:type="dxa"/>
            <w:vAlign w:val="bottom"/>
          </w:tcPr>
          <w:p>
            <w:pPr>
              <w:jc w:val="right"/>
              <w:spacing w:after="0" w:line="185" w:lineRule="exact"/>
              <w:rPr>
                <w:sz w:val="20"/>
                <w:szCs w:val="20"/>
                <w:color w:val="auto"/>
              </w:rPr>
            </w:pPr>
            <w:r>
              <w:rPr>
                <w:rFonts w:ascii="Arial" w:cs="Arial" w:eastAsia="Arial" w:hAnsi="Arial"/>
                <w:sz w:val="17"/>
                <w:szCs w:val="17"/>
                <w:color w:val="auto"/>
              </w:rPr>
              <w:t>1,169,622</w:t>
            </w:r>
          </w:p>
        </w:tc>
        <w:tc>
          <w:tcPr>
            <w:tcW w:w="320" w:type="dxa"/>
            <w:vAlign w:val="bottom"/>
          </w:tcPr>
          <w:p>
            <w:pPr>
              <w:spacing w:after="0"/>
              <w:rPr>
                <w:sz w:val="16"/>
                <w:szCs w:val="16"/>
                <w:color w:val="auto"/>
              </w:rPr>
            </w:pPr>
          </w:p>
        </w:tc>
        <w:tc>
          <w:tcPr>
            <w:tcW w:w="920" w:type="dxa"/>
            <w:vAlign w:val="bottom"/>
          </w:tcPr>
          <w:p>
            <w:pPr>
              <w:jc w:val="right"/>
              <w:spacing w:after="0" w:line="185" w:lineRule="exact"/>
              <w:rPr>
                <w:sz w:val="20"/>
                <w:szCs w:val="20"/>
                <w:color w:val="auto"/>
              </w:rPr>
            </w:pPr>
            <w:r>
              <w:rPr>
                <w:rFonts w:ascii="Arial" w:cs="Arial" w:eastAsia="Arial" w:hAnsi="Arial"/>
                <w:sz w:val="17"/>
                <w:szCs w:val="17"/>
                <w:color w:val="auto"/>
              </w:rPr>
              <w:t>4,792,153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Brearton</w:t>
            </w:r>
          </w:p>
        </w:tc>
        <w:tc>
          <w:tcPr>
            <w:tcW w:w="1300" w:type="dxa"/>
            <w:vAlign w:val="bottom"/>
            <w:gridSpan w:val="2"/>
            <w:shd w:val="clear" w:color="auto" w:fill="D8D8D8"/>
          </w:tcPr>
          <w:p>
            <w:pPr>
              <w:jc w:val="right"/>
              <w:ind w:right="420"/>
              <w:spacing w:after="0" w:line="192" w:lineRule="exact"/>
              <w:rPr>
                <w:sz w:val="20"/>
                <w:szCs w:val="20"/>
                <w:color w:val="auto"/>
              </w:rPr>
            </w:pPr>
            <w:r>
              <w:rPr>
                <w:rFonts w:ascii="Arial" w:cs="Arial" w:eastAsia="Arial" w:hAnsi="Arial"/>
                <w:sz w:val="17"/>
                <w:szCs w:val="17"/>
                <w:color w:val="auto"/>
              </w:rPr>
              <w:t>650,000</w:t>
            </w:r>
          </w:p>
        </w:tc>
        <w:tc>
          <w:tcPr>
            <w:tcW w:w="1360" w:type="dxa"/>
            <w:vAlign w:val="bottom"/>
            <w:gridSpan w:val="2"/>
            <w:shd w:val="clear" w:color="auto" w:fill="D8D8D8"/>
          </w:tcPr>
          <w:p>
            <w:pPr>
              <w:jc w:val="right"/>
              <w:ind w:right="320"/>
              <w:spacing w:after="0" w:line="192" w:lineRule="exact"/>
              <w:rPr>
                <w:sz w:val="20"/>
                <w:szCs w:val="20"/>
                <w:color w:val="auto"/>
              </w:rPr>
            </w:pPr>
            <w:r>
              <w:rPr>
                <w:rFonts w:ascii="Arial" w:cs="Arial" w:eastAsia="Arial" w:hAnsi="Arial"/>
                <w:sz w:val="17"/>
                <w:szCs w:val="17"/>
                <w:color w:val="auto"/>
              </w:rPr>
              <w:t>20,827</w:t>
            </w:r>
          </w:p>
        </w:tc>
        <w:tc>
          <w:tcPr>
            <w:tcW w:w="1060" w:type="dxa"/>
            <w:vAlign w:val="bottom"/>
            <w:gridSpan w:val="2"/>
            <w:shd w:val="clear" w:color="auto" w:fill="D8D8D8"/>
          </w:tcPr>
          <w:p>
            <w:pPr>
              <w:ind w:left="480"/>
              <w:spacing w:after="0" w:line="192"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D8D8D8"/>
          </w:tcPr>
          <w:p>
            <w:pPr>
              <w:ind w:left="380"/>
              <w:spacing w:after="0" w:line="192" w:lineRule="exact"/>
              <w:rPr>
                <w:sz w:val="20"/>
                <w:szCs w:val="20"/>
                <w:color w:val="auto"/>
              </w:rPr>
            </w:pPr>
            <w:r>
              <w:rPr>
                <w:rFonts w:ascii="Arial" w:cs="Arial" w:eastAsia="Arial" w:hAnsi="Arial"/>
                <w:sz w:val="17"/>
                <w:szCs w:val="17"/>
                <w:color w:val="auto"/>
              </w:rPr>
              <w:t>22,500</w:t>
            </w: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119,485</w:t>
            </w:r>
          </w:p>
        </w:tc>
        <w:tc>
          <w:tcPr>
            <w:tcW w:w="320" w:type="dxa"/>
            <w:vAlign w:val="bottom"/>
            <w:shd w:val="clear" w:color="auto" w:fill="D8D8D8"/>
          </w:tcPr>
          <w:p>
            <w:pPr>
              <w:spacing w:after="0"/>
              <w:rPr>
                <w:sz w:val="16"/>
                <w:szCs w:val="16"/>
                <w:color w:val="auto"/>
              </w:rPr>
            </w:pPr>
          </w:p>
        </w:tc>
        <w:tc>
          <w:tcPr>
            <w:tcW w:w="1040" w:type="dxa"/>
            <w:vAlign w:val="bottom"/>
            <w:gridSpan w:val="2"/>
            <w:shd w:val="clear" w:color="auto" w:fill="D8D8D8"/>
          </w:tcPr>
          <w:p>
            <w:pPr>
              <w:jc w:val="right"/>
              <w:ind w:right="120"/>
              <w:spacing w:after="0" w:line="192" w:lineRule="exact"/>
              <w:rPr>
                <w:sz w:val="20"/>
                <w:szCs w:val="20"/>
                <w:color w:val="auto"/>
              </w:rPr>
            </w:pPr>
            <w:r>
              <w:rPr>
                <w:rFonts w:ascii="Arial" w:cs="Arial" w:eastAsia="Arial" w:hAnsi="Arial"/>
                <w:sz w:val="17"/>
                <w:szCs w:val="17"/>
                <w:color w:val="auto"/>
              </w:rPr>
              <w:t>812,812</w:t>
            </w:r>
          </w:p>
        </w:tc>
        <w:tc>
          <w:tcPr>
            <w:tcW w:w="0" w:type="dxa"/>
            <w:vAlign w:val="bottom"/>
          </w:tcPr>
          <w:p>
            <w:pPr>
              <w:spacing w:after="0"/>
              <w:rPr>
                <w:sz w:val="1"/>
                <w:szCs w:val="1"/>
                <w:color w:val="auto"/>
              </w:rPr>
            </w:pPr>
          </w:p>
        </w:tc>
      </w:tr>
      <w:tr>
        <w:trPr>
          <w:trHeight w:val="192"/>
        </w:trPr>
        <w:tc>
          <w:tcPr>
            <w:tcW w:w="4220" w:type="dxa"/>
            <w:vAlign w:val="bottom"/>
            <w:gridSpan w:val="2"/>
          </w:tcPr>
          <w:p>
            <w:pPr>
              <w:spacing w:after="0" w:line="192" w:lineRule="exact"/>
              <w:rPr>
                <w:sz w:val="20"/>
                <w:szCs w:val="20"/>
                <w:color w:val="auto"/>
              </w:rPr>
            </w:pPr>
            <w:r>
              <w:rPr>
                <w:rFonts w:ascii="Arial" w:cs="Arial" w:eastAsia="Arial" w:hAnsi="Arial"/>
                <w:sz w:val="17"/>
                <w:szCs w:val="17"/>
                <w:color w:val="auto"/>
              </w:rPr>
              <w:t>Mr. McLevish</w:t>
            </w:r>
          </w:p>
        </w:tc>
        <w:tc>
          <w:tcPr>
            <w:tcW w:w="1300" w:type="dxa"/>
            <w:vAlign w:val="bottom"/>
            <w:gridSpan w:val="2"/>
          </w:tcPr>
          <w:p>
            <w:pPr>
              <w:jc w:val="right"/>
              <w:ind w:right="420"/>
              <w:spacing w:after="0" w:line="192" w:lineRule="exact"/>
              <w:rPr>
                <w:sz w:val="20"/>
                <w:szCs w:val="20"/>
                <w:color w:val="auto"/>
              </w:rPr>
            </w:pPr>
            <w:r>
              <w:rPr>
                <w:rFonts w:ascii="Arial" w:cs="Arial" w:eastAsia="Arial" w:hAnsi="Arial"/>
                <w:sz w:val="17"/>
                <w:szCs w:val="17"/>
                <w:color w:val="auto"/>
              </w:rPr>
              <w:t>761,000</w:t>
            </w:r>
          </w:p>
        </w:tc>
        <w:tc>
          <w:tcPr>
            <w:tcW w:w="1360" w:type="dxa"/>
            <w:vAlign w:val="bottom"/>
            <w:gridSpan w:val="2"/>
          </w:tcPr>
          <w:p>
            <w:pPr>
              <w:jc w:val="right"/>
              <w:ind w:right="320"/>
              <w:spacing w:after="0" w:line="192" w:lineRule="exact"/>
              <w:rPr>
                <w:sz w:val="20"/>
                <w:szCs w:val="20"/>
                <w:color w:val="auto"/>
              </w:rPr>
            </w:pPr>
            <w:r>
              <w:rPr>
                <w:rFonts w:ascii="Arial" w:cs="Arial" w:eastAsia="Arial" w:hAnsi="Arial"/>
                <w:sz w:val="17"/>
                <w:szCs w:val="17"/>
                <w:color w:val="auto"/>
              </w:rPr>
              <w:t>21,356</w:t>
            </w:r>
          </w:p>
        </w:tc>
        <w:tc>
          <w:tcPr>
            <w:tcW w:w="1060" w:type="dxa"/>
            <w:vAlign w:val="bottom"/>
            <w:gridSpan w:val="2"/>
          </w:tcPr>
          <w:p>
            <w:pPr>
              <w:ind w:left="480"/>
              <w:spacing w:after="0" w:line="192" w:lineRule="exact"/>
              <w:rPr>
                <w:sz w:val="20"/>
                <w:szCs w:val="20"/>
                <w:color w:val="auto"/>
              </w:rPr>
            </w:pPr>
            <w:r>
              <w:rPr>
                <w:rFonts w:ascii="Arial" w:cs="Arial" w:eastAsia="Arial" w:hAnsi="Arial"/>
                <w:sz w:val="17"/>
                <w:szCs w:val="17"/>
                <w:color w:val="auto"/>
              </w:rPr>
              <w:t>—</w:t>
            </w:r>
          </w:p>
        </w:tc>
        <w:tc>
          <w:tcPr>
            <w:tcW w:w="1220" w:type="dxa"/>
            <w:vAlign w:val="bottom"/>
            <w:gridSpan w:val="2"/>
          </w:tcPr>
          <w:p>
            <w:pPr>
              <w:ind w:left="380"/>
              <w:spacing w:after="0" w:line="192" w:lineRule="exact"/>
              <w:rPr>
                <w:sz w:val="20"/>
                <w:szCs w:val="20"/>
                <w:color w:val="auto"/>
              </w:rPr>
            </w:pPr>
            <w:r>
              <w:rPr>
                <w:rFonts w:ascii="Arial" w:cs="Arial" w:eastAsia="Arial" w:hAnsi="Arial"/>
                <w:sz w:val="17"/>
                <w:szCs w:val="17"/>
                <w:color w:val="auto"/>
              </w:rPr>
              <w:t>22,500</w:t>
            </w:r>
          </w:p>
        </w:tc>
        <w:tc>
          <w:tcPr>
            <w:tcW w:w="900" w:type="dxa"/>
            <w:vAlign w:val="bottom"/>
          </w:tcPr>
          <w:p>
            <w:pPr>
              <w:jc w:val="right"/>
              <w:spacing w:after="0" w:line="192" w:lineRule="exact"/>
              <w:rPr>
                <w:sz w:val="20"/>
                <w:szCs w:val="20"/>
                <w:color w:val="auto"/>
              </w:rPr>
            </w:pPr>
            <w:r>
              <w:rPr>
                <w:rFonts w:ascii="Arial" w:cs="Arial" w:eastAsia="Arial" w:hAnsi="Arial"/>
                <w:sz w:val="17"/>
                <w:szCs w:val="17"/>
                <w:color w:val="auto"/>
              </w:rPr>
              <w:t>199,206</w:t>
            </w:r>
          </w:p>
        </w:tc>
        <w:tc>
          <w:tcPr>
            <w:tcW w:w="320" w:type="dxa"/>
            <w:vAlign w:val="bottom"/>
          </w:tcPr>
          <w:p>
            <w:pPr>
              <w:spacing w:after="0"/>
              <w:rPr>
                <w:sz w:val="16"/>
                <w:szCs w:val="16"/>
                <w:color w:val="auto"/>
              </w:rPr>
            </w:pPr>
          </w:p>
        </w:tc>
        <w:tc>
          <w:tcPr>
            <w:tcW w:w="920" w:type="dxa"/>
            <w:vAlign w:val="bottom"/>
          </w:tcPr>
          <w:p>
            <w:pPr>
              <w:jc w:val="right"/>
              <w:spacing w:after="0" w:line="192" w:lineRule="exact"/>
              <w:rPr>
                <w:sz w:val="20"/>
                <w:szCs w:val="20"/>
                <w:color w:val="auto"/>
              </w:rPr>
            </w:pPr>
            <w:r>
              <w:rPr>
                <w:rFonts w:ascii="Arial" w:cs="Arial" w:eastAsia="Arial" w:hAnsi="Arial"/>
                <w:sz w:val="17"/>
                <w:szCs w:val="17"/>
                <w:color w:val="auto"/>
              </w:rPr>
              <w:t>1,004,062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Mr. Khosla</w:t>
            </w:r>
          </w:p>
        </w:tc>
        <w:tc>
          <w:tcPr>
            <w:tcW w:w="1300" w:type="dxa"/>
            <w:vAlign w:val="bottom"/>
            <w:gridSpan w:val="2"/>
            <w:shd w:val="clear" w:color="auto" w:fill="D8D8D8"/>
          </w:tcPr>
          <w:p>
            <w:pPr>
              <w:jc w:val="right"/>
              <w:ind w:right="420"/>
              <w:spacing w:after="0" w:line="192" w:lineRule="exact"/>
              <w:rPr>
                <w:sz w:val="20"/>
                <w:szCs w:val="20"/>
                <w:color w:val="auto"/>
              </w:rPr>
            </w:pPr>
            <w:r>
              <w:rPr>
                <w:rFonts w:ascii="Arial" w:cs="Arial" w:eastAsia="Arial" w:hAnsi="Arial"/>
                <w:sz w:val="17"/>
                <w:szCs w:val="17"/>
                <w:color w:val="auto"/>
              </w:rPr>
              <w:t>755,000</w:t>
            </w:r>
          </w:p>
        </w:tc>
        <w:tc>
          <w:tcPr>
            <w:tcW w:w="1360" w:type="dxa"/>
            <w:vAlign w:val="bottom"/>
            <w:gridSpan w:val="2"/>
            <w:shd w:val="clear" w:color="auto" w:fill="D8D8D8"/>
          </w:tcPr>
          <w:p>
            <w:pPr>
              <w:jc w:val="right"/>
              <w:ind w:right="320"/>
              <w:spacing w:after="0" w:line="192" w:lineRule="exact"/>
              <w:rPr>
                <w:sz w:val="20"/>
                <w:szCs w:val="20"/>
                <w:color w:val="auto"/>
              </w:rPr>
            </w:pPr>
            <w:r>
              <w:rPr>
                <w:rFonts w:ascii="Arial" w:cs="Arial" w:eastAsia="Arial" w:hAnsi="Arial"/>
                <w:sz w:val="17"/>
                <w:szCs w:val="17"/>
                <w:color w:val="auto"/>
              </w:rPr>
              <w:t>17,206</w:t>
            </w:r>
          </w:p>
        </w:tc>
        <w:tc>
          <w:tcPr>
            <w:tcW w:w="1060" w:type="dxa"/>
            <w:vAlign w:val="bottom"/>
            <w:gridSpan w:val="2"/>
            <w:shd w:val="clear" w:color="auto" w:fill="D8D8D8"/>
          </w:tcPr>
          <w:p>
            <w:pPr>
              <w:ind w:left="480"/>
              <w:spacing w:after="0" w:line="192"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D8D8D8"/>
          </w:tcPr>
          <w:p>
            <w:pPr>
              <w:ind w:left="380"/>
              <w:spacing w:after="0" w:line="192" w:lineRule="exact"/>
              <w:rPr>
                <w:sz w:val="20"/>
                <w:szCs w:val="20"/>
                <w:color w:val="auto"/>
              </w:rPr>
            </w:pPr>
            <w:r>
              <w:rPr>
                <w:rFonts w:ascii="Arial" w:cs="Arial" w:eastAsia="Arial" w:hAnsi="Arial"/>
                <w:sz w:val="17"/>
                <w:szCs w:val="17"/>
                <w:color w:val="auto"/>
              </w:rPr>
              <w:t>22,500</w:t>
            </w:r>
          </w:p>
        </w:tc>
        <w:tc>
          <w:tcPr>
            <w:tcW w:w="9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226,557</w:t>
            </w:r>
          </w:p>
        </w:tc>
        <w:tc>
          <w:tcPr>
            <w:tcW w:w="320" w:type="dxa"/>
            <w:vAlign w:val="bottom"/>
            <w:shd w:val="clear" w:color="auto" w:fill="D8D8D8"/>
          </w:tcPr>
          <w:p>
            <w:pPr>
              <w:spacing w:after="0"/>
              <w:rPr>
                <w:sz w:val="16"/>
                <w:szCs w:val="16"/>
                <w:color w:val="auto"/>
              </w:rPr>
            </w:pPr>
          </w:p>
        </w:tc>
        <w:tc>
          <w:tcPr>
            <w:tcW w:w="92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1,021,263</w:t>
            </w:r>
          </w:p>
        </w:tc>
        <w:tc>
          <w:tcPr>
            <w:tcW w:w="12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gridSpan w:val="2"/>
          </w:tcPr>
          <w:p>
            <w:pPr>
              <w:spacing w:after="0" w:line="192" w:lineRule="exact"/>
              <w:rPr>
                <w:sz w:val="20"/>
                <w:szCs w:val="20"/>
                <w:color w:val="auto"/>
              </w:rPr>
            </w:pPr>
            <w:r>
              <w:rPr>
                <w:rFonts w:ascii="Arial" w:cs="Arial" w:eastAsia="Arial" w:hAnsi="Arial"/>
                <w:sz w:val="17"/>
                <w:szCs w:val="17"/>
                <w:color w:val="auto"/>
              </w:rPr>
              <w:t>Mr. Vernon</w:t>
            </w:r>
          </w:p>
        </w:tc>
        <w:tc>
          <w:tcPr>
            <w:tcW w:w="1300" w:type="dxa"/>
            <w:vAlign w:val="bottom"/>
            <w:gridSpan w:val="2"/>
          </w:tcPr>
          <w:p>
            <w:pPr>
              <w:jc w:val="right"/>
              <w:ind w:right="420"/>
              <w:spacing w:after="0" w:line="192" w:lineRule="exact"/>
              <w:rPr>
                <w:sz w:val="20"/>
                <w:szCs w:val="20"/>
                <w:color w:val="auto"/>
              </w:rPr>
            </w:pPr>
            <w:r>
              <w:rPr>
                <w:rFonts w:ascii="Arial" w:cs="Arial" w:eastAsia="Arial" w:hAnsi="Arial"/>
                <w:sz w:val="17"/>
                <w:szCs w:val="17"/>
                <w:color w:val="auto"/>
              </w:rPr>
              <w:t>761,000</w:t>
            </w:r>
          </w:p>
        </w:tc>
        <w:tc>
          <w:tcPr>
            <w:tcW w:w="1360" w:type="dxa"/>
            <w:vAlign w:val="bottom"/>
            <w:gridSpan w:val="2"/>
          </w:tcPr>
          <w:p>
            <w:pPr>
              <w:jc w:val="right"/>
              <w:ind w:right="320"/>
              <w:spacing w:after="0" w:line="192" w:lineRule="exact"/>
              <w:rPr>
                <w:sz w:val="20"/>
                <w:szCs w:val="20"/>
                <w:color w:val="auto"/>
              </w:rPr>
            </w:pPr>
            <w:r>
              <w:rPr>
                <w:rFonts w:ascii="Arial" w:cs="Arial" w:eastAsia="Arial" w:hAnsi="Arial"/>
                <w:sz w:val="17"/>
                <w:szCs w:val="17"/>
                <w:color w:val="auto"/>
              </w:rPr>
              <w:t>21,645</w:t>
            </w:r>
          </w:p>
        </w:tc>
        <w:tc>
          <w:tcPr>
            <w:tcW w:w="740" w:type="dxa"/>
            <w:vAlign w:val="bottom"/>
          </w:tcPr>
          <w:p>
            <w:pPr>
              <w:ind w:left="140"/>
              <w:spacing w:after="0" w:line="192" w:lineRule="exact"/>
              <w:rPr>
                <w:sz w:val="20"/>
                <w:szCs w:val="20"/>
                <w:color w:val="auto"/>
              </w:rPr>
            </w:pPr>
            <w:r>
              <w:rPr>
                <w:rFonts w:ascii="Arial" w:cs="Arial" w:eastAsia="Arial" w:hAnsi="Arial"/>
                <w:sz w:val="17"/>
                <w:szCs w:val="17"/>
                <w:color w:val="auto"/>
                <w:w w:val="94"/>
              </w:rPr>
              <w:t>447,199</w:t>
            </w:r>
          </w:p>
        </w:tc>
        <w:tc>
          <w:tcPr>
            <w:tcW w:w="320" w:type="dxa"/>
            <w:vAlign w:val="bottom"/>
          </w:tcPr>
          <w:p>
            <w:pPr>
              <w:spacing w:after="0"/>
              <w:rPr>
                <w:sz w:val="16"/>
                <w:szCs w:val="16"/>
                <w:color w:val="auto"/>
              </w:rPr>
            </w:pPr>
          </w:p>
        </w:tc>
        <w:tc>
          <w:tcPr>
            <w:tcW w:w="1220" w:type="dxa"/>
            <w:vAlign w:val="bottom"/>
            <w:gridSpan w:val="2"/>
          </w:tcPr>
          <w:p>
            <w:pPr>
              <w:ind w:left="380"/>
              <w:spacing w:after="0" w:line="192" w:lineRule="exact"/>
              <w:rPr>
                <w:sz w:val="20"/>
                <w:szCs w:val="20"/>
                <w:color w:val="auto"/>
              </w:rPr>
            </w:pPr>
            <w:r>
              <w:rPr>
                <w:rFonts w:ascii="Arial" w:cs="Arial" w:eastAsia="Arial" w:hAnsi="Arial"/>
                <w:sz w:val="17"/>
                <w:szCs w:val="17"/>
                <w:color w:val="auto"/>
              </w:rPr>
              <w:t>22,500</w:t>
            </w:r>
          </w:p>
        </w:tc>
        <w:tc>
          <w:tcPr>
            <w:tcW w:w="1220" w:type="dxa"/>
            <w:vAlign w:val="bottom"/>
            <w:gridSpan w:val="2"/>
          </w:tcPr>
          <w:p>
            <w:pPr>
              <w:ind w:left="640"/>
              <w:spacing w:after="0" w:line="192"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92" w:lineRule="exact"/>
              <w:rPr>
                <w:sz w:val="20"/>
                <w:szCs w:val="20"/>
                <w:color w:val="auto"/>
              </w:rPr>
            </w:pPr>
            <w:r>
              <w:rPr>
                <w:rFonts w:ascii="Arial" w:cs="Arial" w:eastAsia="Arial" w:hAnsi="Arial"/>
                <w:sz w:val="17"/>
                <w:szCs w:val="17"/>
                <w:color w:val="auto"/>
              </w:rPr>
              <w:t>1,252,344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Ms. West</w:t>
            </w:r>
          </w:p>
        </w:tc>
        <w:tc>
          <w:tcPr>
            <w:tcW w:w="1300" w:type="dxa"/>
            <w:vAlign w:val="bottom"/>
            <w:gridSpan w:val="2"/>
            <w:shd w:val="clear" w:color="auto" w:fill="D8D8D8"/>
          </w:tcPr>
          <w:p>
            <w:pPr>
              <w:jc w:val="right"/>
              <w:ind w:right="420"/>
              <w:spacing w:after="0" w:line="192" w:lineRule="exact"/>
              <w:rPr>
                <w:sz w:val="20"/>
                <w:szCs w:val="20"/>
                <w:color w:val="auto"/>
              </w:rPr>
            </w:pPr>
            <w:r>
              <w:rPr>
                <w:rFonts w:ascii="Arial" w:cs="Arial" w:eastAsia="Arial" w:hAnsi="Arial"/>
                <w:sz w:val="17"/>
                <w:szCs w:val="17"/>
                <w:color w:val="auto"/>
              </w:rPr>
              <w:t>660,000</w:t>
            </w:r>
          </w:p>
        </w:tc>
        <w:tc>
          <w:tcPr>
            <w:tcW w:w="1360" w:type="dxa"/>
            <w:vAlign w:val="bottom"/>
            <w:gridSpan w:val="2"/>
            <w:shd w:val="clear" w:color="auto" w:fill="D8D8D8"/>
          </w:tcPr>
          <w:p>
            <w:pPr>
              <w:jc w:val="right"/>
              <w:ind w:right="320"/>
              <w:spacing w:after="0" w:line="192" w:lineRule="exact"/>
              <w:rPr>
                <w:sz w:val="20"/>
                <w:szCs w:val="20"/>
                <w:color w:val="auto"/>
              </w:rPr>
            </w:pPr>
            <w:r>
              <w:rPr>
                <w:rFonts w:ascii="Arial" w:cs="Arial" w:eastAsia="Arial" w:hAnsi="Arial"/>
                <w:sz w:val="17"/>
                <w:szCs w:val="17"/>
                <w:color w:val="auto"/>
              </w:rPr>
              <w:t>22,624</w:t>
            </w:r>
          </w:p>
        </w:tc>
        <w:tc>
          <w:tcPr>
            <w:tcW w:w="1060" w:type="dxa"/>
            <w:vAlign w:val="bottom"/>
            <w:gridSpan w:val="2"/>
            <w:shd w:val="clear" w:color="auto" w:fill="D8D8D8"/>
          </w:tcPr>
          <w:p>
            <w:pPr>
              <w:ind w:left="480"/>
              <w:spacing w:after="0" w:line="192"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D8D8D8"/>
          </w:tcPr>
          <w:p>
            <w:pPr>
              <w:ind w:left="380"/>
              <w:spacing w:after="0" w:line="192" w:lineRule="exact"/>
              <w:rPr>
                <w:sz w:val="20"/>
                <w:szCs w:val="20"/>
                <w:color w:val="auto"/>
              </w:rPr>
            </w:pPr>
            <w:r>
              <w:rPr>
                <w:rFonts w:ascii="Arial" w:cs="Arial" w:eastAsia="Arial" w:hAnsi="Arial"/>
                <w:sz w:val="17"/>
                <w:szCs w:val="17"/>
                <w:color w:val="auto"/>
              </w:rPr>
              <w:t>22,500</w:t>
            </w:r>
          </w:p>
        </w:tc>
        <w:tc>
          <w:tcPr>
            <w:tcW w:w="1220" w:type="dxa"/>
            <w:vAlign w:val="bottom"/>
            <w:gridSpan w:val="2"/>
            <w:shd w:val="clear" w:color="auto" w:fill="D8D8D8"/>
          </w:tcPr>
          <w:p>
            <w:pPr>
              <w:jc w:val="right"/>
              <w:ind w:right="320"/>
              <w:spacing w:after="0" w:line="192" w:lineRule="exact"/>
              <w:rPr>
                <w:sz w:val="20"/>
                <w:szCs w:val="20"/>
                <w:color w:val="auto"/>
              </w:rPr>
            </w:pPr>
            <w:r>
              <w:rPr>
                <w:rFonts w:ascii="Arial" w:cs="Arial" w:eastAsia="Arial" w:hAnsi="Arial"/>
                <w:sz w:val="17"/>
                <w:szCs w:val="17"/>
                <w:color w:val="auto"/>
              </w:rPr>
              <w:t>97,912</w:t>
            </w:r>
          </w:p>
        </w:tc>
        <w:tc>
          <w:tcPr>
            <w:tcW w:w="1040" w:type="dxa"/>
            <w:vAlign w:val="bottom"/>
            <w:gridSpan w:val="2"/>
            <w:shd w:val="clear" w:color="auto" w:fill="D8D8D8"/>
          </w:tcPr>
          <w:p>
            <w:pPr>
              <w:jc w:val="right"/>
              <w:ind w:right="120"/>
              <w:spacing w:after="0" w:line="192" w:lineRule="exact"/>
              <w:rPr>
                <w:sz w:val="20"/>
                <w:szCs w:val="20"/>
                <w:color w:val="auto"/>
              </w:rPr>
            </w:pPr>
            <w:r>
              <w:rPr>
                <w:rFonts w:ascii="Arial" w:cs="Arial" w:eastAsia="Arial" w:hAnsi="Arial"/>
                <w:sz w:val="17"/>
                <w:szCs w:val="17"/>
                <w:color w:val="auto"/>
              </w:rPr>
              <w:t>803,036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64770</wp:posOffset>
            </wp:positionV>
            <wp:extent cx="7226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4" w:lineRule="exact"/>
        <w:rPr>
          <w:sz w:val="20"/>
          <w:szCs w:val="20"/>
          <w:color w:val="auto"/>
        </w:rPr>
      </w:pPr>
    </w:p>
    <w:p>
      <w:pPr>
        <w:ind w:left="900" w:right="80" w:hanging="450"/>
        <w:spacing w:after="0" w:line="241"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For the Named Executive Officers active as of December 31, 2011, the amounts reflect the following: two years of base salary continuation for Ms. Rosenfeld and one year of base salary continuation for Messrs. Brearton, McLevish, Khosla and Vernon and Ms. West.</w:t>
      </w:r>
    </w:p>
    <w:p>
      <w:pPr>
        <w:spacing w:after="0" w:line="55" w:lineRule="exact"/>
        <w:rPr>
          <w:rFonts w:ascii="Arial" w:cs="Arial" w:eastAsia="Arial" w:hAnsi="Arial"/>
          <w:sz w:val="17"/>
          <w:szCs w:val="17"/>
          <w:color w:val="auto"/>
        </w:rPr>
      </w:pPr>
    </w:p>
    <w:p>
      <w:pPr>
        <w:ind w:left="900" w:right="20" w:hanging="450"/>
        <w:spacing w:after="0" w:line="238"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amounts reflect two years of medical, dental, long-term disability and life insurance premiums for Ms. Rosenfeld, and one year of medical, dental, long-term disability and life insurance premiums for the other Named Executive Officers. The amount also includes a retiree medical benefit with a present value of $420,000 for Ms. Rosenfeld as she would be eligible for retiree medical benefits at the end of the separation pay period.</w:t>
      </w:r>
    </w:p>
    <w:p>
      <w:pPr>
        <w:spacing w:after="0" w:line="56" w:lineRule="exact"/>
        <w:rPr>
          <w:rFonts w:ascii="Arial" w:cs="Arial" w:eastAsia="Arial" w:hAnsi="Arial"/>
          <w:sz w:val="17"/>
          <w:szCs w:val="17"/>
          <w:color w:val="auto"/>
        </w:rPr>
      </w:pPr>
    </w:p>
    <w:p>
      <w:pPr>
        <w:ind w:left="900" w:right="260" w:hanging="450"/>
        <w:spacing w:after="0" w:line="271"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Per the terms of Mr. Vernon’s employment offer letter, all unvested restricted shares granted to him as sign-on equity awards will continue to vest on the scheduled vesting dates. The value of the shares is based on a December 30, 2011 closing stock price of $37.36.</w:t>
      </w:r>
    </w:p>
    <w:p>
      <w:pPr>
        <w:spacing w:after="0" w:line="32" w:lineRule="exact"/>
        <w:rPr>
          <w:rFonts w:ascii="Arial" w:cs="Arial" w:eastAsia="Arial" w:hAnsi="Arial"/>
          <w:sz w:val="16"/>
          <w:szCs w:val="16"/>
          <w:color w:val="auto"/>
        </w:rPr>
      </w:pPr>
    </w:p>
    <w:p>
      <w:pPr>
        <w:ind w:left="900" w:right="300" w:hanging="450"/>
        <w:spacing w:after="0" w:line="241"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amounts reflect the value of financial counseling and car allowances for two years for Ms. Rosenfeld and one year for the other Named Executive Officers.</w:t>
      </w:r>
    </w:p>
    <w:p>
      <w:pPr>
        <w:spacing w:after="0" w:line="55" w:lineRule="exact"/>
        <w:rPr>
          <w:rFonts w:ascii="Arial" w:cs="Arial" w:eastAsia="Arial" w:hAnsi="Arial"/>
          <w:sz w:val="17"/>
          <w:szCs w:val="17"/>
          <w:color w:val="auto"/>
        </w:rPr>
      </w:pPr>
    </w:p>
    <w:p>
      <w:pPr>
        <w:ind w:left="900" w:right="100" w:hanging="450"/>
        <w:spacing w:after="0" w:line="241"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amounts reflect two years of additional pension accrual for Ms. Rosenfeld and one year of additional pension accrual for the other Named Executive Officers.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443" w:right="2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Change in Control Arrangements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 key elements of the CIC Plan, including amendments, are provided in the table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Plan Element</w:t>
            </w:r>
          </w:p>
        </w:tc>
        <w:tc>
          <w:tcPr>
            <w:tcW w:w="220" w:type="dxa"/>
            <w:vAlign w:val="bottom"/>
          </w:tcPr>
          <w:p>
            <w:pPr>
              <w:spacing w:after="0"/>
              <w:rPr>
                <w:sz w:val="14"/>
                <w:szCs w:val="14"/>
                <w:color w:val="auto"/>
              </w:rPr>
            </w:pPr>
          </w:p>
        </w:tc>
        <w:tc>
          <w:tcPr>
            <w:tcW w:w="7880" w:type="dxa"/>
            <w:vAlign w:val="bottom"/>
            <w:tcBorders>
              <w:bottom w:val="single" w:sz="8" w:color="auto"/>
            </w:tcBorders>
          </w:tcPr>
          <w:p>
            <w:pPr>
              <w:ind w:left="3600"/>
              <w:spacing w:after="0"/>
              <w:rPr>
                <w:sz w:val="20"/>
                <w:szCs w:val="20"/>
                <w:color w:val="auto"/>
              </w:rPr>
            </w:pPr>
            <w:r>
              <w:rPr>
                <w:rFonts w:ascii="Arial" w:cs="Arial" w:eastAsia="Arial" w:hAnsi="Arial"/>
                <w:sz w:val="13"/>
                <w:szCs w:val="13"/>
                <w:b w:val="1"/>
                <w:bCs w:val="1"/>
                <w:color w:val="auto"/>
              </w:rPr>
              <w:t>Description</w:t>
            </w:r>
          </w:p>
        </w:tc>
      </w:tr>
      <w:tr>
        <w:trPr>
          <w:trHeight w:val="196"/>
        </w:trPr>
        <w:tc>
          <w:tcPr>
            <w:tcW w:w="3320" w:type="dxa"/>
            <w:vAlign w:val="bottom"/>
          </w:tcPr>
          <w:p>
            <w:pPr>
              <w:spacing w:after="0"/>
              <w:rPr>
                <w:sz w:val="20"/>
                <w:szCs w:val="20"/>
                <w:color w:val="auto"/>
              </w:rPr>
            </w:pPr>
            <w:r>
              <w:rPr>
                <w:rFonts w:ascii="Arial" w:cs="Arial" w:eastAsia="Arial" w:hAnsi="Arial"/>
                <w:sz w:val="17"/>
                <w:szCs w:val="17"/>
                <w:color w:val="auto"/>
              </w:rPr>
              <w:t>Definition of Change in Control (“CIC”)</w:t>
            </w:r>
          </w:p>
        </w:tc>
        <w:tc>
          <w:tcPr>
            <w:tcW w:w="220" w:type="dxa"/>
            <w:vAlign w:val="bottom"/>
          </w:tcPr>
          <w:p>
            <w:pPr>
              <w:spacing w:after="0"/>
              <w:rPr>
                <w:sz w:val="17"/>
                <w:szCs w:val="17"/>
                <w:color w:val="auto"/>
              </w:rPr>
            </w:pPr>
          </w:p>
        </w:tc>
        <w:tc>
          <w:tcPr>
            <w:tcW w:w="7880" w:type="dxa"/>
            <w:vAlign w:val="bottom"/>
          </w:tcPr>
          <w:p>
            <w:pPr>
              <w:spacing w:after="0"/>
              <w:rPr>
                <w:sz w:val="20"/>
                <w:szCs w:val="20"/>
                <w:color w:val="auto"/>
              </w:rPr>
            </w:pPr>
            <w:r>
              <w:rPr>
                <w:rFonts w:ascii="Arial" w:cs="Arial" w:eastAsia="Arial" w:hAnsi="Arial"/>
                <w:sz w:val="17"/>
                <w:szCs w:val="17"/>
                <w:color w:val="auto"/>
              </w:rPr>
              <w:t>Subject to certain exceptions, the occurrence of one of the conditions below:</w:t>
            </w:r>
          </w:p>
        </w:tc>
      </w:tr>
      <w:tr>
        <w:trPr>
          <w:trHeight w:val="260"/>
        </w:trPr>
        <w:tc>
          <w:tcPr>
            <w:tcW w:w="3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80" w:type="dxa"/>
            <w:vAlign w:val="bottom"/>
          </w:tcPr>
          <w:p>
            <w:pPr>
              <w:ind w:left="100"/>
              <w:spacing w:after="0"/>
              <w:rPr>
                <w:sz w:val="20"/>
                <w:szCs w:val="20"/>
                <w:color w:val="auto"/>
              </w:rPr>
            </w:pPr>
            <w:r>
              <w:rPr>
                <w:rFonts w:ascii="Arial" w:cs="Arial" w:eastAsia="Arial" w:hAnsi="Arial"/>
                <w:sz w:val="17"/>
                <w:szCs w:val="17"/>
                <w:color w:val="auto"/>
              </w:rPr>
              <w:t>•   Acquisition of 20% or more of our outstanding voting securities;</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100"/>
              <w:spacing w:after="0" w:line="192" w:lineRule="exact"/>
              <w:rPr>
                <w:sz w:val="20"/>
                <w:szCs w:val="20"/>
                <w:color w:val="auto"/>
              </w:rPr>
            </w:pPr>
            <w:r>
              <w:rPr>
                <w:rFonts w:ascii="Arial" w:cs="Arial" w:eastAsia="Arial" w:hAnsi="Arial"/>
                <w:sz w:val="17"/>
                <w:szCs w:val="17"/>
                <w:color w:val="auto"/>
                <w:w w:val="99"/>
              </w:rPr>
              <w:t>•   Changes to Board membership during any consecutive 24-month period that results in less than 50%</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420"/>
              <w:spacing w:after="0" w:line="192" w:lineRule="exact"/>
              <w:rPr>
                <w:sz w:val="20"/>
                <w:szCs w:val="20"/>
                <w:color w:val="auto"/>
              </w:rPr>
            </w:pPr>
            <w:r>
              <w:rPr>
                <w:rFonts w:ascii="Arial" w:cs="Arial" w:eastAsia="Arial" w:hAnsi="Arial"/>
                <w:sz w:val="17"/>
                <w:szCs w:val="17"/>
                <w:color w:val="auto"/>
              </w:rPr>
              <w:t>of the current Board members elected to the Board;</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100"/>
              <w:spacing w:after="0" w:line="192" w:lineRule="exact"/>
              <w:rPr>
                <w:sz w:val="20"/>
                <w:szCs w:val="20"/>
                <w:color w:val="auto"/>
              </w:rPr>
            </w:pPr>
            <w:r>
              <w:rPr>
                <w:rFonts w:ascii="Arial" w:cs="Arial" w:eastAsia="Arial" w:hAnsi="Arial"/>
                <w:sz w:val="17"/>
                <w:szCs w:val="17"/>
                <w:color w:val="auto"/>
              </w:rPr>
              <w:t>•   Our merger or consolidation with another company, and</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420"/>
              <w:spacing w:after="0" w:line="192" w:lineRule="exact"/>
              <w:rPr>
                <w:sz w:val="20"/>
                <w:szCs w:val="20"/>
                <w:color w:val="auto"/>
              </w:rPr>
            </w:pPr>
            <w:r>
              <w:rPr>
                <w:rFonts w:ascii="Arial" w:cs="Arial" w:eastAsia="Arial" w:hAnsi="Arial"/>
                <w:sz w:val="17"/>
                <w:szCs w:val="17"/>
                <w:color w:val="auto"/>
              </w:rPr>
              <w:t>a)  we are not the surviving company; or</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420"/>
              <w:spacing w:after="0" w:line="192" w:lineRule="exact"/>
              <w:rPr>
                <w:sz w:val="20"/>
                <w:szCs w:val="20"/>
                <w:color w:val="auto"/>
              </w:rPr>
            </w:pPr>
            <w:r>
              <w:rPr>
                <w:rFonts w:ascii="Arial" w:cs="Arial" w:eastAsia="Arial" w:hAnsi="Arial"/>
                <w:sz w:val="17"/>
                <w:szCs w:val="17"/>
                <w:color w:val="auto"/>
              </w:rPr>
              <w:t>b)  the other entity owns 50% or more of our outstanding voting securities; or</w:t>
            </w:r>
          </w:p>
        </w:tc>
      </w:tr>
      <w:tr>
        <w:trPr>
          <w:trHeight w:val="201"/>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80" w:type="dxa"/>
            <w:vAlign w:val="bottom"/>
          </w:tcPr>
          <w:p>
            <w:pPr>
              <w:ind w:left="100"/>
              <w:spacing w:after="0"/>
              <w:rPr>
                <w:sz w:val="20"/>
                <w:szCs w:val="20"/>
                <w:color w:val="auto"/>
              </w:rPr>
            </w:pPr>
            <w:r>
              <w:rPr>
                <w:rFonts w:ascii="Arial" w:cs="Arial" w:eastAsia="Arial" w:hAnsi="Arial"/>
                <w:sz w:val="17"/>
                <w:szCs w:val="17"/>
                <w:color w:val="auto"/>
              </w:rPr>
              <w:t>•   Complete liquidation of Kraft Foods or the sale of all or substantially all of our assets.</w:t>
            </w:r>
          </w:p>
        </w:tc>
      </w:tr>
      <w:tr>
        <w:trPr>
          <w:trHeight w:val="298"/>
        </w:trPr>
        <w:tc>
          <w:tcPr>
            <w:tcW w:w="3320" w:type="dxa"/>
            <w:vAlign w:val="bottom"/>
            <w:shd w:val="clear" w:color="auto" w:fill="D8D8D8"/>
          </w:tcPr>
          <w:p>
            <w:pPr>
              <w:spacing w:after="0"/>
              <w:rPr>
                <w:sz w:val="20"/>
                <w:szCs w:val="20"/>
                <w:color w:val="auto"/>
              </w:rPr>
            </w:pPr>
            <w:r>
              <w:rPr>
                <w:rFonts w:ascii="Arial" w:cs="Arial" w:eastAsia="Arial" w:hAnsi="Arial"/>
                <w:sz w:val="17"/>
                <w:szCs w:val="17"/>
                <w:color w:val="auto"/>
              </w:rPr>
              <w:t>Double Trigger for Payment of Separation</w:t>
            </w:r>
          </w:p>
        </w:tc>
        <w:tc>
          <w:tcPr>
            <w:tcW w:w="220" w:type="dxa"/>
            <w:vAlign w:val="bottom"/>
            <w:shd w:val="clear" w:color="auto" w:fill="D8D8D8"/>
          </w:tcPr>
          <w:p>
            <w:pPr>
              <w:spacing w:after="0"/>
              <w:rPr>
                <w:sz w:val="24"/>
                <w:szCs w:val="24"/>
                <w:color w:val="auto"/>
              </w:rPr>
            </w:pPr>
          </w:p>
        </w:tc>
        <w:tc>
          <w:tcPr>
            <w:tcW w:w="7880" w:type="dxa"/>
            <w:vAlign w:val="bottom"/>
            <w:shd w:val="clear" w:color="auto" w:fill="D8D8D8"/>
          </w:tcPr>
          <w:p>
            <w:pPr>
              <w:ind w:left="100"/>
              <w:spacing w:after="0"/>
              <w:rPr>
                <w:sz w:val="20"/>
                <w:szCs w:val="20"/>
                <w:color w:val="auto"/>
              </w:rPr>
            </w:pPr>
            <w:r>
              <w:rPr>
                <w:rFonts w:ascii="Arial" w:cs="Arial" w:eastAsia="Arial" w:hAnsi="Arial"/>
                <w:sz w:val="17"/>
                <w:szCs w:val="17"/>
                <w:color w:val="auto"/>
              </w:rPr>
              <w:t>•   Consummation of a CIC; and</w:t>
            </w:r>
          </w:p>
        </w:tc>
      </w:tr>
      <w:tr>
        <w:trPr>
          <w:trHeight w:val="192"/>
        </w:trPr>
        <w:tc>
          <w:tcPr>
            <w:tcW w:w="3320" w:type="dxa"/>
            <w:vAlign w:val="bottom"/>
            <w:shd w:val="clear" w:color="auto" w:fill="D8D8D8"/>
          </w:tcPr>
          <w:p>
            <w:pPr>
              <w:ind w:left="200"/>
              <w:spacing w:after="0" w:line="192" w:lineRule="exact"/>
              <w:rPr>
                <w:sz w:val="20"/>
                <w:szCs w:val="20"/>
                <w:color w:val="auto"/>
              </w:rPr>
            </w:pPr>
            <w:r>
              <w:rPr>
                <w:rFonts w:ascii="Arial" w:cs="Arial" w:eastAsia="Arial" w:hAnsi="Arial"/>
                <w:sz w:val="17"/>
                <w:szCs w:val="17"/>
                <w:color w:val="auto"/>
              </w:rPr>
              <w:t>Benefits under CIC Plan</w:t>
            </w:r>
          </w:p>
        </w:tc>
        <w:tc>
          <w:tcPr>
            <w:tcW w:w="220" w:type="dxa"/>
            <w:vAlign w:val="bottom"/>
            <w:shd w:val="clear" w:color="auto" w:fill="D8D8D8"/>
          </w:tcPr>
          <w:p>
            <w:pPr>
              <w:spacing w:after="0"/>
              <w:rPr>
                <w:sz w:val="16"/>
                <w:szCs w:val="16"/>
                <w:color w:val="auto"/>
              </w:rPr>
            </w:pPr>
          </w:p>
        </w:tc>
        <w:tc>
          <w:tcPr>
            <w:tcW w:w="788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   Termination of employment by Kraft Foods other than for “cause,” as a result of death or disability or</w:t>
            </w:r>
          </w:p>
        </w:tc>
      </w:tr>
      <w:tr>
        <w:trPr>
          <w:trHeight w:val="192"/>
        </w:trPr>
        <w:tc>
          <w:tcPr>
            <w:tcW w:w="332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880" w:type="dxa"/>
            <w:vAlign w:val="bottom"/>
            <w:shd w:val="clear" w:color="auto" w:fill="D8D8D8"/>
          </w:tcPr>
          <w:p>
            <w:pPr>
              <w:ind w:left="420"/>
              <w:spacing w:after="0" w:line="192" w:lineRule="exact"/>
              <w:rPr>
                <w:sz w:val="20"/>
                <w:szCs w:val="20"/>
                <w:color w:val="auto"/>
              </w:rPr>
            </w:pPr>
            <w:r>
              <w:rPr>
                <w:rFonts w:ascii="Arial" w:cs="Arial" w:eastAsia="Arial" w:hAnsi="Arial"/>
                <w:sz w:val="17"/>
                <w:szCs w:val="17"/>
                <w:color w:val="auto"/>
                <w:w w:val="99"/>
              </w:rPr>
              <w:t>by the executive officer for “good reason,” and the termination of employment satisfies the definition</w:t>
            </w:r>
          </w:p>
        </w:tc>
      </w:tr>
      <w:tr>
        <w:trPr>
          <w:trHeight w:val="202"/>
        </w:trPr>
        <w:tc>
          <w:tcPr>
            <w:tcW w:w="332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7880" w:type="dxa"/>
            <w:vAlign w:val="bottom"/>
            <w:shd w:val="clear" w:color="auto" w:fill="D8D8D8"/>
          </w:tcPr>
          <w:p>
            <w:pPr>
              <w:ind w:left="420"/>
              <w:spacing w:after="0"/>
              <w:rPr>
                <w:sz w:val="20"/>
                <w:szCs w:val="20"/>
                <w:color w:val="auto"/>
              </w:rPr>
            </w:pPr>
            <w:r>
              <w:rPr>
                <w:rFonts w:ascii="Arial" w:cs="Arial" w:eastAsia="Arial" w:hAnsi="Arial"/>
                <w:sz w:val="17"/>
                <w:szCs w:val="17"/>
                <w:color w:val="auto"/>
              </w:rPr>
              <w:t>of a “separation from service” under Section 409A.</w:t>
            </w:r>
          </w:p>
        </w:tc>
      </w:tr>
      <w:tr>
        <w:trPr>
          <w:trHeight w:val="297"/>
        </w:trPr>
        <w:tc>
          <w:tcPr>
            <w:tcW w:w="3320" w:type="dxa"/>
            <w:vAlign w:val="bottom"/>
          </w:tcPr>
          <w:p>
            <w:pPr>
              <w:spacing w:after="0"/>
              <w:rPr>
                <w:sz w:val="20"/>
                <w:szCs w:val="20"/>
                <w:color w:val="auto"/>
              </w:rPr>
            </w:pPr>
            <w:r>
              <w:rPr>
                <w:rFonts w:ascii="Arial" w:cs="Arial" w:eastAsia="Arial" w:hAnsi="Arial"/>
                <w:sz w:val="17"/>
                <w:szCs w:val="17"/>
                <w:color w:val="auto"/>
              </w:rPr>
              <w:t>Definition of “Cause”</w:t>
            </w:r>
          </w:p>
        </w:tc>
        <w:tc>
          <w:tcPr>
            <w:tcW w:w="22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Arial" w:cs="Arial" w:eastAsia="Arial" w:hAnsi="Arial"/>
                <w:sz w:val="17"/>
                <w:szCs w:val="17"/>
                <w:color w:val="auto"/>
              </w:rPr>
              <w:t>•   Continued failure to substantially perform the participant’s job duties (other than resulting from</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420"/>
              <w:spacing w:after="0" w:line="192" w:lineRule="exact"/>
              <w:rPr>
                <w:sz w:val="20"/>
                <w:szCs w:val="20"/>
                <w:color w:val="auto"/>
              </w:rPr>
            </w:pPr>
            <w:r>
              <w:rPr>
                <w:rFonts w:ascii="Arial" w:cs="Arial" w:eastAsia="Arial" w:hAnsi="Arial"/>
                <w:sz w:val="17"/>
                <w:szCs w:val="17"/>
                <w:color w:val="auto"/>
              </w:rPr>
              <w:t>incapacity due to disability);</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100"/>
              <w:spacing w:after="0" w:line="192" w:lineRule="exact"/>
              <w:rPr>
                <w:sz w:val="20"/>
                <w:szCs w:val="20"/>
                <w:color w:val="auto"/>
              </w:rPr>
            </w:pPr>
            <w:r>
              <w:rPr>
                <w:rFonts w:ascii="Arial" w:cs="Arial" w:eastAsia="Arial" w:hAnsi="Arial"/>
                <w:sz w:val="17"/>
                <w:szCs w:val="17"/>
                <w:color w:val="auto"/>
              </w:rPr>
              <w:t>•   Gross negligence, dishonesty or violation of any reasonable rule or regulation of Kraft Foods where</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420"/>
              <w:spacing w:after="0" w:line="192" w:lineRule="exact"/>
              <w:rPr>
                <w:sz w:val="20"/>
                <w:szCs w:val="20"/>
                <w:color w:val="auto"/>
              </w:rPr>
            </w:pPr>
            <w:r>
              <w:rPr>
                <w:rFonts w:ascii="Arial" w:cs="Arial" w:eastAsia="Arial" w:hAnsi="Arial"/>
                <w:sz w:val="17"/>
                <w:szCs w:val="17"/>
                <w:color w:val="auto"/>
              </w:rPr>
              <w:t>the violation results in significant damage to Kraft Foods; or</w:t>
            </w:r>
          </w:p>
        </w:tc>
      </w:tr>
      <w:tr>
        <w:trPr>
          <w:trHeight w:val="201"/>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80" w:type="dxa"/>
            <w:vAlign w:val="bottom"/>
          </w:tcPr>
          <w:p>
            <w:pPr>
              <w:ind w:left="100"/>
              <w:spacing w:after="0"/>
              <w:rPr>
                <w:sz w:val="20"/>
                <w:szCs w:val="20"/>
                <w:color w:val="auto"/>
              </w:rPr>
            </w:pPr>
            <w:r>
              <w:rPr>
                <w:rFonts w:ascii="Arial" w:cs="Arial" w:eastAsia="Arial" w:hAnsi="Arial"/>
                <w:sz w:val="17"/>
                <w:szCs w:val="17"/>
                <w:color w:val="auto"/>
              </w:rPr>
              <w:t>•   Engaging in other conduct that adversely reflects on Kraft Foods in any material respect.</w:t>
            </w:r>
          </w:p>
        </w:tc>
      </w:tr>
      <w:tr>
        <w:trPr>
          <w:trHeight w:val="298"/>
        </w:trPr>
        <w:tc>
          <w:tcPr>
            <w:tcW w:w="3320" w:type="dxa"/>
            <w:vAlign w:val="bottom"/>
            <w:shd w:val="clear" w:color="auto" w:fill="D8D8D8"/>
          </w:tcPr>
          <w:p>
            <w:pPr>
              <w:spacing w:after="0"/>
              <w:rPr>
                <w:sz w:val="20"/>
                <w:szCs w:val="20"/>
                <w:color w:val="auto"/>
              </w:rPr>
            </w:pPr>
            <w:r>
              <w:rPr>
                <w:rFonts w:ascii="Arial" w:cs="Arial" w:eastAsia="Arial" w:hAnsi="Arial"/>
                <w:sz w:val="17"/>
                <w:szCs w:val="17"/>
                <w:color w:val="auto"/>
              </w:rPr>
              <w:t>Definition of “Good Reason”</w:t>
            </w:r>
          </w:p>
        </w:tc>
        <w:tc>
          <w:tcPr>
            <w:tcW w:w="220" w:type="dxa"/>
            <w:vAlign w:val="bottom"/>
            <w:shd w:val="clear" w:color="auto" w:fill="D8D8D8"/>
          </w:tcPr>
          <w:p>
            <w:pPr>
              <w:spacing w:after="0"/>
              <w:rPr>
                <w:sz w:val="24"/>
                <w:szCs w:val="24"/>
                <w:color w:val="auto"/>
              </w:rPr>
            </w:pPr>
          </w:p>
        </w:tc>
        <w:tc>
          <w:tcPr>
            <w:tcW w:w="7880" w:type="dxa"/>
            <w:vAlign w:val="bottom"/>
            <w:shd w:val="clear" w:color="auto" w:fill="D8D8D8"/>
          </w:tcPr>
          <w:p>
            <w:pPr>
              <w:spacing w:after="0"/>
              <w:rPr>
                <w:sz w:val="20"/>
                <w:szCs w:val="20"/>
                <w:color w:val="auto"/>
              </w:rPr>
            </w:pPr>
            <w:r>
              <w:rPr>
                <w:rFonts w:ascii="Arial" w:cs="Arial" w:eastAsia="Arial" w:hAnsi="Arial"/>
                <w:sz w:val="17"/>
                <w:szCs w:val="17"/>
                <w:color w:val="auto"/>
              </w:rPr>
              <w:t>We take any other action that results in the following:</w:t>
            </w:r>
          </w:p>
        </w:tc>
      </w:tr>
      <w:tr>
        <w:trPr>
          <w:trHeight w:val="192"/>
        </w:trPr>
        <w:tc>
          <w:tcPr>
            <w:tcW w:w="332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88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   Material reduction in job duties;</w:t>
            </w:r>
          </w:p>
        </w:tc>
      </w:tr>
      <w:tr>
        <w:trPr>
          <w:trHeight w:val="192"/>
        </w:trPr>
        <w:tc>
          <w:tcPr>
            <w:tcW w:w="332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88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   Material reduction in compensation;</w:t>
            </w:r>
          </w:p>
        </w:tc>
      </w:tr>
      <w:tr>
        <w:trPr>
          <w:trHeight w:val="192"/>
        </w:trPr>
        <w:tc>
          <w:tcPr>
            <w:tcW w:w="332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88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   Relocation beyond 50 miles; or</w:t>
            </w:r>
          </w:p>
        </w:tc>
      </w:tr>
      <w:tr>
        <w:trPr>
          <w:trHeight w:val="202"/>
        </w:trPr>
        <w:tc>
          <w:tcPr>
            <w:tcW w:w="332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7880" w:type="dxa"/>
            <w:vAlign w:val="bottom"/>
            <w:shd w:val="clear" w:color="auto" w:fill="D8D8D8"/>
          </w:tcPr>
          <w:p>
            <w:pPr>
              <w:ind w:left="100"/>
              <w:spacing w:after="0"/>
              <w:rPr>
                <w:sz w:val="20"/>
                <w:szCs w:val="20"/>
                <w:color w:val="auto"/>
              </w:rPr>
            </w:pPr>
            <w:r>
              <w:rPr>
                <w:rFonts w:ascii="Arial" w:cs="Arial" w:eastAsia="Arial" w:hAnsi="Arial"/>
                <w:sz w:val="17"/>
                <w:szCs w:val="17"/>
                <w:color w:val="auto"/>
              </w:rPr>
              <w:t>•   Increased business travel.</w:t>
            </w:r>
          </w:p>
        </w:tc>
      </w:tr>
      <w:tr>
        <w:trPr>
          <w:trHeight w:val="297"/>
        </w:trPr>
        <w:tc>
          <w:tcPr>
            <w:tcW w:w="3320" w:type="dxa"/>
            <w:vAlign w:val="bottom"/>
          </w:tcPr>
          <w:p>
            <w:pPr>
              <w:spacing w:after="0"/>
              <w:rPr>
                <w:sz w:val="20"/>
                <w:szCs w:val="20"/>
                <w:color w:val="auto"/>
              </w:rPr>
            </w:pPr>
            <w:r>
              <w:rPr>
                <w:rFonts w:ascii="Arial" w:cs="Arial" w:eastAsia="Arial" w:hAnsi="Arial"/>
                <w:sz w:val="17"/>
                <w:szCs w:val="17"/>
                <w:color w:val="auto"/>
              </w:rPr>
              <w:t>Severance Amounts</w:t>
            </w:r>
          </w:p>
        </w:tc>
        <w:tc>
          <w:tcPr>
            <w:tcW w:w="22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Arial" w:cs="Arial" w:eastAsia="Arial" w:hAnsi="Arial"/>
                <w:sz w:val="17"/>
                <w:szCs w:val="17"/>
                <w:color w:val="auto"/>
              </w:rPr>
              <w:t>•   CEO – three times base salary plus target annual cash incentive;</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100"/>
              <w:spacing w:after="0" w:line="192" w:lineRule="exact"/>
              <w:rPr>
                <w:sz w:val="20"/>
                <w:szCs w:val="20"/>
                <w:color w:val="auto"/>
              </w:rPr>
            </w:pPr>
            <w:r>
              <w:rPr>
                <w:rFonts w:ascii="Arial" w:cs="Arial" w:eastAsia="Arial" w:hAnsi="Arial"/>
                <w:sz w:val="17"/>
                <w:szCs w:val="17"/>
                <w:color w:val="auto"/>
              </w:rPr>
              <w:t>•   All other Named Executive Officers – two times base salary plus target annual cash incentive;</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100"/>
              <w:spacing w:after="0" w:line="192" w:lineRule="exact"/>
              <w:rPr>
                <w:sz w:val="20"/>
                <w:szCs w:val="20"/>
                <w:color w:val="auto"/>
              </w:rPr>
            </w:pPr>
            <w:r>
              <w:rPr>
                <w:rFonts w:ascii="Arial" w:cs="Arial" w:eastAsia="Arial" w:hAnsi="Arial"/>
                <w:sz w:val="17"/>
                <w:szCs w:val="17"/>
                <w:color w:val="auto"/>
              </w:rPr>
              <w:t>•   Additional credited years of pension service and welfare benefits equal, in years, to the severance</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420"/>
              <w:spacing w:after="0" w:line="192" w:lineRule="exact"/>
              <w:rPr>
                <w:sz w:val="20"/>
                <w:szCs w:val="20"/>
                <w:color w:val="auto"/>
              </w:rPr>
            </w:pPr>
            <w:r>
              <w:rPr>
                <w:rFonts w:ascii="Arial" w:cs="Arial" w:eastAsia="Arial" w:hAnsi="Arial"/>
                <w:sz w:val="17"/>
                <w:szCs w:val="17"/>
                <w:color w:val="auto"/>
              </w:rPr>
              <w:t>multiple within Section 409A standards;</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100"/>
              <w:spacing w:after="0" w:line="192" w:lineRule="exact"/>
              <w:rPr>
                <w:sz w:val="20"/>
                <w:szCs w:val="20"/>
                <w:color w:val="auto"/>
              </w:rPr>
            </w:pPr>
            <w:r>
              <w:rPr>
                <w:rFonts w:ascii="Arial" w:cs="Arial" w:eastAsia="Arial" w:hAnsi="Arial"/>
                <w:sz w:val="17"/>
                <w:szCs w:val="17"/>
                <w:color w:val="auto"/>
                <w:w w:val="99"/>
              </w:rPr>
              <w:t>•   Continuation of financial counseling and car allowances for three years for the CEO and two years for</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420"/>
              <w:spacing w:after="0" w:line="192" w:lineRule="exact"/>
              <w:rPr>
                <w:sz w:val="20"/>
                <w:szCs w:val="20"/>
                <w:color w:val="auto"/>
              </w:rPr>
            </w:pPr>
            <w:r>
              <w:rPr>
                <w:rFonts w:ascii="Arial" w:cs="Arial" w:eastAsia="Arial" w:hAnsi="Arial"/>
                <w:sz w:val="17"/>
                <w:szCs w:val="17"/>
                <w:color w:val="auto"/>
              </w:rPr>
              <w:t>the other Named Executive Officers;</w:t>
            </w:r>
          </w:p>
        </w:tc>
      </w:tr>
      <w:tr>
        <w:trPr>
          <w:trHeight w:val="192"/>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80" w:type="dxa"/>
            <w:vAlign w:val="bottom"/>
          </w:tcPr>
          <w:p>
            <w:pPr>
              <w:ind w:left="100"/>
              <w:spacing w:after="0" w:line="192" w:lineRule="exact"/>
              <w:rPr>
                <w:sz w:val="20"/>
                <w:szCs w:val="20"/>
                <w:color w:val="auto"/>
              </w:rPr>
            </w:pPr>
            <w:r>
              <w:rPr>
                <w:rFonts w:ascii="Arial" w:cs="Arial" w:eastAsia="Arial" w:hAnsi="Arial"/>
                <w:sz w:val="17"/>
                <w:szCs w:val="17"/>
                <w:color w:val="auto"/>
              </w:rPr>
              <w:t>•   Outplacement services up to two years following the CIC; and</w:t>
            </w:r>
          </w:p>
        </w:tc>
      </w:tr>
      <w:tr>
        <w:trPr>
          <w:trHeight w:val="201"/>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80" w:type="dxa"/>
            <w:vAlign w:val="bottom"/>
          </w:tcPr>
          <w:p>
            <w:pPr>
              <w:ind w:left="100"/>
              <w:spacing w:after="0"/>
              <w:rPr>
                <w:sz w:val="20"/>
                <w:szCs w:val="20"/>
                <w:color w:val="auto"/>
              </w:rPr>
            </w:pPr>
            <w:r>
              <w:rPr>
                <w:rFonts w:ascii="Arial" w:cs="Arial" w:eastAsia="Arial" w:hAnsi="Arial"/>
                <w:sz w:val="17"/>
                <w:szCs w:val="17"/>
                <w:color w:val="auto"/>
              </w:rPr>
              <w:t>•   The foregoing benefits are subject to non-compete and non-solicit restrictive covenants.</w:t>
            </w:r>
          </w:p>
        </w:tc>
      </w:tr>
      <w:tr>
        <w:trPr>
          <w:trHeight w:val="298"/>
        </w:trPr>
        <w:tc>
          <w:tcPr>
            <w:tcW w:w="3320" w:type="dxa"/>
            <w:vAlign w:val="bottom"/>
            <w:shd w:val="clear" w:color="auto" w:fill="D8D8D8"/>
          </w:tcPr>
          <w:p>
            <w:pPr>
              <w:spacing w:after="0"/>
              <w:rPr>
                <w:sz w:val="20"/>
                <w:szCs w:val="20"/>
                <w:color w:val="auto"/>
              </w:rPr>
            </w:pPr>
            <w:r>
              <w:rPr>
                <w:rFonts w:ascii="Arial" w:cs="Arial" w:eastAsia="Arial" w:hAnsi="Arial"/>
                <w:sz w:val="17"/>
                <w:szCs w:val="17"/>
                <w:color w:val="auto"/>
              </w:rPr>
              <w:t>Treatment of Incentive Awards</w:t>
            </w:r>
          </w:p>
        </w:tc>
        <w:tc>
          <w:tcPr>
            <w:tcW w:w="220" w:type="dxa"/>
            <w:vAlign w:val="bottom"/>
            <w:shd w:val="clear" w:color="auto" w:fill="D8D8D8"/>
          </w:tcPr>
          <w:p>
            <w:pPr>
              <w:spacing w:after="0"/>
              <w:rPr>
                <w:sz w:val="24"/>
                <w:szCs w:val="24"/>
                <w:color w:val="auto"/>
              </w:rPr>
            </w:pPr>
          </w:p>
        </w:tc>
        <w:tc>
          <w:tcPr>
            <w:tcW w:w="7880" w:type="dxa"/>
            <w:vAlign w:val="bottom"/>
            <w:shd w:val="clear" w:color="auto" w:fill="D8D8D8"/>
          </w:tcPr>
          <w:p>
            <w:pPr>
              <w:ind w:left="100"/>
              <w:spacing w:after="0"/>
              <w:rPr>
                <w:sz w:val="20"/>
                <w:szCs w:val="20"/>
                <w:color w:val="auto"/>
              </w:rPr>
            </w:pPr>
            <w:r>
              <w:rPr>
                <w:rFonts w:ascii="Arial" w:cs="Arial" w:eastAsia="Arial" w:hAnsi="Arial"/>
                <w:sz w:val="17"/>
                <w:szCs w:val="17"/>
                <w:color w:val="auto"/>
              </w:rPr>
              <w:t>•   Awards under the Annual Cash Incentive Program and the LTIP are paid out in cash at target levels,</w:t>
            </w:r>
          </w:p>
        </w:tc>
      </w:tr>
      <w:tr>
        <w:trPr>
          <w:trHeight w:val="189"/>
        </w:trPr>
        <w:tc>
          <w:tcPr>
            <w:tcW w:w="332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7880" w:type="dxa"/>
            <w:vAlign w:val="bottom"/>
            <w:shd w:val="clear" w:color="auto" w:fill="D8D8D8"/>
          </w:tcPr>
          <w:p>
            <w:pPr>
              <w:ind w:left="420"/>
              <w:spacing w:after="0" w:line="189" w:lineRule="exact"/>
              <w:rPr>
                <w:sz w:val="20"/>
                <w:szCs w:val="20"/>
                <w:color w:val="auto"/>
              </w:rPr>
            </w:pPr>
            <w:r>
              <w:rPr>
                <w:rFonts w:ascii="Arial" w:cs="Arial" w:eastAsia="Arial" w:hAnsi="Arial"/>
                <w:sz w:val="17"/>
                <w:szCs w:val="17"/>
                <w:color w:val="auto"/>
              </w:rPr>
              <w:t>on a pro-rata basis. This is a “single trigger” payment.</w:t>
            </w:r>
          </w:p>
        </w:tc>
      </w:tr>
      <w:tr>
        <w:trPr>
          <w:trHeight w:val="344"/>
        </w:trPr>
        <w:tc>
          <w:tcPr>
            <w:tcW w:w="3320" w:type="dxa"/>
            <w:vAlign w:val="bottom"/>
          </w:tcPr>
          <w:p>
            <w:pPr>
              <w:spacing w:after="0"/>
              <w:rPr>
                <w:sz w:val="24"/>
                <w:szCs w:val="24"/>
                <w:color w:val="auto"/>
              </w:rPr>
            </w:pPr>
          </w:p>
        </w:tc>
        <w:tc>
          <w:tcPr>
            <w:tcW w:w="8100" w:type="dxa"/>
            <w:vAlign w:val="bottom"/>
            <w:gridSpan w:val="2"/>
          </w:tcPr>
          <w:p>
            <w:pPr>
              <w:jc w:val="right"/>
              <w:ind w:right="5537"/>
              <w:spacing w:after="0"/>
              <w:rPr>
                <w:sz w:val="20"/>
                <w:szCs w:val="20"/>
                <w:color w:val="auto"/>
              </w:rPr>
            </w:pPr>
            <w:r>
              <w:rPr>
                <w:rFonts w:ascii="Arial" w:cs="Arial" w:eastAsia="Arial" w:hAnsi="Arial"/>
                <w:sz w:val="17"/>
                <w:szCs w:val="17"/>
                <w:color w:val="auto"/>
              </w:rPr>
              <w:t>67</w:t>
            </w:r>
          </w:p>
        </w:tc>
      </w:tr>
    </w:tbl>
    <w:p>
      <w:pPr>
        <w:sectPr>
          <w:pgSz w:w="11900" w:h="16838" w:orient="portrait"/>
          <w:cols w:equalWidth="0" w:num="1">
            <w:col w:w="11420"/>
          </w:cols>
          <w:pgMar w:left="240" w:top="443" w:right="23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Plan Element</w:t>
            </w:r>
          </w:p>
        </w:tc>
        <w:tc>
          <w:tcPr>
            <w:tcW w:w="320" w:type="dxa"/>
            <w:vAlign w:val="bottom"/>
          </w:tcPr>
          <w:p>
            <w:pPr>
              <w:spacing w:after="0"/>
              <w:rPr>
                <w:sz w:val="14"/>
                <w:szCs w:val="14"/>
                <w:color w:val="auto"/>
              </w:rPr>
            </w:pPr>
          </w:p>
        </w:tc>
        <w:tc>
          <w:tcPr>
            <w:tcW w:w="7880" w:type="dxa"/>
            <w:vAlign w:val="bottom"/>
            <w:tcBorders>
              <w:bottom w:val="single" w:sz="8" w:color="auto"/>
            </w:tcBorders>
          </w:tcPr>
          <w:p>
            <w:pPr>
              <w:ind w:left="3600"/>
              <w:spacing w:after="0"/>
              <w:rPr>
                <w:sz w:val="20"/>
                <w:szCs w:val="20"/>
                <w:color w:val="auto"/>
              </w:rPr>
            </w:pPr>
            <w:r>
              <w:rPr>
                <w:rFonts w:ascii="Arial" w:cs="Arial" w:eastAsia="Arial" w:hAnsi="Arial"/>
                <w:sz w:val="13"/>
                <w:szCs w:val="13"/>
                <w:b w:val="1"/>
                <w:bCs w:val="1"/>
                <w:color w:val="auto"/>
              </w:rPr>
              <w:t>Description</w:t>
            </w:r>
          </w:p>
        </w:tc>
      </w:tr>
      <w:tr>
        <w:trPr>
          <w:trHeight w:val="277"/>
        </w:trPr>
        <w:tc>
          <w:tcPr>
            <w:tcW w:w="3220" w:type="dxa"/>
            <w:vAlign w:val="bottom"/>
          </w:tcPr>
          <w:p>
            <w:pPr>
              <w:spacing w:after="0"/>
              <w:rPr>
                <w:sz w:val="20"/>
                <w:szCs w:val="20"/>
                <w:color w:val="auto"/>
              </w:rPr>
            </w:pPr>
            <w:r>
              <w:rPr>
                <w:rFonts w:ascii="Arial" w:cs="Arial" w:eastAsia="Arial" w:hAnsi="Arial"/>
                <w:sz w:val="17"/>
                <w:szCs w:val="17"/>
                <w:color w:val="auto"/>
              </w:rPr>
              <w:t>Treatment of Equity Awards</w:t>
            </w:r>
          </w:p>
        </w:tc>
        <w:tc>
          <w:tcPr>
            <w:tcW w:w="320" w:type="dxa"/>
            <w:vAlign w:val="bottom"/>
          </w:tcPr>
          <w:p>
            <w:pPr>
              <w:spacing w:after="0"/>
              <w:rPr>
                <w:sz w:val="24"/>
                <w:szCs w:val="24"/>
                <w:color w:val="auto"/>
              </w:rPr>
            </w:pPr>
          </w:p>
        </w:tc>
        <w:tc>
          <w:tcPr>
            <w:tcW w:w="7880" w:type="dxa"/>
            <w:vAlign w:val="bottom"/>
          </w:tcPr>
          <w:p>
            <w:pPr>
              <w:ind w:left="100"/>
              <w:spacing w:after="0"/>
              <w:rPr>
                <w:sz w:val="20"/>
                <w:szCs w:val="20"/>
                <w:color w:val="auto"/>
              </w:rPr>
            </w:pPr>
            <w:r>
              <w:rPr>
                <w:rFonts w:ascii="Arial" w:cs="Arial" w:eastAsia="Arial" w:hAnsi="Arial"/>
                <w:sz w:val="17"/>
                <w:szCs w:val="17"/>
                <w:color w:val="auto"/>
                <w:w w:val="99"/>
              </w:rPr>
              <w:t>•   Restricted stock and stock options only vest upon a CIC if the participant is terminated by Kraft Foods</w:t>
            </w:r>
          </w:p>
        </w:tc>
      </w:tr>
      <w:tr>
        <w:trPr>
          <w:trHeight w:val="192"/>
        </w:trPr>
        <w:tc>
          <w:tcPr>
            <w:tcW w:w="3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80" w:type="dxa"/>
            <w:vAlign w:val="bottom"/>
          </w:tcPr>
          <w:p>
            <w:pPr>
              <w:ind w:left="420"/>
              <w:spacing w:after="0" w:line="192" w:lineRule="exact"/>
              <w:rPr>
                <w:sz w:val="20"/>
                <w:szCs w:val="20"/>
                <w:color w:val="auto"/>
              </w:rPr>
            </w:pPr>
            <w:r>
              <w:rPr>
                <w:rFonts w:ascii="Arial" w:cs="Arial" w:eastAsia="Arial" w:hAnsi="Arial"/>
                <w:sz w:val="17"/>
                <w:szCs w:val="17"/>
                <w:color w:val="auto"/>
              </w:rPr>
              <w:t>other than for cause or by the executive officer for good reason and the termination of employment</w:t>
            </w:r>
          </w:p>
        </w:tc>
      </w:tr>
      <w:tr>
        <w:trPr>
          <w:trHeight w:val="192"/>
        </w:trPr>
        <w:tc>
          <w:tcPr>
            <w:tcW w:w="3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80" w:type="dxa"/>
            <w:vAlign w:val="bottom"/>
          </w:tcPr>
          <w:p>
            <w:pPr>
              <w:ind w:left="420"/>
              <w:spacing w:after="0" w:line="192" w:lineRule="exact"/>
              <w:rPr>
                <w:sz w:val="20"/>
                <w:szCs w:val="20"/>
                <w:color w:val="auto"/>
              </w:rPr>
            </w:pPr>
            <w:r>
              <w:rPr>
                <w:rFonts w:ascii="Arial" w:cs="Arial" w:eastAsia="Arial" w:hAnsi="Arial"/>
                <w:sz w:val="17"/>
                <w:szCs w:val="17"/>
                <w:color w:val="auto"/>
                <w:w w:val="98"/>
              </w:rPr>
              <w:t>satisfies the definition of a “separation from service” under Section 409A and occurs within two years</w:t>
            </w:r>
          </w:p>
        </w:tc>
      </w:tr>
      <w:tr>
        <w:trPr>
          <w:trHeight w:val="189"/>
        </w:trPr>
        <w:tc>
          <w:tcPr>
            <w:tcW w:w="3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80" w:type="dxa"/>
            <w:vAlign w:val="bottom"/>
          </w:tcPr>
          <w:p>
            <w:pPr>
              <w:ind w:left="420"/>
              <w:spacing w:after="0" w:line="189" w:lineRule="exact"/>
              <w:rPr>
                <w:sz w:val="20"/>
                <w:szCs w:val="20"/>
                <w:color w:val="auto"/>
              </w:rPr>
            </w:pPr>
            <w:r>
              <w:rPr>
                <w:rFonts w:ascii="Arial" w:cs="Arial" w:eastAsia="Arial" w:hAnsi="Arial"/>
                <w:sz w:val="17"/>
                <w:szCs w:val="17"/>
                <w:color w:val="auto"/>
              </w:rPr>
              <w:t>following such CIC or if the acquiring entity does not assume the awards (“double trigger”).</w:t>
            </w:r>
          </w:p>
        </w:tc>
      </w:tr>
      <w:tr>
        <w:trPr>
          <w:trHeight w:val="297"/>
        </w:trPr>
        <w:tc>
          <w:tcPr>
            <w:tcW w:w="3220" w:type="dxa"/>
            <w:vAlign w:val="bottom"/>
            <w:shd w:val="clear" w:color="auto" w:fill="D8D8D8"/>
          </w:tcPr>
          <w:p>
            <w:pPr>
              <w:spacing w:after="0"/>
              <w:rPr>
                <w:sz w:val="20"/>
                <w:szCs w:val="20"/>
                <w:color w:val="auto"/>
              </w:rPr>
            </w:pPr>
            <w:r>
              <w:rPr>
                <w:rFonts w:ascii="Arial" w:cs="Arial" w:eastAsia="Arial" w:hAnsi="Arial"/>
                <w:sz w:val="17"/>
                <w:szCs w:val="17"/>
                <w:color w:val="auto"/>
              </w:rPr>
              <w:t>Kraft Payment of Excise Tax</w:t>
            </w:r>
          </w:p>
        </w:tc>
        <w:tc>
          <w:tcPr>
            <w:tcW w:w="320" w:type="dxa"/>
            <w:vAlign w:val="bottom"/>
            <w:shd w:val="clear" w:color="auto" w:fill="D8D8D8"/>
          </w:tcPr>
          <w:p>
            <w:pPr>
              <w:spacing w:after="0"/>
              <w:rPr>
                <w:sz w:val="24"/>
                <w:szCs w:val="24"/>
                <w:color w:val="auto"/>
              </w:rPr>
            </w:pPr>
          </w:p>
        </w:tc>
        <w:tc>
          <w:tcPr>
            <w:tcW w:w="7880" w:type="dxa"/>
            <w:vAlign w:val="bottom"/>
            <w:shd w:val="clear" w:color="auto" w:fill="D8D8D8"/>
          </w:tcPr>
          <w:p>
            <w:pPr>
              <w:ind w:left="100"/>
              <w:spacing w:after="0"/>
              <w:rPr>
                <w:sz w:val="20"/>
                <w:szCs w:val="20"/>
                <w:color w:val="auto"/>
              </w:rPr>
            </w:pPr>
            <w:r>
              <w:rPr>
                <w:rFonts w:ascii="Arial" w:cs="Arial" w:eastAsia="Arial" w:hAnsi="Arial"/>
                <w:sz w:val="17"/>
                <w:szCs w:val="17"/>
                <w:color w:val="auto"/>
              </w:rPr>
              <w:t>•   CEO – we will gross up excise tax payable due to CIC severance; and</w:t>
            </w:r>
          </w:p>
        </w:tc>
      </w:tr>
      <w:tr>
        <w:trPr>
          <w:trHeight w:val="192"/>
        </w:trPr>
        <w:tc>
          <w:tcPr>
            <w:tcW w:w="322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788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w w:val="99"/>
              </w:rPr>
              <w:t>•   For other eligible executive officers, we will gross up excise tax payable due to CIC severance only in</w:t>
            </w:r>
          </w:p>
        </w:tc>
      </w:tr>
      <w:tr>
        <w:trPr>
          <w:trHeight w:val="192"/>
        </w:trPr>
        <w:tc>
          <w:tcPr>
            <w:tcW w:w="322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7880" w:type="dxa"/>
            <w:vAlign w:val="bottom"/>
            <w:shd w:val="clear" w:color="auto" w:fill="D8D8D8"/>
          </w:tcPr>
          <w:p>
            <w:pPr>
              <w:ind w:left="420"/>
              <w:spacing w:after="0" w:line="192" w:lineRule="exact"/>
              <w:rPr>
                <w:sz w:val="20"/>
                <w:szCs w:val="20"/>
                <w:color w:val="auto"/>
              </w:rPr>
            </w:pPr>
            <w:r>
              <w:rPr>
                <w:rFonts w:ascii="Arial" w:cs="Arial" w:eastAsia="Arial" w:hAnsi="Arial"/>
                <w:sz w:val="17"/>
                <w:szCs w:val="17"/>
                <w:color w:val="auto"/>
              </w:rPr>
              <w:t>the event that the resulting severance benefit equals or exceeds 110% of the Code Section 4999</w:t>
            </w:r>
          </w:p>
        </w:tc>
      </w:tr>
      <w:tr>
        <w:trPr>
          <w:trHeight w:val="192"/>
        </w:trPr>
        <w:tc>
          <w:tcPr>
            <w:tcW w:w="322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7880" w:type="dxa"/>
            <w:vAlign w:val="bottom"/>
            <w:shd w:val="clear" w:color="auto" w:fill="D8D8D8"/>
          </w:tcPr>
          <w:p>
            <w:pPr>
              <w:ind w:left="420"/>
              <w:spacing w:after="0" w:line="192" w:lineRule="exact"/>
              <w:rPr>
                <w:sz w:val="20"/>
                <w:szCs w:val="20"/>
                <w:color w:val="auto"/>
              </w:rPr>
            </w:pPr>
            <w:r>
              <w:rPr>
                <w:rFonts w:ascii="Arial" w:cs="Arial" w:eastAsia="Arial" w:hAnsi="Arial"/>
                <w:sz w:val="17"/>
                <w:szCs w:val="17"/>
                <w:color w:val="auto"/>
              </w:rPr>
              <w:t>limit.</w:t>
            </w:r>
          </w:p>
        </w:tc>
      </w:tr>
      <w:tr>
        <w:trPr>
          <w:trHeight w:val="192"/>
        </w:trPr>
        <w:tc>
          <w:tcPr>
            <w:tcW w:w="3220" w:type="dxa"/>
            <w:vAlign w:val="bottom"/>
            <w:shd w:val="clear" w:color="auto" w:fill="D8D8D8"/>
          </w:tcPr>
          <w:p>
            <w:pPr>
              <w:spacing w:after="0"/>
              <w:rPr>
                <w:sz w:val="16"/>
                <w:szCs w:val="16"/>
                <w:color w:val="auto"/>
              </w:rPr>
            </w:pPr>
          </w:p>
        </w:tc>
        <w:tc>
          <w:tcPr>
            <w:tcW w:w="320" w:type="dxa"/>
            <w:vAlign w:val="bottom"/>
            <w:shd w:val="clear" w:color="auto" w:fill="D8D8D8"/>
          </w:tcPr>
          <w:p>
            <w:pPr>
              <w:spacing w:after="0"/>
              <w:rPr>
                <w:sz w:val="16"/>
                <w:szCs w:val="16"/>
                <w:color w:val="auto"/>
              </w:rPr>
            </w:pPr>
          </w:p>
        </w:tc>
        <w:tc>
          <w:tcPr>
            <w:tcW w:w="7880" w:type="dxa"/>
            <w:vAlign w:val="bottom"/>
            <w:shd w:val="clear" w:color="auto" w:fill="D8D8D8"/>
          </w:tcPr>
          <w:p>
            <w:pPr>
              <w:ind w:left="100"/>
              <w:spacing w:after="0" w:line="192" w:lineRule="exact"/>
              <w:rPr>
                <w:sz w:val="20"/>
                <w:szCs w:val="20"/>
                <w:color w:val="auto"/>
              </w:rPr>
            </w:pPr>
            <w:r>
              <w:rPr>
                <w:rFonts w:ascii="Arial" w:cs="Arial" w:eastAsia="Arial" w:hAnsi="Arial"/>
                <w:sz w:val="17"/>
                <w:szCs w:val="17"/>
                <w:color w:val="auto"/>
              </w:rPr>
              <w:t>•   In December 2009, we amended the CIC Plan to terminate the excise tax gross ups for executives</w:t>
            </w:r>
          </w:p>
        </w:tc>
      </w:tr>
      <w:tr>
        <w:trPr>
          <w:trHeight w:val="202"/>
        </w:trPr>
        <w:tc>
          <w:tcPr>
            <w:tcW w:w="3220" w:type="dxa"/>
            <w:vAlign w:val="bottom"/>
            <w:shd w:val="clear" w:color="auto" w:fill="D8D8D8"/>
          </w:tcPr>
          <w:p>
            <w:pPr>
              <w:spacing w:after="0"/>
              <w:rPr>
                <w:sz w:val="17"/>
                <w:szCs w:val="17"/>
                <w:color w:val="auto"/>
              </w:rPr>
            </w:pPr>
          </w:p>
        </w:tc>
        <w:tc>
          <w:tcPr>
            <w:tcW w:w="320" w:type="dxa"/>
            <w:vAlign w:val="bottom"/>
            <w:shd w:val="clear" w:color="auto" w:fill="D8D8D8"/>
          </w:tcPr>
          <w:p>
            <w:pPr>
              <w:spacing w:after="0"/>
              <w:rPr>
                <w:sz w:val="17"/>
                <w:szCs w:val="17"/>
                <w:color w:val="auto"/>
              </w:rPr>
            </w:pPr>
          </w:p>
        </w:tc>
        <w:tc>
          <w:tcPr>
            <w:tcW w:w="7880" w:type="dxa"/>
            <w:vAlign w:val="bottom"/>
            <w:shd w:val="clear" w:color="auto" w:fill="D8D8D8"/>
          </w:tcPr>
          <w:p>
            <w:pPr>
              <w:ind w:left="420"/>
              <w:spacing w:after="0"/>
              <w:rPr>
                <w:sz w:val="20"/>
                <w:szCs w:val="20"/>
                <w:color w:val="auto"/>
              </w:rPr>
            </w:pPr>
            <w:r>
              <w:rPr>
                <w:rFonts w:ascii="Arial" w:cs="Arial" w:eastAsia="Arial" w:hAnsi="Arial"/>
                <w:sz w:val="17"/>
                <w:szCs w:val="17"/>
                <w:color w:val="auto"/>
              </w:rPr>
              <w:t>starting participation in the CIC Plan on or after January 1, 2010.</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Potential Payout upon an Involuntary Termination Due to a Change-In-Control at Fiscal Year-End 2011</w:t>
      </w:r>
    </w:p>
    <w:p>
      <w:pPr>
        <w:spacing w:after="0" w:line="150"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The table below was prepared as though each of the Named Executive Officers had been terminated involuntarily without cause within a two-year period following a CIC on December 31, 2011. The assumptions and valuations are noted in the footnotes to the table.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Present</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4"/>
              </w:rPr>
              <w:t>Value of</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7"/>
              </w:rPr>
              <w:t>Long-Term</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8"/>
              </w:rPr>
              <w:t>Value of</w:t>
            </w:r>
          </w:p>
        </w:tc>
        <w:tc>
          <w:tcPr>
            <w:tcW w:w="8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8"/>
              </w:rPr>
              <w:t>Value of</w:t>
            </w:r>
          </w:p>
        </w:tc>
        <w:tc>
          <w:tcPr>
            <w:tcW w:w="90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7"/>
              </w:rPr>
              <w:t>Additional</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5"/>
              </w:rPr>
              <w:t>Incentive</w:t>
            </w:r>
          </w:p>
        </w:tc>
        <w:tc>
          <w:tcPr>
            <w:tcW w:w="114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8"/>
              </w:rPr>
              <w:t>Health &amp;</w:t>
            </w:r>
          </w:p>
        </w:tc>
        <w:tc>
          <w:tcPr>
            <w:tcW w:w="88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9"/>
              </w:rPr>
              <w:t>Unvested</w:t>
            </w:r>
          </w:p>
        </w:tc>
        <w:tc>
          <w:tcPr>
            <w:tcW w:w="820" w:type="dxa"/>
            <w:vAlign w:val="bottom"/>
            <w:gridSpan w:val="2"/>
          </w:tcPr>
          <w:p>
            <w:pPr>
              <w:jc w:val="center"/>
              <w:ind w:right="160"/>
              <w:spacing w:after="0" w:line="141" w:lineRule="exact"/>
              <w:rPr>
                <w:sz w:val="20"/>
                <w:szCs w:val="20"/>
                <w:color w:val="auto"/>
              </w:rPr>
            </w:pPr>
            <w:r>
              <w:rPr>
                <w:rFonts w:ascii="Arial" w:cs="Arial" w:eastAsia="Arial" w:hAnsi="Arial"/>
                <w:sz w:val="13"/>
                <w:szCs w:val="13"/>
                <w:b w:val="1"/>
                <w:bCs w:val="1"/>
                <w:color w:val="auto"/>
                <w:w w:val="99"/>
              </w:rPr>
              <w:t>Unvested</w:t>
            </w:r>
          </w:p>
        </w:tc>
        <w:tc>
          <w:tcPr>
            <w:tcW w:w="90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rPr>
              <w:t>Retirement</w:t>
            </w:r>
          </w:p>
        </w:tc>
        <w:tc>
          <w:tcPr>
            <w:tcW w:w="102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9"/>
              </w:rPr>
              <w:t>Continuation</w:t>
            </w:r>
          </w:p>
        </w:tc>
        <w:tc>
          <w:tcPr>
            <w:tcW w:w="860" w:type="dxa"/>
            <w:vAlign w:val="bottom"/>
            <w:gridSpan w:val="2"/>
          </w:tcPr>
          <w:p>
            <w:pPr>
              <w:jc w:val="center"/>
              <w:ind w:right="180"/>
              <w:spacing w:after="0" w:line="141" w:lineRule="exact"/>
              <w:rPr>
                <w:sz w:val="20"/>
                <w:szCs w:val="20"/>
                <w:color w:val="auto"/>
              </w:rPr>
            </w:pPr>
            <w:r>
              <w:rPr>
                <w:rFonts w:ascii="Arial" w:cs="Arial" w:eastAsia="Arial" w:hAnsi="Arial"/>
                <w:sz w:val="13"/>
                <w:szCs w:val="13"/>
                <w:b w:val="1"/>
                <w:bCs w:val="1"/>
                <w:color w:val="auto"/>
                <w:w w:val="95"/>
              </w:rPr>
              <w:t>Excise Tax</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900" w:type="dxa"/>
            <w:vAlign w:val="bottom"/>
            <w:gridSpan w:val="2"/>
          </w:tcPr>
          <w:p>
            <w:pPr>
              <w:jc w:val="center"/>
              <w:ind w:right="160"/>
              <w:spacing w:after="0" w:line="132" w:lineRule="exact"/>
              <w:rPr>
                <w:sz w:val="20"/>
                <w:szCs w:val="20"/>
                <w:color w:val="auto"/>
              </w:rPr>
            </w:pPr>
            <w:r>
              <w:rPr>
                <w:rFonts w:ascii="Arial" w:cs="Arial" w:eastAsia="Arial" w:hAnsi="Arial"/>
                <w:sz w:val="13"/>
                <w:szCs w:val="13"/>
                <w:b w:val="1"/>
                <w:bCs w:val="1"/>
                <w:color w:val="auto"/>
                <w:w w:val="98"/>
              </w:rPr>
              <w:t>Separation</w:t>
            </w:r>
          </w:p>
        </w:tc>
        <w:tc>
          <w:tcPr>
            <w:tcW w:w="88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w w:val="94"/>
              </w:rPr>
              <w:t>Plan</w:t>
            </w:r>
          </w:p>
        </w:tc>
        <w:tc>
          <w:tcPr>
            <w:tcW w:w="1140" w:type="dxa"/>
            <w:vAlign w:val="bottom"/>
            <w:gridSpan w:val="2"/>
          </w:tcPr>
          <w:p>
            <w:pPr>
              <w:jc w:val="center"/>
              <w:ind w:right="200"/>
              <w:spacing w:after="0" w:line="132" w:lineRule="exact"/>
              <w:rPr>
                <w:sz w:val="20"/>
                <w:szCs w:val="20"/>
                <w:color w:val="auto"/>
              </w:rPr>
            </w:pPr>
            <w:r>
              <w:rPr>
                <w:rFonts w:ascii="Arial" w:cs="Arial" w:eastAsia="Arial" w:hAnsi="Arial"/>
                <w:sz w:val="13"/>
                <w:szCs w:val="13"/>
                <w:b w:val="1"/>
                <w:bCs w:val="1"/>
                <w:color w:val="auto"/>
                <w:w w:val="97"/>
              </w:rPr>
              <w:t>Welfare</w:t>
            </w:r>
          </w:p>
        </w:tc>
        <w:tc>
          <w:tcPr>
            <w:tcW w:w="88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w w:val="95"/>
              </w:rPr>
              <w:t>Stock</w:t>
            </w:r>
          </w:p>
        </w:tc>
        <w:tc>
          <w:tcPr>
            <w:tcW w:w="820" w:type="dxa"/>
            <w:vAlign w:val="bottom"/>
            <w:gridSpan w:val="2"/>
          </w:tcPr>
          <w:p>
            <w:pPr>
              <w:jc w:val="center"/>
              <w:ind w:right="160"/>
              <w:spacing w:after="0" w:line="132" w:lineRule="exact"/>
              <w:rPr>
                <w:sz w:val="20"/>
                <w:szCs w:val="20"/>
                <w:color w:val="auto"/>
              </w:rPr>
            </w:pPr>
            <w:r>
              <w:rPr>
                <w:rFonts w:ascii="Arial" w:cs="Arial" w:eastAsia="Arial" w:hAnsi="Arial"/>
                <w:sz w:val="13"/>
                <w:szCs w:val="13"/>
                <w:b w:val="1"/>
                <w:bCs w:val="1"/>
                <w:color w:val="auto"/>
                <w:w w:val="95"/>
              </w:rPr>
              <w:t>Stock</w:t>
            </w:r>
          </w:p>
        </w:tc>
        <w:tc>
          <w:tcPr>
            <w:tcW w:w="90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rPr>
              <w:t>Plan</w:t>
            </w:r>
          </w:p>
        </w:tc>
        <w:tc>
          <w:tcPr>
            <w:tcW w:w="102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w w:val="97"/>
              </w:rPr>
              <w:t>of</w:t>
            </w:r>
          </w:p>
        </w:tc>
        <w:tc>
          <w:tcPr>
            <w:tcW w:w="86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w w:val="95"/>
              </w:rPr>
              <w:t>Gross-</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900" w:type="dxa"/>
            <w:vAlign w:val="bottom"/>
            <w:gridSpan w:val="2"/>
          </w:tcPr>
          <w:p>
            <w:pPr>
              <w:jc w:val="center"/>
              <w:ind w:right="160"/>
              <w:spacing w:after="0" w:line="150" w:lineRule="exact"/>
              <w:rPr>
                <w:sz w:val="20"/>
                <w:szCs w:val="20"/>
                <w:color w:val="auto"/>
              </w:rPr>
            </w:pPr>
            <w:r>
              <w:rPr>
                <w:rFonts w:ascii="Arial" w:cs="Arial" w:eastAsia="Arial" w:hAnsi="Arial"/>
                <w:sz w:val="11"/>
                <w:szCs w:val="11"/>
                <w:b w:val="1"/>
                <w:bCs w:val="1"/>
                <w:color w:val="auto"/>
              </w:rPr>
              <w:t>Payment</w:t>
            </w:r>
            <w:r>
              <w:rPr>
                <w:rFonts w:ascii="Arial" w:cs="Arial" w:eastAsia="Arial" w:hAnsi="Arial"/>
                <w:sz w:val="17"/>
                <w:szCs w:val="17"/>
                <w:b w:val="1"/>
                <w:bCs w:val="1"/>
                <w:color w:val="auto"/>
                <w:vertAlign w:val="superscript"/>
              </w:rPr>
              <w:t>(1)</w:t>
            </w:r>
          </w:p>
        </w:tc>
        <w:tc>
          <w:tcPr>
            <w:tcW w:w="880" w:type="dxa"/>
            <w:vAlign w:val="bottom"/>
            <w:gridSpan w:val="2"/>
          </w:tcPr>
          <w:p>
            <w:pPr>
              <w:jc w:val="center"/>
              <w:ind w:right="200"/>
              <w:spacing w:after="0" w:line="150" w:lineRule="exact"/>
              <w:rPr>
                <w:sz w:val="20"/>
                <w:szCs w:val="20"/>
                <w:color w:val="auto"/>
              </w:rPr>
            </w:pPr>
            <w:r>
              <w:rPr>
                <w:rFonts w:ascii="Arial" w:cs="Arial" w:eastAsia="Arial" w:hAnsi="Arial"/>
                <w:sz w:val="11"/>
                <w:szCs w:val="11"/>
                <w:b w:val="1"/>
                <w:bCs w:val="1"/>
                <w:color w:val="auto"/>
              </w:rPr>
              <w:t>Award</w:t>
            </w:r>
            <w:r>
              <w:rPr>
                <w:rFonts w:ascii="Arial" w:cs="Arial" w:eastAsia="Arial" w:hAnsi="Arial"/>
                <w:sz w:val="17"/>
                <w:szCs w:val="17"/>
                <w:b w:val="1"/>
                <w:bCs w:val="1"/>
                <w:color w:val="auto"/>
                <w:vertAlign w:val="superscript"/>
              </w:rPr>
              <w:t>(2)</w:t>
            </w:r>
          </w:p>
        </w:tc>
        <w:tc>
          <w:tcPr>
            <w:tcW w:w="1140" w:type="dxa"/>
            <w:vAlign w:val="bottom"/>
            <w:gridSpan w:val="2"/>
          </w:tcPr>
          <w:p>
            <w:pPr>
              <w:jc w:val="center"/>
              <w:ind w:right="180"/>
              <w:spacing w:after="0" w:line="150" w:lineRule="exact"/>
              <w:rPr>
                <w:sz w:val="20"/>
                <w:szCs w:val="20"/>
                <w:color w:val="auto"/>
              </w:rPr>
            </w:pPr>
            <w:r>
              <w:rPr>
                <w:rFonts w:ascii="Arial" w:cs="Arial" w:eastAsia="Arial" w:hAnsi="Arial"/>
                <w:sz w:val="11"/>
                <w:szCs w:val="11"/>
                <w:b w:val="1"/>
                <w:bCs w:val="1"/>
                <w:color w:val="auto"/>
              </w:rPr>
              <w:t>Continuation</w:t>
            </w:r>
            <w:r>
              <w:rPr>
                <w:rFonts w:ascii="Arial" w:cs="Arial" w:eastAsia="Arial" w:hAnsi="Arial"/>
                <w:sz w:val="17"/>
                <w:szCs w:val="17"/>
                <w:b w:val="1"/>
                <w:bCs w:val="1"/>
                <w:color w:val="auto"/>
                <w:vertAlign w:val="superscript"/>
              </w:rPr>
              <w:t>(3)</w:t>
            </w:r>
          </w:p>
        </w:tc>
        <w:tc>
          <w:tcPr>
            <w:tcW w:w="880" w:type="dxa"/>
            <w:vAlign w:val="bottom"/>
            <w:gridSpan w:val="2"/>
          </w:tcPr>
          <w:p>
            <w:pPr>
              <w:jc w:val="center"/>
              <w:ind w:right="180"/>
              <w:spacing w:after="0" w:line="150"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(4)</w:t>
            </w:r>
          </w:p>
        </w:tc>
        <w:tc>
          <w:tcPr>
            <w:tcW w:w="820" w:type="dxa"/>
            <w:vAlign w:val="bottom"/>
            <w:gridSpan w:val="2"/>
          </w:tcPr>
          <w:p>
            <w:pPr>
              <w:jc w:val="center"/>
              <w:ind w:right="160"/>
              <w:spacing w:after="0" w:line="150" w:lineRule="exact"/>
              <w:rPr>
                <w:sz w:val="20"/>
                <w:szCs w:val="20"/>
                <w:color w:val="auto"/>
              </w:rPr>
            </w:pPr>
            <w:r>
              <w:rPr>
                <w:rFonts w:ascii="Arial" w:cs="Arial" w:eastAsia="Arial" w:hAnsi="Arial"/>
                <w:sz w:val="11"/>
                <w:szCs w:val="11"/>
                <w:b w:val="1"/>
                <w:bCs w:val="1"/>
                <w:color w:val="auto"/>
              </w:rPr>
              <w:t>Options</w:t>
            </w:r>
            <w:r>
              <w:rPr>
                <w:rFonts w:ascii="Arial" w:cs="Arial" w:eastAsia="Arial" w:hAnsi="Arial"/>
                <w:sz w:val="17"/>
                <w:szCs w:val="17"/>
                <w:b w:val="1"/>
                <w:bCs w:val="1"/>
                <w:color w:val="auto"/>
                <w:vertAlign w:val="superscript"/>
              </w:rPr>
              <w:t>(4)</w:t>
            </w:r>
          </w:p>
        </w:tc>
        <w:tc>
          <w:tcPr>
            <w:tcW w:w="900" w:type="dxa"/>
            <w:vAlign w:val="bottom"/>
            <w:gridSpan w:val="2"/>
          </w:tcPr>
          <w:p>
            <w:pPr>
              <w:jc w:val="center"/>
              <w:ind w:right="180"/>
              <w:spacing w:after="0" w:line="150" w:lineRule="exact"/>
              <w:rPr>
                <w:sz w:val="20"/>
                <w:szCs w:val="20"/>
                <w:color w:val="auto"/>
              </w:rPr>
            </w:pPr>
            <w:r>
              <w:rPr>
                <w:rFonts w:ascii="Arial" w:cs="Arial" w:eastAsia="Arial" w:hAnsi="Arial"/>
                <w:sz w:val="11"/>
                <w:szCs w:val="11"/>
                <w:b w:val="1"/>
                <w:bCs w:val="1"/>
                <w:color w:val="auto"/>
              </w:rPr>
              <w:t>Benefits</w:t>
            </w:r>
            <w:r>
              <w:rPr>
                <w:rFonts w:ascii="Arial" w:cs="Arial" w:eastAsia="Arial" w:hAnsi="Arial"/>
                <w:sz w:val="17"/>
                <w:szCs w:val="17"/>
                <w:b w:val="1"/>
                <w:bCs w:val="1"/>
                <w:color w:val="auto"/>
                <w:vertAlign w:val="superscript"/>
              </w:rPr>
              <w:t>(5)</w:t>
            </w:r>
          </w:p>
        </w:tc>
        <w:tc>
          <w:tcPr>
            <w:tcW w:w="1020" w:type="dxa"/>
            <w:vAlign w:val="bottom"/>
            <w:gridSpan w:val="2"/>
          </w:tcPr>
          <w:p>
            <w:pPr>
              <w:jc w:val="center"/>
              <w:ind w:right="180"/>
              <w:spacing w:after="0" w:line="150" w:lineRule="exact"/>
              <w:rPr>
                <w:sz w:val="20"/>
                <w:szCs w:val="20"/>
                <w:color w:val="auto"/>
              </w:rPr>
            </w:pPr>
            <w:r>
              <w:rPr>
                <w:rFonts w:ascii="Arial" w:cs="Arial" w:eastAsia="Arial" w:hAnsi="Arial"/>
                <w:sz w:val="11"/>
                <w:szCs w:val="11"/>
                <w:b w:val="1"/>
                <w:bCs w:val="1"/>
                <w:color w:val="auto"/>
              </w:rPr>
              <w:t>Benefits</w:t>
            </w:r>
            <w:r>
              <w:rPr>
                <w:rFonts w:ascii="Arial" w:cs="Arial" w:eastAsia="Arial" w:hAnsi="Arial"/>
                <w:sz w:val="17"/>
                <w:szCs w:val="17"/>
                <w:b w:val="1"/>
                <w:bCs w:val="1"/>
                <w:color w:val="auto"/>
                <w:vertAlign w:val="superscript"/>
              </w:rPr>
              <w:t>(6)</w:t>
            </w:r>
          </w:p>
        </w:tc>
        <w:tc>
          <w:tcPr>
            <w:tcW w:w="860" w:type="dxa"/>
            <w:vAlign w:val="bottom"/>
            <w:gridSpan w:val="2"/>
          </w:tcPr>
          <w:p>
            <w:pPr>
              <w:jc w:val="center"/>
              <w:ind w:right="200"/>
              <w:spacing w:after="0" w:line="150" w:lineRule="exact"/>
              <w:rPr>
                <w:sz w:val="20"/>
                <w:szCs w:val="20"/>
                <w:color w:val="auto"/>
              </w:rPr>
            </w:pPr>
            <w:r>
              <w:rPr>
                <w:rFonts w:ascii="Arial" w:cs="Arial" w:eastAsia="Arial" w:hAnsi="Arial"/>
                <w:sz w:val="17"/>
                <w:szCs w:val="17"/>
                <w:b w:val="1"/>
                <w:bCs w:val="1"/>
                <w:color w:val="auto"/>
                <w:vertAlign w:val="subscript"/>
              </w:rPr>
              <w:t>Up</w:t>
            </w:r>
            <w:r>
              <w:rPr>
                <w:rFonts w:ascii="Arial" w:cs="Arial" w:eastAsia="Arial" w:hAnsi="Arial"/>
                <w:sz w:val="9"/>
                <w:szCs w:val="9"/>
                <w:b w:val="1"/>
                <w:bCs w:val="1"/>
                <w:color w:val="auto"/>
              </w:rPr>
              <w:t>(7)</w:t>
            </w:r>
          </w:p>
        </w:tc>
        <w:tc>
          <w:tcPr>
            <w:tcW w:w="840" w:type="dxa"/>
            <w:vAlign w:val="bottom"/>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5"/>
        </w:trPr>
        <w:tc>
          <w:tcPr>
            <w:tcW w:w="3180" w:type="dxa"/>
            <w:vAlign w:val="bottom"/>
            <w:gridSpan w:val="2"/>
            <w:vMerge w:val="continue"/>
          </w:tcPr>
          <w:p>
            <w:pPr>
              <w:spacing w:after="0"/>
              <w:rPr>
                <w:sz w:val="14"/>
                <w:szCs w:val="14"/>
                <w:color w:val="auto"/>
              </w:rPr>
            </w:pPr>
          </w:p>
        </w:tc>
        <w:tc>
          <w:tcPr>
            <w:tcW w:w="72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70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87"/>
              </w:rPr>
              <w:t>($)</w:t>
            </w:r>
          </w:p>
        </w:tc>
        <w:tc>
          <w:tcPr>
            <w:tcW w:w="180" w:type="dxa"/>
            <w:vAlign w:val="bottom"/>
          </w:tcPr>
          <w:p>
            <w:pPr>
              <w:spacing w:after="0"/>
              <w:rPr>
                <w:sz w:val="14"/>
                <w:szCs w:val="14"/>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70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w w:val="87"/>
              </w:rPr>
              <w:t>($)</w:t>
            </w:r>
          </w:p>
        </w:tc>
        <w:tc>
          <w:tcPr>
            <w:tcW w:w="180" w:type="dxa"/>
            <w:vAlign w:val="bottom"/>
          </w:tcPr>
          <w:p>
            <w:pPr>
              <w:spacing w:after="0"/>
              <w:rPr>
                <w:sz w:val="14"/>
                <w:szCs w:val="14"/>
                <w:color w:val="auto"/>
              </w:rPr>
            </w:pPr>
          </w:p>
        </w:tc>
        <w:tc>
          <w:tcPr>
            <w:tcW w:w="6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72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84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680" w:type="dxa"/>
            <w:vAlign w:val="bottom"/>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4"/>
                <w:szCs w:val="14"/>
                <w:color w:val="auto"/>
              </w:rPr>
            </w:pPr>
          </w:p>
        </w:tc>
        <w:tc>
          <w:tcPr>
            <w:tcW w:w="760" w:type="dxa"/>
            <w:vAlign w:val="bottom"/>
          </w:tcPr>
          <w:p>
            <w:pPr>
              <w:jc w:val="right"/>
              <w:ind w:right="236"/>
              <w:spacing w:after="0" w:line="145"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80" w:type="dxa"/>
            <w:vAlign w:val="bottom"/>
            <w:tcBorders>
              <w:top w:val="single" w:sz="8" w:color="auto"/>
            </w:tcBorders>
          </w:tcPr>
          <w:p>
            <w:pPr>
              <w:spacing w:after="0" w:line="126" w:lineRule="exact"/>
              <w:rPr>
                <w:sz w:val="20"/>
                <w:szCs w:val="20"/>
                <w:color w:val="auto"/>
              </w:rPr>
            </w:pPr>
            <w:r>
              <w:rPr>
                <w:rFonts w:ascii="Arial" w:cs="Arial" w:eastAsia="Arial" w:hAnsi="Arial"/>
                <w:sz w:val="13"/>
                <w:szCs w:val="13"/>
                <w:color w:val="auto"/>
              </w:rPr>
              <w:t>Ms.</w:t>
            </w:r>
          </w:p>
        </w:tc>
        <w:tc>
          <w:tcPr>
            <w:tcW w:w="2800" w:type="dxa"/>
            <w:vAlign w:val="bottom"/>
          </w:tcPr>
          <w:p>
            <w:pPr>
              <w:spacing w:after="0" w:line="126" w:lineRule="exact"/>
              <w:rPr>
                <w:sz w:val="20"/>
                <w:szCs w:val="20"/>
                <w:color w:val="auto"/>
              </w:rPr>
            </w:pPr>
            <w:r>
              <w:rPr>
                <w:rFonts w:ascii="Arial" w:cs="Arial" w:eastAsia="Arial" w:hAnsi="Arial"/>
                <w:sz w:val="13"/>
                <w:szCs w:val="13"/>
                <w:color w:val="auto"/>
              </w:rPr>
              <w:t>Rosenfeld</w:t>
            </w:r>
          </w:p>
        </w:tc>
        <w:tc>
          <w:tcPr>
            <w:tcW w:w="7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11,625,000</w:t>
            </w:r>
          </w:p>
        </w:tc>
        <w:tc>
          <w:tcPr>
            <w:tcW w:w="180" w:type="dxa"/>
            <w:vAlign w:val="bottom"/>
          </w:tcPr>
          <w:p>
            <w:pPr>
              <w:spacing w:after="0"/>
              <w:rPr>
                <w:sz w:val="10"/>
                <w:szCs w:val="10"/>
                <w:color w:val="auto"/>
              </w:rPr>
            </w:pPr>
          </w:p>
        </w:tc>
        <w:tc>
          <w:tcPr>
            <w:tcW w:w="7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6,093,167</w:t>
            </w:r>
          </w:p>
        </w:tc>
        <w:tc>
          <w:tcPr>
            <w:tcW w:w="180" w:type="dxa"/>
            <w:vAlign w:val="bottom"/>
          </w:tcPr>
          <w:p>
            <w:pPr>
              <w:spacing w:after="0"/>
              <w:rPr>
                <w:sz w:val="10"/>
                <w:szCs w:val="10"/>
                <w:color w:val="auto"/>
              </w:rPr>
            </w:pPr>
          </w:p>
        </w:tc>
        <w:tc>
          <w:tcPr>
            <w:tcW w:w="9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473,796</w:t>
            </w:r>
          </w:p>
        </w:tc>
        <w:tc>
          <w:tcPr>
            <w:tcW w:w="180" w:type="dxa"/>
            <w:vAlign w:val="bottom"/>
          </w:tcPr>
          <w:p>
            <w:pPr>
              <w:spacing w:after="0"/>
              <w:rPr>
                <w:sz w:val="10"/>
                <w:szCs w:val="10"/>
                <w:color w:val="auto"/>
              </w:rPr>
            </w:pPr>
          </w:p>
        </w:tc>
        <w:tc>
          <w:tcPr>
            <w:tcW w:w="7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13,164,917</w:t>
            </w:r>
          </w:p>
        </w:tc>
        <w:tc>
          <w:tcPr>
            <w:tcW w:w="180" w:type="dxa"/>
            <w:vAlign w:val="bottom"/>
          </w:tcPr>
          <w:p>
            <w:pPr>
              <w:spacing w:after="0"/>
              <w:rPr>
                <w:sz w:val="10"/>
                <w:szCs w:val="10"/>
                <w:color w:val="auto"/>
              </w:rPr>
            </w:pPr>
          </w:p>
        </w:tc>
        <w:tc>
          <w:tcPr>
            <w:tcW w:w="6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9,163,397</w:t>
            </w:r>
          </w:p>
        </w:tc>
        <w:tc>
          <w:tcPr>
            <w:tcW w:w="180" w:type="dxa"/>
            <w:vAlign w:val="bottom"/>
          </w:tcPr>
          <w:p>
            <w:pPr>
              <w:spacing w:after="0"/>
              <w:rPr>
                <w:sz w:val="10"/>
                <w:szCs w:val="10"/>
                <w:color w:val="auto"/>
              </w:rPr>
            </w:pPr>
          </w:p>
        </w:tc>
        <w:tc>
          <w:tcPr>
            <w:tcW w:w="7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1,572,309</w:t>
            </w:r>
          </w:p>
        </w:tc>
        <w:tc>
          <w:tcPr>
            <w:tcW w:w="180" w:type="dxa"/>
            <w:vAlign w:val="bottom"/>
          </w:tcPr>
          <w:p>
            <w:pPr>
              <w:spacing w:after="0"/>
              <w:rPr>
                <w:sz w:val="10"/>
                <w:szCs w:val="10"/>
                <w:color w:val="auto"/>
              </w:rPr>
            </w:pPr>
          </w:p>
        </w:tc>
        <w:tc>
          <w:tcPr>
            <w:tcW w:w="8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125,000</w:t>
            </w:r>
          </w:p>
        </w:tc>
        <w:tc>
          <w:tcPr>
            <w:tcW w:w="180" w:type="dxa"/>
            <w:vAlign w:val="bottom"/>
          </w:tcPr>
          <w:p>
            <w:pPr>
              <w:spacing w:after="0"/>
              <w:rPr>
                <w:sz w:val="10"/>
                <w:szCs w:val="10"/>
                <w:color w:val="auto"/>
              </w:rPr>
            </w:pPr>
          </w:p>
        </w:tc>
        <w:tc>
          <w:tcPr>
            <w:tcW w:w="6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7,398,898</w:t>
            </w:r>
          </w:p>
        </w:tc>
        <w:tc>
          <w:tcPr>
            <w:tcW w:w="180" w:type="dxa"/>
            <w:vAlign w:val="bottom"/>
          </w:tcPr>
          <w:p>
            <w:pPr>
              <w:spacing w:after="0"/>
              <w:rPr>
                <w:sz w:val="10"/>
                <w:szCs w:val="10"/>
                <w:color w:val="auto"/>
              </w:rPr>
            </w:pPr>
          </w:p>
        </w:tc>
        <w:tc>
          <w:tcPr>
            <w:tcW w:w="7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3"/>
                <w:szCs w:val="13"/>
                <w:color w:val="auto"/>
              </w:rPr>
              <w:t>49,616,484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180" w:type="dxa"/>
            <w:vAlign w:val="bottom"/>
            <w:gridSpan w:val="2"/>
            <w:shd w:val="clear" w:color="auto" w:fill="D8D8D8"/>
          </w:tcPr>
          <w:p>
            <w:pPr>
              <w:spacing w:after="0" w:line="141" w:lineRule="exact"/>
              <w:rPr>
                <w:sz w:val="20"/>
                <w:szCs w:val="20"/>
                <w:color w:val="auto"/>
              </w:rPr>
            </w:pPr>
            <w:r>
              <w:rPr>
                <w:rFonts w:ascii="Arial" w:cs="Arial" w:eastAsia="Arial" w:hAnsi="Arial"/>
                <w:sz w:val="13"/>
                <w:szCs w:val="13"/>
                <w:color w:val="auto"/>
              </w:rPr>
              <w:t>Mr. Brearton</w:t>
            </w: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2,470,000</w:t>
            </w:r>
          </w:p>
        </w:tc>
        <w:tc>
          <w:tcPr>
            <w:tcW w:w="180" w:type="dxa"/>
            <w:vAlign w:val="bottom"/>
            <w:shd w:val="clear" w:color="auto" w:fill="D8D8D8"/>
          </w:tcPr>
          <w:p>
            <w:pPr>
              <w:spacing w:after="0"/>
              <w:rPr>
                <w:sz w:val="12"/>
                <w:szCs w:val="12"/>
                <w:color w:val="auto"/>
              </w:rPr>
            </w:pPr>
          </w:p>
        </w:tc>
        <w:tc>
          <w:tcPr>
            <w:tcW w:w="8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548,943</w:t>
            </w:r>
          </w:p>
        </w:tc>
        <w:tc>
          <w:tcPr>
            <w:tcW w:w="11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41,654</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1,427,526</w:t>
            </w:r>
          </w:p>
        </w:tc>
        <w:tc>
          <w:tcPr>
            <w:tcW w:w="180" w:type="dxa"/>
            <w:vAlign w:val="bottom"/>
            <w:shd w:val="clear" w:color="auto" w:fill="D8D8D8"/>
          </w:tcPr>
          <w:p>
            <w:pPr>
              <w:spacing w:after="0"/>
              <w:rPr>
                <w:sz w:val="12"/>
                <w:szCs w:val="12"/>
                <w:color w:val="auto"/>
              </w:rPr>
            </w:pPr>
          </w:p>
        </w:tc>
        <w:tc>
          <w:tcPr>
            <w:tcW w:w="6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960,969</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238,969</w:t>
            </w:r>
          </w:p>
        </w:tc>
        <w:tc>
          <w:tcPr>
            <w:tcW w:w="180" w:type="dxa"/>
            <w:vAlign w:val="bottom"/>
            <w:shd w:val="clear" w:color="auto" w:fill="D8D8D8"/>
          </w:tcPr>
          <w:p>
            <w:pPr>
              <w:spacing w:after="0"/>
              <w:rPr>
                <w:sz w:val="12"/>
                <w:szCs w:val="12"/>
                <w:color w:val="auto"/>
              </w:rPr>
            </w:pPr>
          </w:p>
        </w:tc>
        <w:tc>
          <w:tcPr>
            <w:tcW w:w="8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70,000</w:t>
            </w:r>
          </w:p>
        </w:tc>
        <w:tc>
          <w:tcPr>
            <w:tcW w:w="18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5,758,061</w:t>
            </w: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80" w:type="dxa"/>
            <w:vAlign w:val="bottom"/>
            <w:gridSpan w:val="2"/>
          </w:tcPr>
          <w:p>
            <w:pPr>
              <w:spacing w:after="0" w:line="141" w:lineRule="exact"/>
              <w:rPr>
                <w:sz w:val="20"/>
                <w:szCs w:val="20"/>
                <w:color w:val="auto"/>
              </w:rPr>
            </w:pPr>
            <w:r>
              <w:rPr>
                <w:rFonts w:ascii="Arial" w:cs="Arial" w:eastAsia="Arial" w:hAnsi="Arial"/>
                <w:sz w:val="13"/>
                <w:szCs w:val="13"/>
                <w:color w:val="auto"/>
              </w:rPr>
              <w:t>Mr. McLevish</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2,891,800</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1,586,928</w:t>
            </w:r>
          </w:p>
        </w:tc>
        <w:tc>
          <w:tcPr>
            <w:tcW w:w="11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42,712</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3,225,289</w:t>
            </w:r>
          </w:p>
        </w:tc>
        <w:tc>
          <w:tcPr>
            <w:tcW w:w="1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3"/>
                <w:szCs w:val="13"/>
                <w:color w:val="auto"/>
              </w:rPr>
              <w:t>2,323,521</w:t>
            </w:r>
          </w:p>
        </w:tc>
        <w:tc>
          <w:tcPr>
            <w:tcW w:w="18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398,413</w:t>
            </w:r>
          </w:p>
        </w:tc>
        <w:tc>
          <w:tcPr>
            <w:tcW w:w="18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70,000</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10,538,663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80" w:type="dxa"/>
            <w:vAlign w:val="bottom"/>
            <w:gridSpan w:val="2"/>
            <w:shd w:val="clear" w:color="auto" w:fill="D8D8D8"/>
          </w:tcPr>
          <w:p>
            <w:pPr>
              <w:spacing w:after="0" w:line="141" w:lineRule="exact"/>
              <w:rPr>
                <w:sz w:val="20"/>
                <w:szCs w:val="20"/>
                <w:color w:val="auto"/>
              </w:rPr>
            </w:pPr>
            <w:r>
              <w:rPr>
                <w:rFonts w:ascii="Arial" w:cs="Arial" w:eastAsia="Arial" w:hAnsi="Arial"/>
                <w:sz w:val="13"/>
                <w:szCs w:val="13"/>
                <w:color w:val="auto"/>
              </w:rPr>
              <w:t>Mr. Khosla</w:t>
            </w: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2,718,000</w:t>
            </w:r>
          </w:p>
        </w:tc>
        <w:tc>
          <w:tcPr>
            <w:tcW w:w="180" w:type="dxa"/>
            <w:vAlign w:val="bottom"/>
            <w:shd w:val="clear" w:color="auto" w:fill="D8D8D8"/>
          </w:tcPr>
          <w:p>
            <w:pPr>
              <w:spacing w:after="0"/>
              <w:rPr>
                <w:sz w:val="12"/>
                <w:szCs w:val="12"/>
                <w:color w:val="auto"/>
              </w:rPr>
            </w:pPr>
          </w:p>
        </w:tc>
        <w:tc>
          <w:tcPr>
            <w:tcW w:w="8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1,232,257</w:t>
            </w:r>
          </w:p>
        </w:tc>
        <w:tc>
          <w:tcPr>
            <w:tcW w:w="11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34,412</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3,464,019</w:t>
            </w:r>
          </w:p>
        </w:tc>
        <w:tc>
          <w:tcPr>
            <w:tcW w:w="180" w:type="dxa"/>
            <w:vAlign w:val="bottom"/>
            <w:shd w:val="clear" w:color="auto" w:fill="D8D8D8"/>
          </w:tcPr>
          <w:p>
            <w:pPr>
              <w:spacing w:after="0"/>
              <w:rPr>
                <w:sz w:val="12"/>
                <w:szCs w:val="12"/>
                <w:color w:val="auto"/>
              </w:rPr>
            </w:pPr>
          </w:p>
        </w:tc>
        <w:tc>
          <w:tcPr>
            <w:tcW w:w="6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1,378,688</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453,114</w:t>
            </w:r>
          </w:p>
        </w:tc>
        <w:tc>
          <w:tcPr>
            <w:tcW w:w="180" w:type="dxa"/>
            <w:vAlign w:val="bottom"/>
            <w:shd w:val="clear" w:color="auto" w:fill="D8D8D8"/>
          </w:tcPr>
          <w:p>
            <w:pPr>
              <w:spacing w:after="0"/>
              <w:rPr>
                <w:sz w:val="12"/>
                <w:szCs w:val="12"/>
                <w:color w:val="auto"/>
              </w:rPr>
            </w:pPr>
          </w:p>
        </w:tc>
        <w:tc>
          <w:tcPr>
            <w:tcW w:w="8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70,000</w:t>
            </w:r>
          </w:p>
        </w:tc>
        <w:tc>
          <w:tcPr>
            <w:tcW w:w="18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9,350,490</w:t>
            </w: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80" w:type="dxa"/>
            <w:vAlign w:val="bottom"/>
            <w:gridSpan w:val="2"/>
          </w:tcPr>
          <w:p>
            <w:pPr>
              <w:spacing w:after="0" w:line="141" w:lineRule="exact"/>
              <w:rPr>
                <w:sz w:val="20"/>
                <w:szCs w:val="20"/>
                <w:color w:val="auto"/>
              </w:rPr>
            </w:pPr>
            <w:r>
              <w:rPr>
                <w:rFonts w:ascii="Arial" w:cs="Arial" w:eastAsia="Arial" w:hAnsi="Arial"/>
                <w:sz w:val="13"/>
                <w:szCs w:val="13"/>
                <w:color w:val="auto"/>
              </w:rPr>
              <w:t>Mr. Vernon</w:t>
            </w:r>
          </w:p>
        </w:tc>
        <w:tc>
          <w:tcPr>
            <w:tcW w:w="720" w:type="dxa"/>
            <w:vAlign w:val="bottom"/>
          </w:tcPr>
          <w:p>
            <w:pPr>
              <w:jc w:val="right"/>
              <w:spacing w:after="0" w:line="141" w:lineRule="exact"/>
              <w:rPr>
                <w:sz w:val="20"/>
                <w:szCs w:val="20"/>
                <w:color w:val="auto"/>
              </w:rPr>
            </w:pPr>
            <w:r>
              <w:rPr>
                <w:rFonts w:ascii="Arial" w:cs="Arial" w:eastAsia="Arial" w:hAnsi="Arial"/>
                <w:sz w:val="13"/>
                <w:szCs w:val="13"/>
                <w:color w:val="auto"/>
              </w:rPr>
              <w:t>2,891,800</w:t>
            </w:r>
          </w:p>
        </w:tc>
        <w:tc>
          <w:tcPr>
            <w:tcW w:w="180" w:type="dxa"/>
            <w:vAlign w:val="bottom"/>
          </w:tcPr>
          <w:p>
            <w:pPr>
              <w:spacing w:after="0"/>
              <w:rPr>
                <w:sz w:val="12"/>
                <w:szCs w:val="12"/>
                <w:color w:val="auto"/>
              </w:rPr>
            </w:pPr>
          </w:p>
        </w:tc>
        <w:tc>
          <w:tcPr>
            <w:tcW w:w="88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1,625,783</w:t>
            </w:r>
          </w:p>
        </w:tc>
        <w:tc>
          <w:tcPr>
            <w:tcW w:w="114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43,290</w:t>
            </w: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rPr>
              <w:t>2,102,621</w:t>
            </w:r>
          </w:p>
        </w:tc>
        <w:tc>
          <w:tcPr>
            <w:tcW w:w="1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3"/>
                <w:szCs w:val="13"/>
                <w:color w:val="auto"/>
              </w:rPr>
              <w:t>1,467,288</w:t>
            </w:r>
          </w:p>
        </w:tc>
        <w:tc>
          <w:tcPr>
            <w:tcW w:w="180" w:type="dxa"/>
            <w:vAlign w:val="bottom"/>
          </w:tcPr>
          <w:p>
            <w:pPr>
              <w:spacing w:after="0"/>
              <w:rPr>
                <w:sz w:val="12"/>
                <w:szCs w:val="12"/>
                <w:color w:val="auto"/>
              </w:rPr>
            </w:pPr>
          </w:p>
        </w:tc>
        <w:tc>
          <w:tcPr>
            <w:tcW w:w="900" w:type="dxa"/>
            <w:vAlign w:val="bottom"/>
            <w:gridSpan w:val="2"/>
          </w:tcPr>
          <w:p>
            <w:pPr>
              <w:ind w:left="520"/>
              <w:spacing w:after="0" w:line="141"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70,000</w:t>
            </w:r>
          </w:p>
        </w:tc>
        <w:tc>
          <w:tcPr>
            <w:tcW w:w="180" w:type="dxa"/>
            <w:vAlign w:val="bottom"/>
          </w:tcPr>
          <w:p>
            <w:pPr>
              <w:spacing w:after="0"/>
              <w:rPr>
                <w:sz w:val="12"/>
                <w:szCs w:val="12"/>
                <w:color w:val="auto"/>
              </w:rPr>
            </w:pPr>
          </w:p>
        </w:tc>
        <w:tc>
          <w:tcPr>
            <w:tcW w:w="680" w:type="dxa"/>
            <w:vAlign w:val="bottom"/>
          </w:tcPr>
          <w:p>
            <w:pPr>
              <w:jc w:val="right"/>
              <w:spacing w:after="0" w:line="141" w:lineRule="exact"/>
              <w:rPr>
                <w:sz w:val="20"/>
                <w:szCs w:val="20"/>
                <w:color w:val="auto"/>
              </w:rPr>
            </w:pPr>
            <w:r>
              <w:rPr>
                <w:rFonts w:ascii="Arial" w:cs="Arial" w:eastAsia="Arial" w:hAnsi="Arial"/>
                <w:sz w:val="13"/>
                <w:szCs w:val="13"/>
                <w:color w:val="auto"/>
              </w:rPr>
              <w:t>1,959,591</w:t>
            </w:r>
          </w:p>
        </w:tc>
        <w:tc>
          <w:tcPr>
            <w:tcW w:w="180" w:type="dxa"/>
            <w:vAlign w:val="bottom"/>
          </w:tcPr>
          <w:p>
            <w:pPr>
              <w:spacing w:after="0"/>
              <w:rPr>
                <w:sz w:val="12"/>
                <w:szCs w:val="12"/>
                <w:color w:val="auto"/>
              </w:rPr>
            </w:pPr>
          </w:p>
        </w:tc>
        <w:tc>
          <w:tcPr>
            <w:tcW w:w="760" w:type="dxa"/>
            <w:vAlign w:val="bottom"/>
          </w:tcPr>
          <w:p>
            <w:pPr>
              <w:jc w:val="right"/>
              <w:spacing w:after="0" w:line="141" w:lineRule="exact"/>
              <w:rPr>
                <w:sz w:val="20"/>
                <w:szCs w:val="20"/>
                <w:color w:val="auto"/>
              </w:rPr>
            </w:pPr>
            <w:r>
              <w:rPr>
                <w:rFonts w:ascii="Arial" w:cs="Arial" w:eastAsia="Arial" w:hAnsi="Arial"/>
                <w:sz w:val="13"/>
                <w:szCs w:val="13"/>
                <w:color w:val="auto"/>
              </w:rPr>
              <w:t>10,160,373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80" w:type="dxa"/>
            <w:vAlign w:val="bottom"/>
            <w:gridSpan w:val="2"/>
            <w:shd w:val="clear" w:color="auto" w:fill="D8D8D8"/>
          </w:tcPr>
          <w:p>
            <w:pPr>
              <w:spacing w:after="0" w:line="141" w:lineRule="exact"/>
              <w:rPr>
                <w:sz w:val="20"/>
                <w:szCs w:val="20"/>
                <w:color w:val="auto"/>
              </w:rPr>
            </w:pPr>
            <w:r>
              <w:rPr>
                <w:rFonts w:ascii="Arial" w:cs="Arial" w:eastAsia="Arial" w:hAnsi="Arial"/>
                <w:sz w:val="13"/>
                <w:szCs w:val="13"/>
                <w:color w:val="auto"/>
              </w:rPr>
              <w:t>Ms. West</w:t>
            </w: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2,376,000</w:t>
            </w:r>
          </w:p>
        </w:tc>
        <w:tc>
          <w:tcPr>
            <w:tcW w:w="180" w:type="dxa"/>
            <w:vAlign w:val="bottom"/>
            <w:shd w:val="clear" w:color="auto" w:fill="D8D8D8"/>
          </w:tcPr>
          <w:p>
            <w:pPr>
              <w:spacing w:after="0"/>
              <w:rPr>
                <w:sz w:val="12"/>
                <w:szCs w:val="12"/>
                <w:color w:val="auto"/>
              </w:rPr>
            </w:pPr>
          </w:p>
        </w:tc>
        <w:tc>
          <w:tcPr>
            <w:tcW w:w="88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681,571</w:t>
            </w:r>
          </w:p>
        </w:tc>
        <w:tc>
          <w:tcPr>
            <w:tcW w:w="1140" w:type="dxa"/>
            <w:vAlign w:val="bottom"/>
            <w:gridSpan w:val="2"/>
            <w:shd w:val="clear" w:color="auto" w:fill="D8D8D8"/>
          </w:tcPr>
          <w:p>
            <w:pPr>
              <w:jc w:val="right"/>
              <w:ind w:right="180"/>
              <w:spacing w:after="0" w:line="141" w:lineRule="exact"/>
              <w:rPr>
                <w:sz w:val="20"/>
                <w:szCs w:val="20"/>
                <w:color w:val="auto"/>
              </w:rPr>
            </w:pPr>
            <w:r>
              <w:rPr>
                <w:rFonts w:ascii="Arial" w:cs="Arial" w:eastAsia="Arial" w:hAnsi="Arial"/>
                <w:sz w:val="13"/>
                <w:szCs w:val="13"/>
                <w:color w:val="auto"/>
              </w:rPr>
              <w:t>45,248</w:t>
            </w:r>
          </w:p>
        </w:tc>
        <w:tc>
          <w:tcPr>
            <w:tcW w:w="70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1,555,297</w:t>
            </w:r>
          </w:p>
        </w:tc>
        <w:tc>
          <w:tcPr>
            <w:tcW w:w="180" w:type="dxa"/>
            <w:vAlign w:val="bottom"/>
            <w:shd w:val="clear" w:color="auto" w:fill="D8D8D8"/>
          </w:tcPr>
          <w:p>
            <w:pPr>
              <w:spacing w:after="0"/>
              <w:rPr>
                <w:sz w:val="12"/>
                <w:szCs w:val="12"/>
                <w:color w:val="auto"/>
              </w:rPr>
            </w:pPr>
          </w:p>
        </w:tc>
        <w:tc>
          <w:tcPr>
            <w:tcW w:w="6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1,170,208</w:t>
            </w: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195,823</w:t>
            </w:r>
          </w:p>
        </w:tc>
        <w:tc>
          <w:tcPr>
            <w:tcW w:w="180" w:type="dxa"/>
            <w:vAlign w:val="bottom"/>
            <w:shd w:val="clear" w:color="auto" w:fill="D8D8D8"/>
          </w:tcPr>
          <w:p>
            <w:pPr>
              <w:spacing w:after="0"/>
              <w:rPr>
                <w:sz w:val="12"/>
                <w:szCs w:val="12"/>
                <w:color w:val="auto"/>
              </w:rPr>
            </w:pPr>
          </w:p>
        </w:tc>
        <w:tc>
          <w:tcPr>
            <w:tcW w:w="84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70,000</w:t>
            </w:r>
          </w:p>
        </w:tc>
        <w:tc>
          <w:tcPr>
            <w:tcW w:w="18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6,094,147</w:t>
            </w:r>
          </w:p>
        </w:tc>
        <w:tc>
          <w:tcPr>
            <w:tcW w:w="8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64770</wp:posOffset>
            </wp:positionV>
            <wp:extent cx="72263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0" w:lineRule="exact"/>
        <w:rPr>
          <w:sz w:val="20"/>
          <w:szCs w:val="20"/>
          <w:color w:val="auto"/>
        </w:rPr>
      </w:pPr>
    </w:p>
    <w:p>
      <w:pPr>
        <w:ind w:left="1240" w:right="180" w:hanging="445"/>
        <w:spacing w:after="0" w:line="236" w:lineRule="auto"/>
        <w:tabs>
          <w:tab w:leader="none" w:pos="12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For the Named Executive Officers active as of December 31, 2011, the amounts reflect the following: three times base salary plus target annual cash incentive for Ms. Rosenfeld and two times base salary plus target annual cash incentive for Messrs. Brearton, McLevish, Khosla and Vernon and Ms. West.</w:t>
      </w:r>
    </w:p>
    <w:p>
      <w:pPr>
        <w:spacing w:after="0" w:line="51" w:lineRule="exact"/>
        <w:rPr>
          <w:rFonts w:ascii="Arial" w:cs="Arial" w:eastAsia="Arial" w:hAnsi="Arial"/>
          <w:sz w:val="13"/>
          <w:szCs w:val="13"/>
          <w:color w:val="auto"/>
        </w:rPr>
      </w:pPr>
    </w:p>
    <w:p>
      <w:pPr>
        <w:ind w:left="1240" w:right="80" w:hanging="445"/>
        <w:spacing w:after="0" w:line="232" w:lineRule="auto"/>
        <w:tabs>
          <w:tab w:leader="none" w:pos="12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amounts reflect the prorated LTIP awards based on business performance ratings of 100% and awards paid at the Named Executive Officer’s individual target at the assumed date of a CIC. The portion of the pro rata LTIP awards relating to the 2010-2012 and 2011-2013 performance cycles are based on a December 30, 2011 closing stock price of $37.36.</w:t>
      </w:r>
    </w:p>
    <w:p>
      <w:pPr>
        <w:spacing w:after="0" w:line="52" w:lineRule="exact"/>
        <w:rPr>
          <w:rFonts w:ascii="Arial" w:cs="Arial" w:eastAsia="Arial" w:hAnsi="Arial"/>
          <w:sz w:val="13"/>
          <w:szCs w:val="13"/>
          <w:color w:val="auto"/>
        </w:rPr>
      </w:pPr>
    </w:p>
    <w:p>
      <w:pPr>
        <w:ind w:left="1240" w:right="20" w:hanging="445"/>
        <w:spacing w:after="0" w:line="232" w:lineRule="auto"/>
        <w:tabs>
          <w:tab w:leader="none" w:pos="12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amounts reflect our cost of providing medical, dental, long-term disability and life insurance premiums for three years for Ms. Rosenfeld and two years for the other Named Executive Officers. The amounts also include a retiree medical benefit with a present value of $420,000 for Ms. Rosenfeld as she would be eligible for medical benefits at the end of the payment period.</w:t>
      </w:r>
    </w:p>
    <w:p>
      <w:pPr>
        <w:spacing w:after="0" w:line="52" w:lineRule="exact"/>
        <w:rPr>
          <w:rFonts w:ascii="Arial" w:cs="Arial" w:eastAsia="Arial" w:hAnsi="Arial"/>
          <w:sz w:val="13"/>
          <w:szCs w:val="13"/>
          <w:color w:val="auto"/>
        </w:rPr>
      </w:pPr>
    </w:p>
    <w:p>
      <w:pPr>
        <w:ind w:left="1240" w:right="160" w:hanging="445"/>
        <w:spacing w:after="0" w:line="236" w:lineRule="auto"/>
        <w:tabs>
          <w:tab w:leader="none" w:pos="12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amounts reflect the value of the immediate vesting of all outstanding restricted stock awards and outstanding stock options as of the effective date of termination, based on a December 30, 2011 closing stock price of $37.36.</w:t>
      </w:r>
    </w:p>
    <w:p>
      <w:pPr>
        <w:spacing w:after="0" w:line="51" w:lineRule="exact"/>
        <w:rPr>
          <w:rFonts w:ascii="Arial" w:cs="Arial" w:eastAsia="Arial" w:hAnsi="Arial"/>
          <w:sz w:val="13"/>
          <w:szCs w:val="13"/>
          <w:color w:val="auto"/>
        </w:rPr>
      </w:pPr>
    </w:p>
    <w:p>
      <w:pPr>
        <w:ind w:left="1240" w:hanging="445"/>
        <w:spacing w:after="0"/>
        <w:tabs>
          <w:tab w:leader="none" w:pos="12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Our CIC Plan provides an additional two years of pension accrual (three for the CEO) in the event of a CIC.</w:t>
      </w:r>
    </w:p>
    <w:p>
      <w:pPr>
        <w:spacing w:after="0" w:line="55" w:lineRule="exact"/>
        <w:rPr>
          <w:rFonts w:ascii="Arial" w:cs="Arial" w:eastAsia="Arial" w:hAnsi="Arial"/>
          <w:sz w:val="13"/>
          <w:szCs w:val="13"/>
          <w:color w:val="auto"/>
        </w:rPr>
      </w:pPr>
    </w:p>
    <w:p>
      <w:pPr>
        <w:ind w:left="1240" w:hanging="445"/>
        <w:spacing w:after="0"/>
        <w:tabs>
          <w:tab w:leader="none" w:pos="12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amounts reflect the value of financial counseling, car allowance and outplacement services.</w:t>
      </w:r>
    </w:p>
    <w:p>
      <w:pPr>
        <w:spacing w:after="0" w:line="55" w:lineRule="exact"/>
        <w:rPr>
          <w:rFonts w:ascii="Arial" w:cs="Arial" w:eastAsia="Arial" w:hAnsi="Arial"/>
          <w:sz w:val="13"/>
          <w:szCs w:val="13"/>
          <w:color w:val="auto"/>
        </w:rPr>
      </w:pPr>
    </w:p>
    <w:p>
      <w:pPr>
        <w:ind w:left="1240" w:right="100" w:hanging="445"/>
        <w:spacing w:after="0" w:line="236" w:lineRule="auto"/>
        <w:tabs>
          <w:tab w:leader="none" w:pos="124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amounts reflect the estimated value of excise taxes and associated taxes incurred in connection with the termination following a CIC. In developing this estimate, we have not valued the non-compete feature of the CIC Plan.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444" w:right="23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Potential Payout upon Other Types of Separations</w:t>
      </w:r>
    </w:p>
    <w:p>
      <w:pPr>
        <w:spacing w:after="0" w:line="150"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the event that a Named Executive Officer is terminated from Kraft Foods due to death, disability or normal retirement (retirement at or after the age of 65 years), all unvested restricted stock and stock options would vest in all cases. Ms. Rosenfeld’s performance-contingent stock options vest in the event of death or disability. In addition, the Named Executive Officer would become eligible for award payments under the annual cash and long-term incentive plans. Such award payments would be prorated based on the number of months the Named Executive Officer participated in the applicable plans.</w:t>
      </w:r>
    </w:p>
    <w:p>
      <w:pPr>
        <w:spacing w:after="0" w:line="133"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Based on a December 31, 2011 termination due to death, disability or normal retirement, the estimated value of such payments for the Named Executive Officers are described in the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04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7"/>
              </w:rPr>
              <w:t>Long-Term</w:t>
            </w:r>
          </w:p>
        </w:tc>
        <w:tc>
          <w:tcPr>
            <w:tcW w:w="244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7"/>
              </w:rPr>
              <w:t>Value of Unvested</w:t>
            </w:r>
          </w:p>
        </w:tc>
        <w:tc>
          <w:tcPr>
            <w:tcW w:w="1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40" w:type="dxa"/>
            <w:vAlign w:val="bottom"/>
            <w:gridSpan w:val="2"/>
          </w:tcPr>
          <w:p>
            <w:pPr>
              <w:jc w:val="center"/>
              <w:ind w:right="1120"/>
              <w:spacing w:after="0" w:line="132" w:lineRule="exact"/>
              <w:rPr>
                <w:sz w:val="20"/>
                <w:szCs w:val="20"/>
                <w:color w:val="auto"/>
              </w:rPr>
            </w:pPr>
            <w:r>
              <w:rPr>
                <w:rFonts w:ascii="Arial" w:cs="Arial" w:eastAsia="Arial" w:hAnsi="Arial"/>
                <w:sz w:val="13"/>
                <w:szCs w:val="13"/>
                <w:b w:val="1"/>
                <w:bCs w:val="1"/>
                <w:color w:val="auto"/>
                <w:w w:val="99"/>
              </w:rPr>
              <w:t>Incentive</w:t>
            </w:r>
          </w:p>
        </w:tc>
        <w:tc>
          <w:tcPr>
            <w:tcW w:w="2440" w:type="dxa"/>
            <w:vAlign w:val="bottom"/>
            <w:gridSpan w:val="2"/>
          </w:tcPr>
          <w:p>
            <w:pPr>
              <w:jc w:val="center"/>
              <w:ind w:right="1120"/>
              <w:spacing w:after="0" w:line="132" w:lineRule="exact"/>
              <w:rPr>
                <w:sz w:val="20"/>
                <w:szCs w:val="20"/>
                <w:color w:val="auto"/>
              </w:rPr>
            </w:pPr>
            <w:r>
              <w:rPr>
                <w:rFonts w:ascii="Arial" w:cs="Arial" w:eastAsia="Arial" w:hAnsi="Arial"/>
                <w:sz w:val="13"/>
                <w:szCs w:val="13"/>
                <w:b w:val="1"/>
                <w:bCs w:val="1"/>
                <w:color w:val="auto"/>
                <w:w w:val="97"/>
              </w:rPr>
              <w:t>Restricted Stock</w:t>
            </w:r>
          </w:p>
        </w:tc>
        <w:tc>
          <w:tcPr>
            <w:tcW w:w="2440" w:type="dxa"/>
            <w:vAlign w:val="bottom"/>
            <w:gridSpan w:val="2"/>
          </w:tcPr>
          <w:p>
            <w:pPr>
              <w:jc w:val="center"/>
              <w:ind w:right="1140"/>
              <w:spacing w:after="0" w:line="132" w:lineRule="exact"/>
              <w:rPr>
                <w:sz w:val="20"/>
                <w:szCs w:val="20"/>
                <w:color w:val="auto"/>
              </w:rPr>
            </w:pPr>
            <w:r>
              <w:rPr>
                <w:rFonts w:ascii="Arial" w:cs="Arial" w:eastAsia="Arial" w:hAnsi="Arial"/>
                <w:sz w:val="13"/>
                <w:szCs w:val="13"/>
                <w:b w:val="1"/>
                <w:bCs w:val="1"/>
                <w:color w:val="auto"/>
                <w:w w:val="97"/>
              </w:rPr>
              <w:t>Value of Unvested</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1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2120" w:type="dxa"/>
            <w:vAlign w:val="bottom"/>
          </w:tcPr>
          <w:p>
            <w:pPr>
              <w:spacing w:after="0"/>
              <w:rPr>
                <w:sz w:val="13"/>
                <w:szCs w:val="13"/>
                <w:color w:val="auto"/>
              </w:rPr>
            </w:pPr>
          </w:p>
        </w:tc>
        <w:tc>
          <w:tcPr>
            <w:tcW w:w="2040" w:type="dxa"/>
            <w:vAlign w:val="bottom"/>
            <w:gridSpan w:val="2"/>
          </w:tcPr>
          <w:p>
            <w:pPr>
              <w:jc w:val="center"/>
              <w:ind w:right="1120"/>
              <w:spacing w:after="0" w:line="150" w:lineRule="exact"/>
              <w:rPr>
                <w:sz w:val="20"/>
                <w:szCs w:val="20"/>
                <w:color w:val="auto"/>
              </w:rPr>
            </w:pPr>
            <w:r>
              <w:rPr>
                <w:rFonts w:ascii="Arial" w:cs="Arial" w:eastAsia="Arial" w:hAnsi="Arial"/>
                <w:sz w:val="11"/>
                <w:szCs w:val="11"/>
                <w:b w:val="1"/>
                <w:bCs w:val="1"/>
                <w:color w:val="auto"/>
              </w:rPr>
              <w:t>Award</w:t>
            </w:r>
            <w:r>
              <w:rPr>
                <w:rFonts w:ascii="Arial" w:cs="Arial" w:eastAsia="Arial" w:hAnsi="Arial"/>
                <w:sz w:val="17"/>
                <w:szCs w:val="17"/>
                <w:b w:val="1"/>
                <w:bCs w:val="1"/>
                <w:color w:val="auto"/>
                <w:vertAlign w:val="superscript"/>
              </w:rPr>
              <w:t>(1)</w:t>
            </w:r>
          </w:p>
        </w:tc>
        <w:tc>
          <w:tcPr>
            <w:tcW w:w="2440" w:type="dxa"/>
            <w:vAlign w:val="bottom"/>
            <w:gridSpan w:val="2"/>
          </w:tcPr>
          <w:p>
            <w:pPr>
              <w:jc w:val="center"/>
              <w:ind w:right="1120"/>
              <w:spacing w:after="0" w:line="150"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(2)</w:t>
            </w:r>
          </w:p>
        </w:tc>
        <w:tc>
          <w:tcPr>
            <w:tcW w:w="2440" w:type="dxa"/>
            <w:vAlign w:val="bottom"/>
            <w:gridSpan w:val="2"/>
          </w:tcPr>
          <w:p>
            <w:pPr>
              <w:jc w:val="center"/>
              <w:ind w:right="1120"/>
              <w:spacing w:after="0" w:line="150" w:lineRule="exact"/>
              <w:rPr>
                <w:sz w:val="20"/>
                <w:szCs w:val="20"/>
                <w:color w:val="auto"/>
              </w:rPr>
            </w:pPr>
            <w:r>
              <w:rPr>
                <w:rFonts w:ascii="Arial" w:cs="Arial" w:eastAsia="Arial" w:hAnsi="Arial"/>
                <w:sz w:val="11"/>
                <w:szCs w:val="11"/>
                <w:b w:val="1"/>
                <w:bCs w:val="1"/>
                <w:color w:val="auto"/>
              </w:rPr>
              <w:t>Stock Options</w:t>
            </w:r>
            <w:r>
              <w:rPr>
                <w:rFonts w:ascii="Arial" w:cs="Arial" w:eastAsia="Arial" w:hAnsi="Arial"/>
                <w:sz w:val="17"/>
                <w:szCs w:val="17"/>
                <w:b w:val="1"/>
                <w:bCs w:val="1"/>
                <w:color w:val="auto"/>
                <w:vertAlign w:val="superscript"/>
              </w:rPr>
              <w:t>(2)</w:t>
            </w:r>
          </w:p>
        </w:tc>
        <w:tc>
          <w:tcPr>
            <w:tcW w:w="1200" w:type="dxa"/>
            <w:vAlign w:val="bottom"/>
            <w:gridSpan w:val="2"/>
          </w:tcPr>
          <w:p>
            <w:pPr>
              <w:ind w:lef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5"/>
        </w:trPr>
        <w:tc>
          <w:tcPr>
            <w:tcW w:w="1180" w:type="dxa"/>
            <w:vAlign w:val="bottom"/>
            <w:tcBorders>
              <w:bottom w:val="single" w:sz="8" w:color="auto"/>
            </w:tcBorders>
            <w:vMerge w:val="continue"/>
          </w:tcPr>
          <w:p>
            <w:pPr>
              <w:spacing w:after="0"/>
              <w:rPr>
                <w:sz w:val="14"/>
                <w:szCs w:val="14"/>
                <w:color w:val="auto"/>
              </w:rPr>
            </w:pPr>
          </w:p>
        </w:tc>
        <w:tc>
          <w:tcPr>
            <w:tcW w:w="2120" w:type="dxa"/>
            <w:vAlign w:val="bottom"/>
          </w:tcPr>
          <w:p>
            <w:pPr>
              <w:spacing w:after="0"/>
              <w:rPr>
                <w:sz w:val="14"/>
                <w:szCs w:val="14"/>
                <w:color w:val="auto"/>
              </w:rPr>
            </w:pPr>
          </w:p>
        </w:tc>
        <w:tc>
          <w:tcPr>
            <w:tcW w:w="92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120" w:type="dxa"/>
            <w:vAlign w:val="bottom"/>
          </w:tcPr>
          <w:p>
            <w:pPr>
              <w:spacing w:after="0"/>
              <w:rPr>
                <w:sz w:val="14"/>
                <w:szCs w:val="14"/>
                <w:color w:val="auto"/>
              </w:rPr>
            </w:pPr>
          </w:p>
        </w:tc>
        <w:tc>
          <w:tcPr>
            <w:tcW w:w="130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140" w:type="dxa"/>
            <w:vAlign w:val="bottom"/>
          </w:tcPr>
          <w:p>
            <w:pPr>
              <w:spacing w:after="0"/>
              <w:rPr>
                <w:sz w:val="14"/>
                <w:szCs w:val="14"/>
                <w:color w:val="auto"/>
              </w:rPr>
            </w:pPr>
          </w:p>
        </w:tc>
        <w:tc>
          <w:tcPr>
            <w:tcW w:w="1300" w:type="dxa"/>
            <w:vAlign w:val="bottom"/>
            <w:tcBorders>
              <w:bottom w:val="single" w:sz="8" w:color="auto"/>
            </w:tcBorders>
          </w:tcPr>
          <w:p>
            <w:pPr>
              <w:jc w:val="center"/>
              <w:spacing w:after="0" w:line="145" w:lineRule="exact"/>
              <w:rPr>
                <w:sz w:val="20"/>
                <w:szCs w:val="20"/>
                <w:color w:val="auto"/>
              </w:rPr>
            </w:pPr>
            <w:r>
              <w:rPr>
                <w:rFonts w:ascii="Arial" w:cs="Arial" w:eastAsia="Arial" w:hAnsi="Arial"/>
                <w:sz w:val="13"/>
                <w:szCs w:val="13"/>
                <w:b w:val="1"/>
                <w:bCs w:val="1"/>
                <w:color w:val="auto"/>
              </w:rPr>
              <w:t>($)</w:t>
            </w:r>
          </w:p>
        </w:tc>
        <w:tc>
          <w:tcPr>
            <w:tcW w:w="1140" w:type="dxa"/>
            <w:vAlign w:val="bottom"/>
          </w:tcPr>
          <w:p>
            <w:pPr>
              <w:spacing w:after="0"/>
              <w:rPr>
                <w:sz w:val="14"/>
                <w:szCs w:val="14"/>
                <w:color w:val="auto"/>
              </w:rPr>
            </w:pPr>
          </w:p>
        </w:tc>
        <w:tc>
          <w:tcPr>
            <w:tcW w:w="1080" w:type="dxa"/>
            <w:vAlign w:val="bottom"/>
            <w:tcBorders>
              <w:bottom w:val="single" w:sz="8" w:color="auto"/>
            </w:tcBorders>
          </w:tcPr>
          <w:p>
            <w:pPr>
              <w:jc w:val="right"/>
              <w:ind w:right="382"/>
              <w:spacing w:after="0" w:line="145"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80" w:type="dxa"/>
            <w:vAlign w:val="bottom"/>
          </w:tcPr>
          <w:p>
            <w:pPr>
              <w:spacing w:after="0" w:line="177" w:lineRule="exact"/>
              <w:rPr>
                <w:sz w:val="20"/>
                <w:szCs w:val="20"/>
                <w:color w:val="auto"/>
              </w:rPr>
            </w:pPr>
            <w:r>
              <w:rPr>
                <w:rFonts w:ascii="Arial" w:cs="Arial" w:eastAsia="Arial" w:hAnsi="Arial"/>
                <w:sz w:val="17"/>
                <w:szCs w:val="17"/>
                <w:color w:val="auto"/>
              </w:rPr>
              <w:t>Ms. Rosenfeld</w:t>
            </w:r>
          </w:p>
        </w:tc>
        <w:tc>
          <w:tcPr>
            <w:tcW w:w="3040" w:type="dxa"/>
            <w:vAlign w:val="bottom"/>
            <w:gridSpan w:val="2"/>
          </w:tcPr>
          <w:p>
            <w:pPr>
              <w:jc w:val="right"/>
              <w:spacing w:after="0" w:line="177" w:lineRule="exact"/>
              <w:rPr>
                <w:sz w:val="20"/>
                <w:szCs w:val="20"/>
                <w:color w:val="auto"/>
              </w:rPr>
            </w:pPr>
            <w:r>
              <w:rPr>
                <w:rFonts w:ascii="Arial" w:cs="Arial" w:eastAsia="Arial" w:hAnsi="Arial"/>
                <w:sz w:val="17"/>
                <w:szCs w:val="17"/>
                <w:color w:val="auto"/>
              </w:rPr>
              <w:t>6,093,167</w:t>
            </w:r>
          </w:p>
        </w:tc>
        <w:tc>
          <w:tcPr>
            <w:tcW w:w="1120" w:type="dxa"/>
            <w:vAlign w:val="bottom"/>
          </w:tcPr>
          <w:p>
            <w:pPr>
              <w:spacing w:after="0"/>
              <w:rPr>
                <w:sz w:val="15"/>
                <w:szCs w:val="15"/>
                <w:color w:val="auto"/>
              </w:rPr>
            </w:pPr>
          </w:p>
        </w:tc>
        <w:tc>
          <w:tcPr>
            <w:tcW w:w="1300" w:type="dxa"/>
            <w:vAlign w:val="bottom"/>
          </w:tcPr>
          <w:p>
            <w:pPr>
              <w:jc w:val="right"/>
              <w:spacing w:after="0" w:line="177" w:lineRule="exact"/>
              <w:rPr>
                <w:sz w:val="20"/>
                <w:szCs w:val="20"/>
                <w:color w:val="auto"/>
              </w:rPr>
            </w:pPr>
            <w:r>
              <w:rPr>
                <w:rFonts w:ascii="Arial" w:cs="Arial" w:eastAsia="Arial" w:hAnsi="Arial"/>
                <w:sz w:val="17"/>
                <w:szCs w:val="17"/>
                <w:color w:val="auto"/>
              </w:rPr>
              <w:t>13,164,917</w:t>
            </w:r>
          </w:p>
        </w:tc>
        <w:tc>
          <w:tcPr>
            <w:tcW w:w="1140" w:type="dxa"/>
            <w:vAlign w:val="bottom"/>
          </w:tcPr>
          <w:p>
            <w:pPr>
              <w:spacing w:after="0"/>
              <w:rPr>
                <w:sz w:val="15"/>
                <w:szCs w:val="15"/>
                <w:color w:val="auto"/>
              </w:rPr>
            </w:pPr>
          </w:p>
        </w:tc>
        <w:tc>
          <w:tcPr>
            <w:tcW w:w="1300" w:type="dxa"/>
            <w:vAlign w:val="bottom"/>
          </w:tcPr>
          <w:p>
            <w:pPr>
              <w:jc w:val="right"/>
              <w:spacing w:after="0" w:line="177" w:lineRule="exact"/>
              <w:rPr>
                <w:sz w:val="20"/>
                <w:szCs w:val="20"/>
                <w:color w:val="auto"/>
              </w:rPr>
            </w:pPr>
            <w:r>
              <w:rPr>
                <w:rFonts w:ascii="Arial" w:cs="Arial" w:eastAsia="Arial" w:hAnsi="Arial"/>
                <w:sz w:val="17"/>
                <w:szCs w:val="17"/>
                <w:color w:val="auto"/>
              </w:rPr>
              <w:t>9,163,397</w:t>
            </w:r>
          </w:p>
        </w:tc>
        <w:tc>
          <w:tcPr>
            <w:tcW w:w="1140" w:type="dxa"/>
            <w:vAlign w:val="bottom"/>
          </w:tcPr>
          <w:p>
            <w:pPr>
              <w:spacing w:after="0"/>
              <w:rPr>
                <w:sz w:val="15"/>
                <w:szCs w:val="15"/>
                <w:color w:val="auto"/>
              </w:rPr>
            </w:pPr>
          </w:p>
        </w:tc>
        <w:tc>
          <w:tcPr>
            <w:tcW w:w="1080" w:type="dxa"/>
            <w:vAlign w:val="bottom"/>
          </w:tcPr>
          <w:p>
            <w:pPr>
              <w:jc w:val="right"/>
              <w:spacing w:after="0" w:line="177" w:lineRule="exact"/>
              <w:rPr>
                <w:sz w:val="20"/>
                <w:szCs w:val="20"/>
                <w:color w:val="auto"/>
              </w:rPr>
            </w:pPr>
            <w:r>
              <w:rPr>
                <w:rFonts w:ascii="Arial" w:cs="Arial" w:eastAsia="Arial" w:hAnsi="Arial"/>
                <w:sz w:val="17"/>
                <w:szCs w:val="17"/>
                <w:color w:val="auto"/>
              </w:rPr>
              <w:t>28,421,481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8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Mr. Brearton</w:t>
            </w:r>
          </w:p>
        </w:tc>
        <w:tc>
          <w:tcPr>
            <w:tcW w:w="4160" w:type="dxa"/>
            <w:vAlign w:val="bottom"/>
            <w:gridSpan w:val="3"/>
            <w:shd w:val="clear" w:color="auto" w:fill="D8D8D8"/>
          </w:tcPr>
          <w:p>
            <w:pPr>
              <w:jc w:val="right"/>
              <w:ind w:right="1120"/>
              <w:spacing w:after="0" w:line="192" w:lineRule="exact"/>
              <w:rPr>
                <w:sz w:val="20"/>
                <w:szCs w:val="20"/>
                <w:color w:val="auto"/>
              </w:rPr>
            </w:pPr>
            <w:r>
              <w:rPr>
                <w:rFonts w:ascii="Arial" w:cs="Arial" w:eastAsia="Arial" w:hAnsi="Arial"/>
                <w:sz w:val="17"/>
                <w:szCs w:val="17"/>
                <w:color w:val="auto"/>
              </w:rPr>
              <w:t>548,943</w:t>
            </w:r>
          </w:p>
        </w:tc>
        <w:tc>
          <w:tcPr>
            <w:tcW w:w="13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1,427,526</w:t>
            </w:r>
          </w:p>
        </w:tc>
        <w:tc>
          <w:tcPr>
            <w:tcW w:w="1140" w:type="dxa"/>
            <w:vAlign w:val="bottom"/>
            <w:shd w:val="clear" w:color="auto" w:fill="D8D8D8"/>
          </w:tcPr>
          <w:p>
            <w:pPr>
              <w:spacing w:after="0"/>
              <w:rPr>
                <w:sz w:val="16"/>
                <w:szCs w:val="16"/>
                <w:color w:val="auto"/>
              </w:rPr>
            </w:pPr>
          </w:p>
        </w:tc>
        <w:tc>
          <w:tcPr>
            <w:tcW w:w="13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960,969</w:t>
            </w:r>
          </w:p>
        </w:tc>
        <w:tc>
          <w:tcPr>
            <w:tcW w:w="1140" w:type="dxa"/>
            <w:vAlign w:val="bottom"/>
            <w:shd w:val="clear" w:color="auto" w:fill="D8D8D8"/>
          </w:tcPr>
          <w:p>
            <w:pPr>
              <w:spacing w:after="0"/>
              <w:rPr>
                <w:sz w:val="16"/>
                <w:szCs w:val="16"/>
                <w:color w:val="auto"/>
              </w:rPr>
            </w:pPr>
          </w:p>
        </w:tc>
        <w:tc>
          <w:tcPr>
            <w:tcW w:w="108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2,937,438</w:t>
            </w:r>
          </w:p>
        </w:tc>
        <w:tc>
          <w:tcPr>
            <w:tcW w:w="12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80" w:type="dxa"/>
            <w:vAlign w:val="bottom"/>
          </w:tcPr>
          <w:p>
            <w:pPr>
              <w:spacing w:after="0" w:line="192" w:lineRule="exact"/>
              <w:rPr>
                <w:sz w:val="20"/>
                <w:szCs w:val="20"/>
                <w:color w:val="auto"/>
              </w:rPr>
            </w:pPr>
            <w:r>
              <w:rPr>
                <w:rFonts w:ascii="Arial" w:cs="Arial" w:eastAsia="Arial" w:hAnsi="Arial"/>
                <w:sz w:val="17"/>
                <w:szCs w:val="17"/>
                <w:color w:val="auto"/>
              </w:rPr>
              <w:t>Mr. McLevish</w:t>
            </w:r>
          </w:p>
        </w:tc>
        <w:tc>
          <w:tcPr>
            <w:tcW w:w="304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1,586,928</w:t>
            </w:r>
          </w:p>
        </w:tc>
        <w:tc>
          <w:tcPr>
            <w:tcW w:w="1120" w:type="dxa"/>
            <w:vAlign w:val="bottom"/>
          </w:tcPr>
          <w:p>
            <w:pPr>
              <w:spacing w:after="0"/>
              <w:rPr>
                <w:sz w:val="16"/>
                <w:szCs w:val="16"/>
                <w:color w:val="auto"/>
              </w:rPr>
            </w:pPr>
          </w:p>
        </w:tc>
        <w:tc>
          <w:tcPr>
            <w:tcW w:w="1300" w:type="dxa"/>
            <w:vAlign w:val="bottom"/>
          </w:tcPr>
          <w:p>
            <w:pPr>
              <w:jc w:val="right"/>
              <w:spacing w:after="0" w:line="192" w:lineRule="exact"/>
              <w:rPr>
                <w:sz w:val="20"/>
                <w:szCs w:val="20"/>
                <w:color w:val="auto"/>
              </w:rPr>
            </w:pPr>
            <w:r>
              <w:rPr>
                <w:rFonts w:ascii="Arial" w:cs="Arial" w:eastAsia="Arial" w:hAnsi="Arial"/>
                <w:sz w:val="17"/>
                <w:szCs w:val="17"/>
                <w:color w:val="auto"/>
              </w:rPr>
              <w:t>3,225,289</w:t>
            </w:r>
          </w:p>
        </w:tc>
        <w:tc>
          <w:tcPr>
            <w:tcW w:w="1140" w:type="dxa"/>
            <w:vAlign w:val="bottom"/>
          </w:tcPr>
          <w:p>
            <w:pPr>
              <w:spacing w:after="0"/>
              <w:rPr>
                <w:sz w:val="16"/>
                <w:szCs w:val="16"/>
                <w:color w:val="auto"/>
              </w:rPr>
            </w:pPr>
          </w:p>
        </w:tc>
        <w:tc>
          <w:tcPr>
            <w:tcW w:w="1300" w:type="dxa"/>
            <w:vAlign w:val="bottom"/>
          </w:tcPr>
          <w:p>
            <w:pPr>
              <w:jc w:val="right"/>
              <w:spacing w:after="0" w:line="192" w:lineRule="exact"/>
              <w:rPr>
                <w:sz w:val="20"/>
                <w:szCs w:val="20"/>
                <w:color w:val="auto"/>
              </w:rPr>
            </w:pPr>
            <w:r>
              <w:rPr>
                <w:rFonts w:ascii="Arial" w:cs="Arial" w:eastAsia="Arial" w:hAnsi="Arial"/>
                <w:sz w:val="17"/>
                <w:szCs w:val="17"/>
                <w:color w:val="auto"/>
              </w:rPr>
              <w:t>2,323,521</w:t>
            </w:r>
          </w:p>
        </w:tc>
        <w:tc>
          <w:tcPr>
            <w:tcW w:w="1140" w:type="dxa"/>
            <w:vAlign w:val="bottom"/>
          </w:tcPr>
          <w:p>
            <w:pPr>
              <w:spacing w:after="0"/>
              <w:rPr>
                <w:sz w:val="16"/>
                <w:szCs w:val="16"/>
                <w:color w:val="auto"/>
              </w:rPr>
            </w:pPr>
          </w:p>
        </w:tc>
        <w:tc>
          <w:tcPr>
            <w:tcW w:w="1080" w:type="dxa"/>
            <w:vAlign w:val="bottom"/>
          </w:tcPr>
          <w:p>
            <w:pPr>
              <w:jc w:val="right"/>
              <w:spacing w:after="0" w:line="192" w:lineRule="exact"/>
              <w:rPr>
                <w:sz w:val="20"/>
                <w:szCs w:val="20"/>
                <w:color w:val="auto"/>
              </w:rPr>
            </w:pPr>
            <w:r>
              <w:rPr>
                <w:rFonts w:ascii="Arial" w:cs="Arial" w:eastAsia="Arial" w:hAnsi="Arial"/>
                <w:sz w:val="17"/>
                <w:szCs w:val="17"/>
                <w:color w:val="auto"/>
              </w:rPr>
              <w:t>7,135,738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8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Mr. Khosla</w:t>
            </w:r>
          </w:p>
        </w:tc>
        <w:tc>
          <w:tcPr>
            <w:tcW w:w="3040" w:type="dxa"/>
            <w:vAlign w:val="bottom"/>
            <w:gridSpan w:val="2"/>
            <w:shd w:val="clear" w:color="auto" w:fill="D8D8D8"/>
          </w:tcPr>
          <w:p>
            <w:pPr>
              <w:jc w:val="right"/>
              <w:spacing w:after="0" w:line="192" w:lineRule="exact"/>
              <w:rPr>
                <w:sz w:val="20"/>
                <w:szCs w:val="20"/>
                <w:color w:val="auto"/>
              </w:rPr>
            </w:pPr>
            <w:r>
              <w:rPr>
                <w:rFonts w:ascii="Arial" w:cs="Arial" w:eastAsia="Arial" w:hAnsi="Arial"/>
                <w:sz w:val="17"/>
                <w:szCs w:val="17"/>
                <w:color w:val="auto"/>
              </w:rPr>
              <w:t>1,232,257</w:t>
            </w:r>
          </w:p>
        </w:tc>
        <w:tc>
          <w:tcPr>
            <w:tcW w:w="1120" w:type="dxa"/>
            <w:vAlign w:val="bottom"/>
            <w:shd w:val="clear" w:color="auto" w:fill="D8D8D8"/>
          </w:tcPr>
          <w:p>
            <w:pPr>
              <w:spacing w:after="0"/>
              <w:rPr>
                <w:sz w:val="16"/>
                <w:szCs w:val="16"/>
                <w:color w:val="auto"/>
              </w:rPr>
            </w:pPr>
          </w:p>
        </w:tc>
        <w:tc>
          <w:tcPr>
            <w:tcW w:w="13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3,464,019</w:t>
            </w:r>
          </w:p>
        </w:tc>
        <w:tc>
          <w:tcPr>
            <w:tcW w:w="1140" w:type="dxa"/>
            <w:vAlign w:val="bottom"/>
            <w:shd w:val="clear" w:color="auto" w:fill="D8D8D8"/>
          </w:tcPr>
          <w:p>
            <w:pPr>
              <w:spacing w:after="0"/>
              <w:rPr>
                <w:sz w:val="16"/>
                <w:szCs w:val="16"/>
                <w:color w:val="auto"/>
              </w:rPr>
            </w:pPr>
          </w:p>
        </w:tc>
        <w:tc>
          <w:tcPr>
            <w:tcW w:w="13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1,378,688</w:t>
            </w:r>
          </w:p>
        </w:tc>
        <w:tc>
          <w:tcPr>
            <w:tcW w:w="1140" w:type="dxa"/>
            <w:vAlign w:val="bottom"/>
            <w:shd w:val="clear" w:color="auto" w:fill="D8D8D8"/>
          </w:tcPr>
          <w:p>
            <w:pPr>
              <w:spacing w:after="0"/>
              <w:rPr>
                <w:sz w:val="16"/>
                <w:szCs w:val="16"/>
                <w:color w:val="auto"/>
              </w:rPr>
            </w:pPr>
          </w:p>
        </w:tc>
        <w:tc>
          <w:tcPr>
            <w:tcW w:w="108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6,074,964</w:t>
            </w:r>
          </w:p>
        </w:tc>
        <w:tc>
          <w:tcPr>
            <w:tcW w:w="12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80" w:type="dxa"/>
            <w:vAlign w:val="bottom"/>
          </w:tcPr>
          <w:p>
            <w:pPr>
              <w:spacing w:after="0" w:line="192" w:lineRule="exact"/>
              <w:rPr>
                <w:sz w:val="20"/>
                <w:szCs w:val="20"/>
                <w:color w:val="auto"/>
              </w:rPr>
            </w:pPr>
            <w:r>
              <w:rPr>
                <w:rFonts w:ascii="Arial" w:cs="Arial" w:eastAsia="Arial" w:hAnsi="Arial"/>
                <w:sz w:val="17"/>
                <w:szCs w:val="17"/>
                <w:color w:val="auto"/>
              </w:rPr>
              <w:t>Mr. Vernon</w:t>
            </w:r>
          </w:p>
        </w:tc>
        <w:tc>
          <w:tcPr>
            <w:tcW w:w="304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1,625,783</w:t>
            </w:r>
          </w:p>
        </w:tc>
        <w:tc>
          <w:tcPr>
            <w:tcW w:w="1120" w:type="dxa"/>
            <w:vAlign w:val="bottom"/>
          </w:tcPr>
          <w:p>
            <w:pPr>
              <w:spacing w:after="0"/>
              <w:rPr>
                <w:sz w:val="16"/>
                <w:szCs w:val="16"/>
                <w:color w:val="auto"/>
              </w:rPr>
            </w:pPr>
          </w:p>
        </w:tc>
        <w:tc>
          <w:tcPr>
            <w:tcW w:w="1300" w:type="dxa"/>
            <w:vAlign w:val="bottom"/>
          </w:tcPr>
          <w:p>
            <w:pPr>
              <w:jc w:val="right"/>
              <w:spacing w:after="0" w:line="192" w:lineRule="exact"/>
              <w:rPr>
                <w:sz w:val="20"/>
                <w:szCs w:val="20"/>
                <w:color w:val="auto"/>
              </w:rPr>
            </w:pPr>
            <w:r>
              <w:rPr>
                <w:rFonts w:ascii="Arial" w:cs="Arial" w:eastAsia="Arial" w:hAnsi="Arial"/>
                <w:sz w:val="17"/>
                <w:szCs w:val="17"/>
                <w:color w:val="auto"/>
              </w:rPr>
              <w:t>2,102,621</w:t>
            </w:r>
          </w:p>
        </w:tc>
        <w:tc>
          <w:tcPr>
            <w:tcW w:w="1140" w:type="dxa"/>
            <w:vAlign w:val="bottom"/>
          </w:tcPr>
          <w:p>
            <w:pPr>
              <w:spacing w:after="0"/>
              <w:rPr>
                <w:sz w:val="16"/>
                <w:szCs w:val="16"/>
                <w:color w:val="auto"/>
              </w:rPr>
            </w:pPr>
          </w:p>
        </w:tc>
        <w:tc>
          <w:tcPr>
            <w:tcW w:w="1300" w:type="dxa"/>
            <w:vAlign w:val="bottom"/>
          </w:tcPr>
          <w:p>
            <w:pPr>
              <w:jc w:val="right"/>
              <w:spacing w:after="0" w:line="192" w:lineRule="exact"/>
              <w:rPr>
                <w:sz w:val="20"/>
                <w:szCs w:val="20"/>
                <w:color w:val="auto"/>
              </w:rPr>
            </w:pPr>
            <w:r>
              <w:rPr>
                <w:rFonts w:ascii="Arial" w:cs="Arial" w:eastAsia="Arial" w:hAnsi="Arial"/>
                <w:sz w:val="17"/>
                <w:szCs w:val="17"/>
                <w:color w:val="auto"/>
              </w:rPr>
              <w:t>1,467,288</w:t>
            </w:r>
          </w:p>
        </w:tc>
        <w:tc>
          <w:tcPr>
            <w:tcW w:w="1140" w:type="dxa"/>
            <w:vAlign w:val="bottom"/>
          </w:tcPr>
          <w:p>
            <w:pPr>
              <w:spacing w:after="0"/>
              <w:rPr>
                <w:sz w:val="16"/>
                <w:szCs w:val="16"/>
                <w:color w:val="auto"/>
              </w:rPr>
            </w:pPr>
          </w:p>
        </w:tc>
        <w:tc>
          <w:tcPr>
            <w:tcW w:w="1080" w:type="dxa"/>
            <w:vAlign w:val="bottom"/>
          </w:tcPr>
          <w:p>
            <w:pPr>
              <w:jc w:val="right"/>
              <w:spacing w:after="0" w:line="192" w:lineRule="exact"/>
              <w:rPr>
                <w:sz w:val="20"/>
                <w:szCs w:val="20"/>
                <w:color w:val="auto"/>
              </w:rPr>
            </w:pPr>
            <w:r>
              <w:rPr>
                <w:rFonts w:ascii="Arial" w:cs="Arial" w:eastAsia="Arial" w:hAnsi="Arial"/>
                <w:sz w:val="17"/>
                <w:szCs w:val="17"/>
                <w:color w:val="auto"/>
              </w:rPr>
              <w:t>5,195,692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80" w:type="dxa"/>
            <w:vAlign w:val="bottom"/>
            <w:shd w:val="clear" w:color="auto" w:fill="D8D8D8"/>
          </w:tcPr>
          <w:p>
            <w:pPr>
              <w:spacing w:after="0" w:line="192" w:lineRule="exact"/>
              <w:rPr>
                <w:sz w:val="20"/>
                <w:szCs w:val="20"/>
                <w:color w:val="auto"/>
              </w:rPr>
            </w:pPr>
            <w:r>
              <w:rPr>
                <w:rFonts w:ascii="Arial" w:cs="Arial" w:eastAsia="Arial" w:hAnsi="Arial"/>
                <w:sz w:val="17"/>
                <w:szCs w:val="17"/>
                <w:color w:val="auto"/>
              </w:rPr>
              <w:t>Ms. West</w:t>
            </w:r>
          </w:p>
        </w:tc>
        <w:tc>
          <w:tcPr>
            <w:tcW w:w="4160" w:type="dxa"/>
            <w:vAlign w:val="bottom"/>
            <w:gridSpan w:val="3"/>
            <w:shd w:val="clear" w:color="auto" w:fill="D8D8D8"/>
          </w:tcPr>
          <w:p>
            <w:pPr>
              <w:jc w:val="right"/>
              <w:ind w:right="1120"/>
              <w:spacing w:after="0" w:line="192" w:lineRule="exact"/>
              <w:rPr>
                <w:sz w:val="20"/>
                <w:szCs w:val="20"/>
                <w:color w:val="auto"/>
              </w:rPr>
            </w:pPr>
            <w:r>
              <w:rPr>
                <w:rFonts w:ascii="Arial" w:cs="Arial" w:eastAsia="Arial" w:hAnsi="Arial"/>
                <w:sz w:val="17"/>
                <w:szCs w:val="17"/>
                <w:color w:val="auto"/>
              </w:rPr>
              <w:t>681,571</w:t>
            </w:r>
          </w:p>
        </w:tc>
        <w:tc>
          <w:tcPr>
            <w:tcW w:w="13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1,555,297</w:t>
            </w:r>
          </w:p>
        </w:tc>
        <w:tc>
          <w:tcPr>
            <w:tcW w:w="1140" w:type="dxa"/>
            <w:vAlign w:val="bottom"/>
            <w:shd w:val="clear" w:color="auto" w:fill="D8D8D8"/>
          </w:tcPr>
          <w:p>
            <w:pPr>
              <w:spacing w:after="0"/>
              <w:rPr>
                <w:sz w:val="16"/>
                <w:szCs w:val="16"/>
                <w:color w:val="auto"/>
              </w:rPr>
            </w:pPr>
          </w:p>
        </w:tc>
        <w:tc>
          <w:tcPr>
            <w:tcW w:w="13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1,170,208</w:t>
            </w:r>
          </w:p>
        </w:tc>
        <w:tc>
          <w:tcPr>
            <w:tcW w:w="1140" w:type="dxa"/>
            <w:vAlign w:val="bottom"/>
            <w:shd w:val="clear" w:color="auto" w:fill="D8D8D8"/>
          </w:tcPr>
          <w:p>
            <w:pPr>
              <w:spacing w:after="0"/>
              <w:rPr>
                <w:sz w:val="16"/>
                <w:szCs w:val="16"/>
                <w:color w:val="auto"/>
              </w:rPr>
            </w:pPr>
          </w:p>
        </w:tc>
        <w:tc>
          <w:tcPr>
            <w:tcW w:w="108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3,407,076</w:t>
            </w:r>
          </w:p>
        </w:tc>
        <w:tc>
          <w:tcPr>
            <w:tcW w:w="12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64770</wp:posOffset>
            </wp:positionV>
            <wp:extent cx="72263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0" w:lineRule="exact"/>
        <w:rPr>
          <w:sz w:val="20"/>
          <w:szCs w:val="20"/>
          <w:color w:val="auto"/>
        </w:rPr>
      </w:pPr>
    </w:p>
    <w:p>
      <w:pPr>
        <w:ind w:left="1360" w:right="140" w:hanging="449"/>
        <w:spacing w:after="0" w:line="232" w:lineRule="auto"/>
        <w:tabs>
          <w:tab w:leader="none" w:pos="136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amounts reflect the prorated LTIP awards based on business performance ratings of 100% and awards paid at the Named Executive Officer’s individual target at the assumed date of termination due to death, disability or normal retirement. The portion of the pro rata LTIP awards relating to the 2010 – 2012 and the 2011 – 2013 performance cycles are based on a December 30, 2011 closing stock price of $37.36.</w:t>
      </w:r>
    </w:p>
    <w:p>
      <w:pPr>
        <w:spacing w:after="0" w:line="52" w:lineRule="exact"/>
        <w:rPr>
          <w:rFonts w:ascii="Arial" w:cs="Arial" w:eastAsia="Arial" w:hAnsi="Arial"/>
          <w:sz w:val="13"/>
          <w:szCs w:val="13"/>
          <w:color w:val="auto"/>
        </w:rPr>
      </w:pPr>
    </w:p>
    <w:p>
      <w:pPr>
        <w:ind w:left="1360" w:right="800" w:hanging="449"/>
        <w:spacing w:after="0" w:line="236" w:lineRule="auto"/>
        <w:tabs>
          <w:tab w:leader="none" w:pos="136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amounts reflect the immediate vesting of all outstanding restricted stock and outstanding stock option awards as of the effective date of termination, based on a December 30, 2011 closing stock price of $37.36.</w:t>
      </w:r>
    </w:p>
    <w:p>
      <w:pPr>
        <w:spacing w:after="0" w:line="145"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In the event a Named Executive Officer separates due to early retirement (retirement at or after the age of 55 years, but before the age of 65 years, and with at least ten years of service with Kraft Foods), he or she could be considered for partial awards under the annual cash, long-term incentive and/or equity programs, at the discretion of our Human Resources and Compensation Committee. The value of the total payments for each Named Executive Officer could range from $0 to an amount no greater than the amounts shown above under normal retirement.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444" w:right="2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OWNERSHIP OF EQUITY SECURITIES</w:t>
      </w:r>
    </w:p>
    <w:p>
      <w:pPr>
        <w:spacing w:after="0" w:line="192"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The following table shows the number of shares of our Class A common stock beneficially owned as of March 1, 2012, unless otherwise noted, by each director, director nominee and Named Executive Officer, as well as the number of shares beneficially owned by all of our current directors and executive officers as a group. None of our common stock owned by these individuals is subject to any pledge. Unless otherwise indicated, each of the named individuals has sole voting and investment power with respect to the shares shown.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80" w:type="dxa"/>
            <w:vAlign w:val="bottom"/>
            <w:gridSpan w:val="2"/>
          </w:tcPr>
          <w:p>
            <w:pPr>
              <w:jc w:val="center"/>
              <w:ind w:right="1060"/>
              <w:spacing w:after="0"/>
              <w:rPr>
                <w:sz w:val="20"/>
                <w:szCs w:val="20"/>
                <w:color w:val="auto"/>
              </w:rPr>
            </w:pPr>
            <w:r>
              <w:rPr>
                <w:rFonts w:ascii="Arial" w:cs="Arial" w:eastAsia="Arial" w:hAnsi="Arial"/>
                <w:sz w:val="13"/>
                <w:szCs w:val="13"/>
                <w:b w:val="1"/>
                <w:bCs w:val="1"/>
                <w:color w:val="auto"/>
              </w:rPr>
              <w:t>Deferred</w:t>
            </w: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54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w:t>
            </w:r>
          </w:p>
        </w:tc>
        <w:tc>
          <w:tcPr>
            <w:tcW w:w="1920" w:type="dxa"/>
            <w:vAlign w:val="bottom"/>
            <w:gridSpan w:val="2"/>
          </w:tcPr>
          <w:p>
            <w:pPr>
              <w:jc w:val="center"/>
              <w:ind w:right="1120"/>
              <w:spacing w:after="0" w:line="141" w:lineRule="exact"/>
              <w:rPr>
                <w:sz w:val="20"/>
                <w:szCs w:val="20"/>
                <w:color w:val="auto"/>
              </w:rPr>
            </w:pPr>
            <w:r>
              <w:rPr>
                <w:rFonts w:ascii="Arial" w:cs="Arial" w:eastAsia="Arial" w:hAnsi="Arial"/>
                <w:sz w:val="13"/>
                <w:szCs w:val="13"/>
                <w:b w:val="1"/>
                <w:bCs w:val="1"/>
                <w:color w:val="auto"/>
                <w:w w:val="99"/>
              </w:rPr>
              <w:t>Beneficially</w:t>
            </w:r>
          </w:p>
        </w:tc>
        <w:tc>
          <w:tcPr>
            <w:tcW w:w="2080" w:type="dxa"/>
            <w:vAlign w:val="bottom"/>
            <w:gridSpan w:val="2"/>
          </w:tcPr>
          <w:p>
            <w:pPr>
              <w:jc w:val="center"/>
              <w:ind w:right="1060"/>
              <w:spacing w:after="0" w:line="141" w:lineRule="exact"/>
              <w:rPr>
                <w:sz w:val="20"/>
                <w:szCs w:val="20"/>
                <w:color w:val="auto"/>
              </w:rPr>
            </w:pPr>
            <w:r>
              <w:rPr>
                <w:rFonts w:ascii="Arial" w:cs="Arial" w:eastAsia="Arial" w:hAnsi="Arial"/>
                <w:sz w:val="13"/>
                <w:szCs w:val="13"/>
                <w:b w:val="1"/>
                <w:bCs w:val="1"/>
                <w:color w:val="auto"/>
                <w:w w:val="99"/>
              </w:rPr>
              <w:t>Stock/Additional</w:t>
            </w:r>
          </w:p>
        </w:tc>
        <w:tc>
          <w:tcPr>
            <w:tcW w:w="1960" w:type="dxa"/>
            <w:vAlign w:val="bottom"/>
            <w:gridSpan w:val="2"/>
          </w:tcPr>
          <w:p>
            <w:pPr>
              <w:jc w:val="center"/>
              <w:ind w:right="980"/>
              <w:spacing w:after="0" w:line="141"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2"/>
        </w:trPr>
        <w:tc>
          <w:tcPr>
            <w:tcW w:w="5460" w:type="dxa"/>
            <w:vAlign w:val="bottom"/>
            <w:gridSpan w:val="2"/>
            <w:vMerge w:val="continue"/>
          </w:tcPr>
          <w:p>
            <w:pPr>
              <w:spacing w:after="0"/>
              <w:rPr>
                <w:sz w:val="11"/>
                <w:szCs w:val="11"/>
                <w:color w:val="auto"/>
              </w:rPr>
            </w:pPr>
          </w:p>
        </w:tc>
        <w:tc>
          <w:tcPr>
            <w:tcW w:w="1920" w:type="dxa"/>
            <w:vAlign w:val="bottom"/>
            <w:gridSpan w:val="2"/>
          </w:tcPr>
          <w:p>
            <w:pPr>
              <w:jc w:val="center"/>
              <w:ind w:right="1120"/>
              <w:spacing w:after="0" w:line="132" w:lineRule="exact"/>
              <w:rPr>
                <w:sz w:val="20"/>
                <w:szCs w:val="20"/>
                <w:color w:val="auto"/>
              </w:rPr>
            </w:pPr>
            <w:r>
              <w:rPr>
                <w:rFonts w:ascii="Arial" w:cs="Arial" w:eastAsia="Arial" w:hAnsi="Arial"/>
                <w:sz w:val="13"/>
                <w:szCs w:val="13"/>
                <w:b w:val="1"/>
                <w:bCs w:val="1"/>
                <w:color w:val="auto"/>
              </w:rPr>
              <w:t>Owned</w:t>
            </w:r>
          </w:p>
        </w:tc>
        <w:tc>
          <w:tcPr>
            <w:tcW w:w="2080" w:type="dxa"/>
            <w:vAlign w:val="bottom"/>
            <w:gridSpan w:val="2"/>
          </w:tcPr>
          <w:p>
            <w:pPr>
              <w:jc w:val="center"/>
              <w:ind w:right="1060"/>
              <w:spacing w:after="0" w:line="132" w:lineRule="exact"/>
              <w:rPr>
                <w:sz w:val="20"/>
                <w:szCs w:val="20"/>
                <w:color w:val="auto"/>
              </w:rPr>
            </w:pPr>
            <w:r>
              <w:rPr>
                <w:rFonts w:ascii="Arial" w:cs="Arial" w:eastAsia="Arial" w:hAnsi="Arial"/>
                <w:sz w:val="13"/>
                <w:szCs w:val="13"/>
                <w:b w:val="1"/>
                <w:bCs w:val="1"/>
                <w:color w:val="auto"/>
                <w:w w:val="97"/>
              </w:rPr>
              <w:t>Underlying</w:t>
            </w:r>
          </w:p>
        </w:tc>
        <w:tc>
          <w:tcPr>
            <w:tcW w:w="1960" w:type="dxa"/>
            <w:vAlign w:val="bottom"/>
            <w:gridSpan w:val="2"/>
          </w:tcPr>
          <w:p>
            <w:pPr>
              <w:jc w:val="center"/>
              <w:ind w:right="960"/>
              <w:spacing w:after="0" w:line="132" w:lineRule="exact"/>
              <w:rPr>
                <w:sz w:val="20"/>
                <w:szCs w:val="20"/>
                <w:color w:val="auto"/>
              </w:rPr>
            </w:pPr>
            <w:r>
              <w:rPr>
                <w:rFonts w:ascii="Arial" w:cs="Arial" w:eastAsia="Arial" w:hAnsi="Arial"/>
                <w:sz w:val="13"/>
                <w:szCs w:val="13"/>
                <w:b w:val="1"/>
                <w:bCs w:val="1"/>
                <w:color w:val="auto"/>
                <w:w w:val="98"/>
              </w:rPr>
              <w:t>Shares/Interests</w:t>
            </w:r>
          </w:p>
        </w:tc>
        <w:tc>
          <w:tcPr>
            <w:tcW w:w="0" w:type="dxa"/>
            <w:vAlign w:val="bottom"/>
          </w:tcPr>
          <w:p>
            <w:pPr>
              <w:spacing w:after="0"/>
              <w:rPr>
                <w:sz w:val="1"/>
                <w:szCs w:val="1"/>
                <w:color w:val="auto"/>
              </w:rPr>
            </w:pPr>
          </w:p>
        </w:tc>
      </w:tr>
      <w:tr>
        <w:trPr>
          <w:trHeight w:val="166"/>
        </w:trPr>
        <w:tc>
          <w:tcPr>
            <w:tcW w:w="5460" w:type="dxa"/>
            <w:vAlign w:val="bottom"/>
            <w:gridSpan w:val="2"/>
          </w:tcPr>
          <w:p>
            <w:pPr>
              <w:spacing w:after="0"/>
              <w:rPr>
                <w:sz w:val="20"/>
                <w:szCs w:val="20"/>
                <w:color w:val="auto"/>
              </w:rPr>
            </w:pPr>
            <w:r>
              <w:rPr>
                <w:rFonts w:ascii="Arial" w:cs="Arial" w:eastAsia="Arial" w:hAnsi="Arial"/>
                <w:sz w:val="13"/>
                <w:szCs w:val="13"/>
                <w:b w:val="1"/>
                <w:bCs w:val="1"/>
                <w:color w:val="auto"/>
              </w:rPr>
              <w:t>Beneficial Owner</w:t>
            </w:r>
          </w:p>
        </w:tc>
        <w:tc>
          <w:tcPr>
            <w:tcW w:w="1920" w:type="dxa"/>
            <w:vAlign w:val="bottom"/>
            <w:gridSpan w:val="2"/>
          </w:tcPr>
          <w:p>
            <w:pPr>
              <w:jc w:val="center"/>
              <w:ind w:right="1120"/>
              <w:spacing w:after="0" w:line="166" w:lineRule="exact"/>
              <w:rPr>
                <w:sz w:val="20"/>
                <w:szCs w:val="20"/>
                <w:color w:val="auto"/>
              </w:rPr>
            </w:pPr>
            <w:r>
              <w:rPr>
                <w:rFonts w:ascii="Arial" w:cs="Arial" w:eastAsia="Arial" w:hAnsi="Arial"/>
                <w:sz w:val="12"/>
                <w:szCs w:val="12"/>
                <w:b w:val="1"/>
                <w:bCs w:val="1"/>
                <w:color w:val="auto"/>
                <w:w w:val="95"/>
              </w:rPr>
              <w:t>Shares</w:t>
            </w:r>
            <w:r>
              <w:rPr>
                <w:rFonts w:ascii="Arial" w:cs="Arial" w:eastAsia="Arial" w:hAnsi="Arial"/>
                <w:sz w:val="19"/>
                <w:szCs w:val="19"/>
                <w:b w:val="1"/>
                <w:bCs w:val="1"/>
                <w:color w:val="auto"/>
                <w:w w:val="95"/>
                <w:vertAlign w:val="superscript"/>
              </w:rPr>
              <w:t>(1)(2)</w:t>
            </w:r>
          </w:p>
        </w:tc>
        <w:tc>
          <w:tcPr>
            <w:tcW w:w="2080" w:type="dxa"/>
            <w:vAlign w:val="bottom"/>
            <w:gridSpan w:val="2"/>
          </w:tcPr>
          <w:p>
            <w:pPr>
              <w:jc w:val="center"/>
              <w:ind w:right="1060"/>
              <w:spacing w:after="0" w:line="166" w:lineRule="exact"/>
              <w:rPr>
                <w:sz w:val="20"/>
                <w:szCs w:val="20"/>
                <w:color w:val="auto"/>
              </w:rPr>
            </w:pPr>
            <w:r>
              <w:rPr>
                <w:rFonts w:ascii="Arial" w:cs="Arial" w:eastAsia="Arial" w:hAnsi="Arial"/>
                <w:sz w:val="12"/>
                <w:szCs w:val="12"/>
                <w:b w:val="1"/>
                <w:bCs w:val="1"/>
                <w:color w:val="auto"/>
              </w:rPr>
              <w:t>Units</w:t>
            </w:r>
            <w:r>
              <w:rPr>
                <w:rFonts w:ascii="Arial" w:cs="Arial" w:eastAsia="Arial" w:hAnsi="Arial"/>
                <w:sz w:val="19"/>
                <w:szCs w:val="19"/>
                <w:color w:val="auto"/>
                <w:vertAlign w:val="superscript"/>
              </w:rPr>
              <w:t>(3)</w:t>
            </w:r>
          </w:p>
        </w:tc>
        <w:tc>
          <w:tcPr>
            <w:tcW w:w="1960" w:type="dxa"/>
            <w:vAlign w:val="bottom"/>
            <w:gridSpan w:val="2"/>
          </w:tcPr>
          <w:p>
            <w:pPr>
              <w:jc w:val="center"/>
              <w:ind w:right="960"/>
              <w:spacing w:after="0"/>
              <w:rPr>
                <w:sz w:val="20"/>
                <w:szCs w:val="20"/>
                <w:color w:val="auto"/>
              </w:rPr>
            </w:pPr>
            <w:r>
              <w:rPr>
                <w:rFonts w:ascii="Arial" w:cs="Arial" w:eastAsia="Arial" w:hAnsi="Arial"/>
                <w:sz w:val="13"/>
                <w:szCs w:val="13"/>
                <w:b w:val="1"/>
                <w:bCs w:val="1"/>
                <w:color w:val="auto"/>
                <w:w w:val="99"/>
              </w:rPr>
              <w:t>Held</w:t>
            </w:r>
          </w:p>
        </w:tc>
        <w:tc>
          <w:tcPr>
            <w:tcW w:w="0" w:type="dxa"/>
            <w:vAlign w:val="bottom"/>
          </w:tcPr>
          <w:p>
            <w:pPr>
              <w:spacing w:after="0"/>
              <w:rPr>
                <w:sz w:val="1"/>
                <w:szCs w:val="1"/>
                <w:color w:val="auto"/>
              </w:rPr>
            </w:pPr>
          </w:p>
        </w:tc>
      </w:tr>
      <w:tr>
        <w:trPr>
          <w:trHeight w:val="185"/>
        </w:trPr>
        <w:tc>
          <w:tcPr>
            <w:tcW w:w="4500" w:type="dxa"/>
            <w:vAlign w:val="bottom"/>
            <w:tcBorders>
              <w:top w:val="single" w:sz="8" w:color="auto"/>
            </w:tcBorders>
          </w:tcPr>
          <w:p>
            <w:pPr>
              <w:spacing w:after="0" w:line="185" w:lineRule="exact"/>
              <w:rPr>
                <w:sz w:val="20"/>
                <w:szCs w:val="20"/>
                <w:color w:val="auto"/>
              </w:rPr>
            </w:pPr>
            <w:r>
              <w:rPr>
                <w:rFonts w:ascii="Arial" w:cs="Arial" w:eastAsia="Arial" w:hAnsi="Arial"/>
                <w:sz w:val="17"/>
                <w:szCs w:val="17"/>
                <w:b w:val="1"/>
                <w:bCs w:val="1"/>
                <w:color w:val="auto"/>
              </w:rPr>
              <w:t>Directors and Director Nominees:</w:t>
            </w:r>
          </w:p>
        </w:tc>
        <w:tc>
          <w:tcPr>
            <w:tcW w:w="96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Banga, Ajaypal</w:t>
            </w:r>
          </w:p>
        </w:tc>
        <w:tc>
          <w:tcPr>
            <w:tcW w:w="1920" w:type="dxa"/>
            <w:vAlign w:val="bottom"/>
            <w:gridSpan w:val="2"/>
            <w:shd w:val="clear" w:color="auto" w:fill="D8D8D8"/>
          </w:tcPr>
          <w:p>
            <w:pPr>
              <w:jc w:val="right"/>
              <w:ind w:right="1220"/>
              <w:spacing w:after="0" w:line="192" w:lineRule="exact"/>
              <w:rPr>
                <w:sz w:val="20"/>
                <w:szCs w:val="20"/>
                <w:color w:val="auto"/>
              </w:rPr>
            </w:pPr>
            <w:r>
              <w:rPr>
                <w:rFonts w:ascii="Arial" w:cs="Arial" w:eastAsia="Arial" w:hAnsi="Arial"/>
                <w:sz w:val="17"/>
                <w:szCs w:val="17"/>
                <w:color w:val="auto"/>
              </w:rPr>
              <w:t>—</w:t>
            </w:r>
          </w:p>
        </w:tc>
        <w:tc>
          <w:tcPr>
            <w:tcW w:w="2080" w:type="dxa"/>
            <w:vAlign w:val="bottom"/>
            <w:gridSpan w:val="2"/>
            <w:shd w:val="clear" w:color="auto" w:fill="D8D8D8"/>
          </w:tcPr>
          <w:p>
            <w:pPr>
              <w:jc w:val="right"/>
              <w:ind w:right="1060"/>
              <w:spacing w:after="0" w:line="192" w:lineRule="exact"/>
              <w:rPr>
                <w:sz w:val="20"/>
                <w:szCs w:val="20"/>
                <w:color w:val="auto"/>
              </w:rPr>
            </w:pPr>
            <w:r>
              <w:rPr>
                <w:rFonts w:ascii="Arial" w:cs="Arial" w:eastAsia="Arial" w:hAnsi="Arial"/>
                <w:sz w:val="17"/>
                <w:szCs w:val="17"/>
                <w:color w:val="auto"/>
              </w:rPr>
              <w:t>22,293</w:t>
            </w:r>
          </w:p>
        </w:tc>
        <w:tc>
          <w:tcPr>
            <w:tcW w:w="1960" w:type="dxa"/>
            <w:vAlign w:val="bottom"/>
            <w:gridSpan w:val="2"/>
            <w:shd w:val="clear" w:color="auto" w:fill="D8D8D8"/>
          </w:tcPr>
          <w:p>
            <w:pPr>
              <w:jc w:val="right"/>
              <w:ind w:right="960"/>
              <w:spacing w:after="0" w:line="192" w:lineRule="exact"/>
              <w:rPr>
                <w:sz w:val="20"/>
                <w:szCs w:val="20"/>
                <w:color w:val="auto"/>
              </w:rPr>
            </w:pPr>
            <w:r>
              <w:rPr>
                <w:rFonts w:ascii="Arial" w:cs="Arial" w:eastAsia="Arial" w:hAnsi="Arial"/>
                <w:sz w:val="17"/>
                <w:szCs w:val="17"/>
                <w:color w:val="auto"/>
              </w:rPr>
              <w:t>22,293</w:t>
            </w:r>
          </w:p>
        </w:tc>
        <w:tc>
          <w:tcPr>
            <w:tcW w:w="0" w:type="dxa"/>
            <w:vAlign w:val="bottom"/>
          </w:tcPr>
          <w:p>
            <w:pPr>
              <w:spacing w:after="0"/>
              <w:rPr>
                <w:sz w:val="1"/>
                <w:szCs w:val="1"/>
                <w:color w:val="auto"/>
              </w:rPr>
            </w:pPr>
          </w:p>
        </w:tc>
      </w:tr>
      <w:tr>
        <w:trPr>
          <w:trHeight w:val="192"/>
        </w:trPr>
        <w:tc>
          <w:tcPr>
            <w:tcW w:w="5460" w:type="dxa"/>
            <w:vAlign w:val="bottom"/>
            <w:gridSpan w:val="2"/>
          </w:tcPr>
          <w:p>
            <w:pPr>
              <w:spacing w:after="0" w:line="192" w:lineRule="exact"/>
              <w:rPr>
                <w:sz w:val="20"/>
                <w:szCs w:val="20"/>
                <w:color w:val="auto"/>
              </w:rPr>
            </w:pPr>
            <w:r>
              <w:rPr>
                <w:rFonts w:ascii="Arial" w:cs="Arial" w:eastAsia="Arial" w:hAnsi="Arial"/>
                <w:sz w:val="17"/>
                <w:szCs w:val="17"/>
                <w:color w:val="auto"/>
              </w:rPr>
              <w:t>Hart, Myra</w:t>
            </w:r>
          </w:p>
        </w:tc>
        <w:tc>
          <w:tcPr>
            <w:tcW w:w="1920" w:type="dxa"/>
            <w:vAlign w:val="bottom"/>
            <w:gridSpan w:val="2"/>
          </w:tcPr>
          <w:p>
            <w:pPr>
              <w:jc w:val="right"/>
              <w:ind w:right="1120"/>
              <w:spacing w:after="0" w:line="192" w:lineRule="exact"/>
              <w:rPr>
                <w:sz w:val="20"/>
                <w:szCs w:val="20"/>
                <w:color w:val="auto"/>
              </w:rPr>
            </w:pPr>
            <w:r>
              <w:rPr>
                <w:rFonts w:ascii="Arial" w:cs="Arial" w:eastAsia="Arial" w:hAnsi="Arial"/>
                <w:sz w:val="17"/>
                <w:szCs w:val="17"/>
                <w:color w:val="auto"/>
              </w:rPr>
              <w:t>12,526</w:t>
            </w:r>
          </w:p>
        </w:tc>
        <w:tc>
          <w:tcPr>
            <w:tcW w:w="1020" w:type="dxa"/>
            <w:vAlign w:val="bottom"/>
          </w:tcPr>
          <w:p>
            <w:pPr>
              <w:jc w:val="right"/>
              <w:spacing w:after="0" w:line="192" w:lineRule="exact"/>
              <w:rPr>
                <w:sz w:val="20"/>
                <w:szCs w:val="20"/>
                <w:color w:val="auto"/>
              </w:rPr>
            </w:pPr>
            <w:r>
              <w:rPr>
                <w:rFonts w:ascii="Arial" w:cs="Arial" w:eastAsia="Arial" w:hAnsi="Arial"/>
                <w:sz w:val="17"/>
                <w:szCs w:val="17"/>
                <w:color w:val="auto"/>
              </w:rPr>
              <w:t>8,047</w:t>
            </w:r>
          </w:p>
        </w:tc>
        <w:tc>
          <w:tcPr>
            <w:tcW w:w="1060" w:type="dxa"/>
            <w:vAlign w:val="bottom"/>
          </w:tcPr>
          <w:p>
            <w:pPr>
              <w:spacing w:after="0"/>
              <w:rPr>
                <w:sz w:val="16"/>
                <w:szCs w:val="16"/>
                <w:color w:val="auto"/>
              </w:rPr>
            </w:pPr>
          </w:p>
        </w:tc>
        <w:tc>
          <w:tcPr>
            <w:tcW w:w="1960" w:type="dxa"/>
            <w:vAlign w:val="bottom"/>
            <w:gridSpan w:val="2"/>
          </w:tcPr>
          <w:p>
            <w:pPr>
              <w:jc w:val="right"/>
              <w:ind w:right="960"/>
              <w:spacing w:after="0" w:line="192" w:lineRule="exact"/>
              <w:rPr>
                <w:sz w:val="20"/>
                <w:szCs w:val="20"/>
                <w:color w:val="auto"/>
              </w:rPr>
            </w:pPr>
            <w:r>
              <w:rPr>
                <w:rFonts w:ascii="Arial" w:cs="Arial" w:eastAsia="Arial" w:hAnsi="Arial"/>
                <w:sz w:val="17"/>
                <w:szCs w:val="17"/>
                <w:color w:val="auto"/>
              </w:rPr>
              <w:t>20,573</w:t>
            </w: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Henry, Peter</w:t>
            </w:r>
          </w:p>
        </w:tc>
        <w:tc>
          <w:tcPr>
            <w:tcW w:w="1920" w:type="dxa"/>
            <w:vAlign w:val="bottom"/>
            <w:gridSpan w:val="2"/>
            <w:shd w:val="clear" w:color="auto" w:fill="D8D8D8"/>
          </w:tcPr>
          <w:p>
            <w:pPr>
              <w:jc w:val="right"/>
              <w:ind w:right="1220"/>
              <w:spacing w:after="0" w:line="192" w:lineRule="exact"/>
              <w:rPr>
                <w:sz w:val="20"/>
                <w:szCs w:val="20"/>
                <w:color w:val="auto"/>
              </w:rPr>
            </w:pPr>
            <w:r>
              <w:rPr>
                <w:rFonts w:ascii="Arial" w:cs="Arial" w:eastAsia="Arial" w:hAnsi="Arial"/>
                <w:sz w:val="17"/>
                <w:szCs w:val="17"/>
                <w:color w:val="auto"/>
              </w:rPr>
              <w:t>—</w:t>
            </w:r>
          </w:p>
        </w:tc>
        <w:tc>
          <w:tcPr>
            <w:tcW w:w="102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3,667</w:t>
            </w:r>
          </w:p>
        </w:tc>
        <w:tc>
          <w:tcPr>
            <w:tcW w:w="1060" w:type="dxa"/>
            <w:vAlign w:val="bottom"/>
            <w:shd w:val="clear" w:color="auto" w:fill="D8D8D8"/>
          </w:tcPr>
          <w:p>
            <w:pPr>
              <w:spacing w:after="0"/>
              <w:rPr>
                <w:sz w:val="16"/>
                <w:szCs w:val="16"/>
                <w:color w:val="auto"/>
              </w:rPr>
            </w:pPr>
          </w:p>
        </w:tc>
        <w:tc>
          <w:tcPr>
            <w:tcW w:w="10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3,667</w:t>
            </w:r>
          </w:p>
        </w:tc>
        <w:tc>
          <w:tcPr>
            <w:tcW w:w="9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60" w:type="dxa"/>
            <w:vAlign w:val="bottom"/>
            <w:gridSpan w:val="2"/>
          </w:tcPr>
          <w:p>
            <w:pPr>
              <w:spacing w:after="0" w:line="192" w:lineRule="exact"/>
              <w:rPr>
                <w:sz w:val="20"/>
                <w:szCs w:val="20"/>
                <w:color w:val="auto"/>
              </w:rPr>
            </w:pPr>
            <w:r>
              <w:rPr>
                <w:rFonts w:ascii="Arial" w:cs="Arial" w:eastAsia="Arial" w:hAnsi="Arial"/>
                <w:sz w:val="17"/>
                <w:szCs w:val="17"/>
                <w:color w:val="auto"/>
              </w:rPr>
              <w:t>Juliber, Lois</w:t>
            </w:r>
          </w:p>
        </w:tc>
        <w:tc>
          <w:tcPr>
            <w:tcW w:w="800" w:type="dxa"/>
            <w:vAlign w:val="bottom"/>
          </w:tcPr>
          <w:p>
            <w:pPr>
              <w:jc w:val="right"/>
              <w:spacing w:after="0" w:line="192" w:lineRule="exact"/>
              <w:rPr>
                <w:sz w:val="20"/>
                <w:szCs w:val="20"/>
                <w:color w:val="auto"/>
              </w:rPr>
            </w:pPr>
            <w:r>
              <w:rPr>
                <w:rFonts w:ascii="Arial" w:cs="Arial" w:eastAsia="Arial" w:hAnsi="Arial"/>
                <w:sz w:val="17"/>
                <w:szCs w:val="17"/>
                <w:color w:val="auto"/>
              </w:rPr>
              <w:t>2,309</w:t>
            </w:r>
          </w:p>
        </w:tc>
        <w:tc>
          <w:tcPr>
            <w:tcW w:w="1120" w:type="dxa"/>
            <w:vAlign w:val="bottom"/>
          </w:tcPr>
          <w:p>
            <w:pPr>
              <w:spacing w:after="0"/>
              <w:rPr>
                <w:sz w:val="16"/>
                <w:szCs w:val="16"/>
                <w:color w:val="auto"/>
              </w:rPr>
            </w:pPr>
          </w:p>
        </w:tc>
        <w:tc>
          <w:tcPr>
            <w:tcW w:w="2080" w:type="dxa"/>
            <w:vAlign w:val="bottom"/>
            <w:gridSpan w:val="2"/>
          </w:tcPr>
          <w:p>
            <w:pPr>
              <w:jc w:val="right"/>
              <w:ind w:right="1060"/>
              <w:spacing w:after="0" w:line="192" w:lineRule="exact"/>
              <w:rPr>
                <w:sz w:val="20"/>
                <w:szCs w:val="20"/>
                <w:color w:val="auto"/>
              </w:rPr>
            </w:pPr>
            <w:r>
              <w:rPr>
                <w:rFonts w:ascii="Arial" w:cs="Arial" w:eastAsia="Arial" w:hAnsi="Arial"/>
                <w:sz w:val="17"/>
                <w:szCs w:val="17"/>
                <w:color w:val="auto"/>
              </w:rPr>
              <w:t>18,189</w:t>
            </w:r>
          </w:p>
        </w:tc>
        <w:tc>
          <w:tcPr>
            <w:tcW w:w="1960" w:type="dxa"/>
            <w:vAlign w:val="bottom"/>
            <w:gridSpan w:val="2"/>
          </w:tcPr>
          <w:p>
            <w:pPr>
              <w:jc w:val="right"/>
              <w:ind w:right="960"/>
              <w:spacing w:after="0" w:line="192" w:lineRule="exact"/>
              <w:rPr>
                <w:sz w:val="20"/>
                <w:szCs w:val="20"/>
                <w:color w:val="auto"/>
              </w:rPr>
            </w:pPr>
            <w:r>
              <w:rPr>
                <w:rFonts w:ascii="Arial" w:cs="Arial" w:eastAsia="Arial" w:hAnsi="Arial"/>
                <w:sz w:val="17"/>
                <w:szCs w:val="17"/>
                <w:color w:val="auto"/>
              </w:rPr>
              <w:t>20,498</w:t>
            </w: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Ketchum, Mark</w:t>
            </w:r>
          </w:p>
        </w:tc>
        <w:tc>
          <w:tcPr>
            <w:tcW w:w="1920" w:type="dxa"/>
            <w:vAlign w:val="bottom"/>
            <w:gridSpan w:val="2"/>
            <w:shd w:val="clear" w:color="auto" w:fill="D8D8D8"/>
          </w:tcPr>
          <w:p>
            <w:pPr>
              <w:jc w:val="right"/>
              <w:ind w:right="1220"/>
              <w:spacing w:after="0" w:line="192" w:lineRule="exact"/>
              <w:rPr>
                <w:sz w:val="20"/>
                <w:szCs w:val="20"/>
                <w:color w:val="auto"/>
              </w:rPr>
            </w:pPr>
            <w:r>
              <w:rPr>
                <w:rFonts w:ascii="Arial" w:cs="Arial" w:eastAsia="Arial" w:hAnsi="Arial"/>
                <w:sz w:val="17"/>
                <w:szCs w:val="17"/>
                <w:color w:val="auto"/>
              </w:rPr>
              <w:t>—</w:t>
            </w:r>
          </w:p>
        </w:tc>
        <w:tc>
          <w:tcPr>
            <w:tcW w:w="2080" w:type="dxa"/>
            <w:vAlign w:val="bottom"/>
            <w:gridSpan w:val="2"/>
            <w:shd w:val="clear" w:color="auto" w:fill="D8D8D8"/>
          </w:tcPr>
          <w:p>
            <w:pPr>
              <w:jc w:val="right"/>
              <w:ind w:right="1060"/>
              <w:spacing w:after="0" w:line="192" w:lineRule="exact"/>
              <w:rPr>
                <w:sz w:val="20"/>
                <w:szCs w:val="20"/>
                <w:color w:val="auto"/>
              </w:rPr>
            </w:pPr>
            <w:r>
              <w:rPr>
                <w:rFonts w:ascii="Arial" w:cs="Arial" w:eastAsia="Arial" w:hAnsi="Arial"/>
                <w:sz w:val="17"/>
                <w:szCs w:val="17"/>
                <w:color w:val="auto"/>
              </w:rPr>
              <w:t>22,293</w:t>
            </w:r>
          </w:p>
        </w:tc>
        <w:tc>
          <w:tcPr>
            <w:tcW w:w="1960" w:type="dxa"/>
            <w:vAlign w:val="bottom"/>
            <w:gridSpan w:val="2"/>
            <w:shd w:val="clear" w:color="auto" w:fill="D8D8D8"/>
          </w:tcPr>
          <w:p>
            <w:pPr>
              <w:jc w:val="right"/>
              <w:ind w:right="960"/>
              <w:spacing w:after="0" w:line="192" w:lineRule="exact"/>
              <w:rPr>
                <w:sz w:val="20"/>
                <w:szCs w:val="20"/>
                <w:color w:val="auto"/>
              </w:rPr>
            </w:pPr>
            <w:r>
              <w:rPr>
                <w:rFonts w:ascii="Arial" w:cs="Arial" w:eastAsia="Arial" w:hAnsi="Arial"/>
                <w:sz w:val="17"/>
                <w:szCs w:val="17"/>
                <w:color w:val="auto"/>
              </w:rPr>
              <w:t>22,293</w:t>
            </w:r>
          </w:p>
        </w:tc>
        <w:tc>
          <w:tcPr>
            <w:tcW w:w="0" w:type="dxa"/>
            <w:vAlign w:val="bottom"/>
          </w:tcPr>
          <w:p>
            <w:pPr>
              <w:spacing w:after="0"/>
              <w:rPr>
                <w:sz w:val="1"/>
                <w:szCs w:val="1"/>
                <w:color w:val="auto"/>
              </w:rPr>
            </w:pPr>
          </w:p>
        </w:tc>
      </w:tr>
      <w:tr>
        <w:trPr>
          <w:trHeight w:val="192"/>
        </w:trPr>
        <w:tc>
          <w:tcPr>
            <w:tcW w:w="5460" w:type="dxa"/>
            <w:vAlign w:val="bottom"/>
            <w:gridSpan w:val="2"/>
          </w:tcPr>
          <w:p>
            <w:pPr>
              <w:spacing w:after="0" w:line="192" w:lineRule="exact"/>
              <w:rPr>
                <w:sz w:val="20"/>
                <w:szCs w:val="20"/>
                <w:color w:val="auto"/>
              </w:rPr>
            </w:pPr>
            <w:r>
              <w:rPr>
                <w:rFonts w:ascii="Arial" w:cs="Arial" w:eastAsia="Arial" w:hAnsi="Arial"/>
                <w:sz w:val="17"/>
                <w:szCs w:val="17"/>
                <w:color w:val="auto"/>
              </w:rPr>
              <w:t>Lerner, Richard</w:t>
            </w:r>
          </w:p>
        </w:tc>
        <w:tc>
          <w:tcPr>
            <w:tcW w:w="1920" w:type="dxa"/>
            <w:vAlign w:val="bottom"/>
            <w:gridSpan w:val="2"/>
          </w:tcPr>
          <w:p>
            <w:pPr>
              <w:jc w:val="right"/>
              <w:ind w:right="1220"/>
              <w:spacing w:after="0" w:line="192" w:lineRule="exact"/>
              <w:rPr>
                <w:sz w:val="20"/>
                <w:szCs w:val="20"/>
                <w:color w:val="auto"/>
              </w:rPr>
            </w:pPr>
            <w:r>
              <w:rPr>
                <w:rFonts w:ascii="Arial" w:cs="Arial" w:eastAsia="Arial" w:hAnsi="Arial"/>
                <w:sz w:val="17"/>
                <w:szCs w:val="17"/>
                <w:color w:val="auto"/>
              </w:rPr>
              <w:t>—</w:t>
            </w:r>
          </w:p>
        </w:tc>
        <w:tc>
          <w:tcPr>
            <w:tcW w:w="2080" w:type="dxa"/>
            <w:vAlign w:val="bottom"/>
            <w:gridSpan w:val="2"/>
          </w:tcPr>
          <w:p>
            <w:pPr>
              <w:jc w:val="right"/>
              <w:ind w:right="1060"/>
              <w:spacing w:after="0" w:line="192" w:lineRule="exact"/>
              <w:rPr>
                <w:sz w:val="20"/>
                <w:szCs w:val="20"/>
                <w:color w:val="auto"/>
              </w:rPr>
            </w:pPr>
            <w:r>
              <w:rPr>
                <w:rFonts w:ascii="Arial" w:cs="Arial" w:eastAsia="Arial" w:hAnsi="Arial"/>
                <w:sz w:val="17"/>
                <w:szCs w:val="17"/>
                <w:color w:val="auto"/>
              </w:rPr>
              <w:t>30,883</w:t>
            </w:r>
          </w:p>
        </w:tc>
        <w:tc>
          <w:tcPr>
            <w:tcW w:w="1960" w:type="dxa"/>
            <w:vAlign w:val="bottom"/>
            <w:gridSpan w:val="2"/>
          </w:tcPr>
          <w:p>
            <w:pPr>
              <w:jc w:val="right"/>
              <w:ind w:right="960"/>
              <w:spacing w:after="0" w:line="192" w:lineRule="exact"/>
              <w:rPr>
                <w:sz w:val="20"/>
                <w:szCs w:val="20"/>
                <w:color w:val="auto"/>
              </w:rPr>
            </w:pPr>
            <w:r>
              <w:rPr>
                <w:rFonts w:ascii="Arial" w:cs="Arial" w:eastAsia="Arial" w:hAnsi="Arial"/>
                <w:sz w:val="17"/>
                <w:szCs w:val="17"/>
                <w:color w:val="auto"/>
              </w:rPr>
              <w:t>30,883</w:t>
            </w: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Lundgren, Terry</w:t>
            </w:r>
            <w:r>
              <w:rPr>
                <w:rFonts w:ascii="Arial" w:cs="Arial" w:eastAsia="Arial" w:hAnsi="Arial"/>
                <w:sz w:val="10"/>
                <w:szCs w:val="10"/>
                <w:color w:val="auto"/>
              </w:rPr>
              <w:t>(4)</w:t>
            </w:r>
          </w:p>
        </w:tc>
        <w:tc>
          <w:tcPr>
            <w:tcW w:w="1920" w:type="dxa"/>
            <w:vAlign w:val="bottom"/>
            <w:gridSpan w:val="2"/>
            <w:shd w:val="clear" w:color="auto" w:fill="D8D8D8"/>
          </w:tcPr>
          <w:p>
            <w:pPr>
              <w:jc w:val="right"/>
              <w:ind w:right="1220"/>
              <w:spacing w:after="0" w:line="192" w:lineRule="exact"/>
              <w:rPr>
                <w:sz w:val="20"/>
                <w:szCs w:val="20"/>
                <w:color w:val="auto"/>
              </w:rPr>
            </w:pPr>
            <w:r>
              <w:rPr>
                <w:rFonts w:ascii="Arial" w:cs="Arial" w:eastAsia="Arial" w:hAnsi="Arial"/>
                <w:sz w:val="17"/>
                <w:szCs w:val="17"/>
                <w:color w:val="auto"/>
              </w:rPr>
              <w:t>—</w:t>
            </w:r>
          </w:p>
        </w:tc>
        <w:tc>
          <w:tcPr>
            <w:tcW w:w="2080" w:type="dxa"/>
            <w:vAlign w:val="bottom"/>
            <w:gridSpan w:val="2"/>
            <w:shd w:val="clear" w:color="auto" w:fill="D8D8D8"/>
          </w:tcPr>
          <w:p>
            <w:pPr>
              <w:ind w:left="760"/>
              <w:spacing w:after="0" w:line="192" w:lineRule="exact"/>
              <w:rPr>
                <w:sz w:val="20"/>
                <w:szCs w:val="20"/>
                <w:color w:val="auto"/>
              </w:rPr>
            </w:pPr>
            <w:r>
              <w:rPr>
                <w:rFonts w:ascii="Arial" w:cs="Arial" w:eastAsia="Arial" w:hAnsi="Arial"/>
                <w:sz w:val="17"/>
                <w:szCs w:val="17"/>
                <w:color w:val="auto"/>
              </w:rPr>
              <w:t>—</w:t>
            </w:r>
          </w:p>
        </w:tc>
        <w:tc>
          <w:tcPr>
            <w:tcW w:w="1960" w:type="dxa"/>
            <w:vAlign w:val="bottom"/>
            <w:gridSpan w:val="2"/>
            <w:shd w:val="clear" w:color="auto" w:fill="D8D8D8"/>
          </w:tcPr>
          <w:p>
            <w:pPr>
              <w:jc w:val="right"/>
              <w:ind w:right="106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5460" w:type="dxa"/>
            <w:vAlign w:val="bottom"/>
            <w:gridSpan w:val="2"/>
          </w:tcPr>
          <w:p>
            <w:pPr>
              <w:spacing w:after="0" w:line="192" w:lineRule="exact"/>
              <w:rPr>
                <w:sz w:val="20"/>
                <w:szCs w:val="20"/>
                <w:color w:val="auto"/>
              </w:rPr>
            </w:pPr>
            <w:r>
              <w:rPr>
                <w:rFonts w:ascii="Arial" w:cs="Arial" w:eastAsia="Arial" w:hAnsi="Arial"/>
                <w:sz w:val="17"/>
                <w:szCs w:val="17"/>
                <w:color w:val="auto"/>
              </w:rPr>
              <w:t>McDonald, Mackey</w:t>
            </w:r>
          </w:p>
        </w:tc>
        <w:tc>
          <w:tcPr>
            <w:tcW w:w="800" w:type="dxa"/>
            <w:vAlign w:val="bottom"/>
          </w:tcPr>
          <w:p>
            <w:pPr>
              <w:jc w:val="right"/>
              <w:spacing w:after="0" w:line="192" w:lineRule="exact"/>
              <w:rPr>
                <w:sz w:val="20"/>
                <w:szCs w:val="20"/>
                <w:color w:val="auto"/>
              </w:rPr>
            </w:pPr>
            <w:r>
              <w:rPr>
                <w:rFonts w:ascii="Arial" w:cs="Arial" w:eastAsia="Arial" w:hAnsi="Arial"/>
                <w:sz w:val="17"/>
                <w:szCs w:val="17"/>
                <w:color w:val="auto"/>
              </w:rPr>
              <w:t>3,145</w:t>
            </w:r>
          </w:p>
        </w:tc>
        <w:tc>
          <w:tcPr>
            <w:tcW w:w="1120" w:type="dxa"/>
            <w:vAlign w:val="bottom"/>
          </w:tcPr>
          <w:p>
            <w:pPr>
              <w:spacing w:after="0"/>
              <w:rPr>
                <w:sz w:val="16"/>
                <w:szCs w:val="16"/>
                <w:color w:val="auto"/>
              </w:rPr>
            </w:pPr>
          </w:p>
        </w:tc>
        <w:tc>
          <w:tcPr>
            <w:tcW w:w="1020" w:type="dxa"/>
            <w:vAlign w:val="bottom"/>
          </w:tcPr>
          <w:p>
            <w:pPr>
              <w:jc w:val="right"/>
              <w:spacing w:after="0" w:line="192" w:lineRule="exact"/>
              <w:rPr>
                <w:sz w:val="20"/>
                <w:szCs w:val="20"/>
                <w:color w:val="auto"/>
              </w:rPr>
            </w:pPr>
            <w:r>
              <w:rPr>
                <w:rFonts w:ascii="Arial" w:cs="Arial" w:eastAsia="Arial" w:hAnsi="Arial"/>
                <w:sz w:val="17"/>
                <w:szCs w:val="17"/>
                <w:color w:val="auto"/>
              </w:rPr>
              <w:t>8,047</w:t>
            </w:r>
          </w:p>
        </w:tc>
        <w:tc>
          <w:tcPr>
            <w:tcW w:w="1060" w:type="dxa"/>
            <w:vAlign w:val="bottom"/>
          </w:tcPr>
          <w:p>
            <w:pPr>
              <w:spacing w:after="0"/>
              <w:rPr>
                <w:sz w:val="16"/>
                <w:szCs w:val="16"/>
                <w:color w:val="auto"/>
              </w:rPr>
            </w:pPr>
          </w:p>
        </w:tc>
        <w:tc>
          <w:tcPr>
            <w:tcW w:w="1960" w:type="dxa"/>
            <w:vAlign w:val="bottom"/>
            <w:gridSpan w:val="2"/>
          </w:tcPr>
          <w:p>
            <w:pPr>
              <w:jc w:val="right"/>
              <w:ind w:right="960"/>
              <w:spacing w:after="0" w:line="192" w:lineRule="exact"/>
              <w:rPr>
                <w:sz w:val="20"/>
                <w:szCs w:val="20"/>
                <w:color w:val="auto"/>
              </w:rPr>
            </w:pPr>
            <w:r>
              <w:rPr>
                <w:rFonts w:ascii="Arial" w:cs="Arial" w:eastAsia="Arial" w:hAnsi="Arial"/>
                <w:sz w:val="17"/>
                <w:szCs w:val="17"/>
                <w:color w:val="auto"/>
              </w:rPr>
              <w:t>11,192</w:t>
            </w: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Mesquita, Jorge</w:t>
            </w:r>
            <w:r>
              <w:rPr>
                <w:rFonts w:ascii="Arial" w:cs="Arial" w:eastAsia="Arial" w:hAnsi="Arial"/>
                <w:sz w:val="10"/>
                <w:szCs w:val="10"/>
                <w:color w:val="auto"/>
              </w:rPr>
              <w:t>(4)</w:t>
            </w:r>
          </w:p>
        </w:tc>
        <w:tc>
          <w:tcPr>
            <w:tcW w:w="1920" w:type="dxa"/>
            <w:vAlign w:val="bottom"/>
            <w:gridSpan w:val="2"/>
            <w:shd w:val="clear" w:color="auto" w:fill="D8D8D8"/>
          </w:tcPr>
          <w:p>
            <w:pPr>
              <w:jc w:val="right"/>
              <w:ind w:right="1220"/>
              <w:spacing w:after="0" w:line="192" w:lineRule="exact"/>
              <w:rPr>
                <w:sz w:val="20"/>
                <w:szCs w:val="20"/>
                <w:color w:val="auto"/>
              </w:rPr>
            </w:pPr>
            <w:r>
              <w:rPr>
                <w:rFonts w:ascii="Arial" w:cs="Arial" w:eastAsia="Arial" w:hAnsi="Arial"/>
                <w:sz w:val="17"/>
                <w:szCs w:val="17"/>
                <w:color w:val="auto"/>
              </w:rPr>
              <w:t>—</w:t>
            </w:r>
          </w:p>
        </w:tc>
        <w:tc>
          <w:tcPr>
            <w:tcW w:w="2080" w:type="dxa"/>
            <w:vAlign w:val="bottom"/>
            <w:gridSpan w:val="2"/>
            <w:shd w:val="clear" w:color="auto" w:fill="D8D8D8"/>
          </w:tcPr>
          <w:p>
            <w:pPr>
              <w:ind w:left="760"/>
              <w:spacing w:after="0" w:line="192" w:lineRule="exact"/>
              <w:rPr>
                <w:sz w:val="20"/>
                <w:szCs w:val="20"/>
                <w:color w:val="auto"/>
              </w:rPr>
            </w:pPr>
            <w:r>
              <w:rPr>
                <w:rFonts w:ascii="Arial" w:cs="Arial" w:eastAsia="Arial" w:hAnsi="Arial"/>
                <w:sz w:val="17"/>
                <w:szCs w:val="17"/>
                <w:color w:val="auto"/>
              </w:rPr>
              <w:t>—</w:t>
            </w:r>
          </w:p>
        </w:tc>
        <w:tc>
          <w:tcPr>
            <w:tcW w:w="1960" w:type="dxa"/>
            <w:vAlign w:val="bottom"/>
            <w:gridSpan w:val="2"/>
            <w:shd w:val="clear" w:color="auto" w:fill="D8D8D8"/>
          </w:tcPr>
          <w:p>
            <w:pPr>
              <w:jc w:val="right"/>
              <w:ind w:right="1060"/>
              <w:spacing w:after="0" w:line="19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2"/>
        </w:trPr>
        <w:tc>
          <w:tcPr>
            <w:tcW w:w="5460" w:type="dxa"/>
            <w:vAlign w:val="bottom"/>
            <w:gridSpan w:val="2"/>
          </w:tcPr>
          <w:p>
            <w:pPr>
              <w:spacing w:after="0" w:line="192" w:lineRule="exact"/>
              <w:rPr>
                <w:sz w:val="20"/>
                <w:szCs w:val="20"/>
                <w:color w:val="auto"/>
              </w:rPr>
            </w:pPr>
            <w:r>
              <w:rPr>
                <w:rFonts w:ascii="Arial" w:cs="Arial" w:eastAsia="Arial" w:hAnsi="Arial"/>
                <w:sz w:val="17"/>
                <w:szCs w:val="17"/>
                <w:color w:val="auto"/>
              </w:rPr>
              <w:t>Pope, John</w:t>
            </w:r>
          </w:p>
        </w:tc>
        <w:tc>
          <w:tcPr>
            <w:tcW w:w="1920" w:type="dxa"/>
            <w:vAlign w:val="bottom"/>
            <w:gridSpan w:val="2"/>
          </w:tcPr>
          <w:p>
            <w:pPr>
              <w:jc w:val="right"/>
              <w:ind w:right="1000"/>
              <w:spacing w:after="0" w:line="192" w:lineRule="exact"/>
              <w:rPr>
                <w:sz w:val="20"/>
                <w:szCs w:val="20"/>
                <w:color w:val="auto"/>
              </w:rPr>
            </w:pPr>
            <w:r>
              <w:rPr>
                <w:rFonts w:ascii="Arial" w:cs="Arial" w:eastAsia="Arial" w:hAnsi="Arial"/>
                <w:sz w:val="17"/>
                <w:szCs w:val="17"/>
                <w:color w:val="auto"/>
              </w:rPr>
              <w:t>28,753</w:t>
            </w:r>
            <w:r>
              <w:rPr>
                <w:rFonts w:ascii="Arial" w:cs="Arial" w:eastAsia="Arial" w:hAnsi="Arial"/>
                <w:sz w:val="10"/>
                <w:szCs w:val="10"/>
                <w:color w:val="auto"/>
              </w:rPr>
              <w:t>(5)</w:t>
            </w:r>
          </w:p>
        </w:tc>
        <w:tc>
          <w:tcPr>
            <w:tcW w:w="1020" w:type="dxa"/>
            <w:vAlign w:val="bottom"/>
          </w:tcPr>
          <w:p>
            <w:pPr>
              <w:jc w:val="right"/>
              <w:spacing w:after="0" w:line="192" w:lineRule="exact"/>
              <w:rPr>
                <w:sz w:val="20"/>
                <w:szCs w:val="20"/>
                <w:color w:val="auto"/>
              </w:rPr>
            </w:pPr>
            <w:r>
              <w:rPr>
                <w:rFonts w:ascii="Arial" w:cs="Arial" w:eastAsia="Arial" w:hAnsi="Arial"/>
                <w:sz w:val="17"/>
                <w:szCs w:val="17"/>
                <w:color w:val="auto"/>
              </w:rPr>
              <w:t>8,047</w:t>
            </w:r>
          </w:p>
        </w:tc>
        <w:tc>
          <w:tcPr>
            <w:tcW w:w="1060" w:type="dxa"/>
            <w:vAlign w:val="bottom"/>
          </w:tcPr>
          <w:p>
            <w:pPr>
              <w:spacing w:after="0"/>
              <w:rPr>
                <w:sz w:val="16"/>
                <w:szCs w:val="16"/>
                <w:color w:val="auto"/>
              </w:rPr>
            </w:pPr>
          </w:p>
        </w:tc>
        <w:tc>
          <w:tcPr>
            <w:tcW w:w="1960" w:type="dxa"/>
            <w:vAlign w:val="bottom"/>
            <w:gridSpan w:val="2"/>
          </w:tcPr>
          <w:p>
            <w:pPr>
              <w:jc w:val="right"/>
              <w:ind w:right="840"/>
              <w:spacing w:after="0" w:line="192" w:lineRule="exact"/>
              <w:rPr>
                <w:sz w:val="20"/>
                <w:szCs w:val="20"/>
                <w:color w:val="auto"/>
              </w:rPr>
            </w:pPr>
            <w:r>
              <w:rPr>
                <w:rFonts w:ascii="Arial" w:cs="Arial" w:eastAsia="Arial" w:hAnsi="Arial"/>
                <w:sz w:val="17"/>
                <w:szCs w:val="17"/>
                <w:color w:val="auto"/>
              </w:rPr>
              <w:t>36,800</w:t>
            </w: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Reynolds, Fredric</w:t>
            </w:r>
          </w:p>
        </w:tc>
        <w:tc>
          <w:tcPr>
            <w:tcW w:w="1920" w:type="dxa"/>
            <w:vAlign w:val="bottom"/>
            <w:gridSpan w:val="2"/>
            <w:shd w:val="clear" w:color="auto" w:fill="D8D8D8"/>
          </w:tcPr>
          <w:p>
            <w:pPr>
              <w:jc w:val="right"/>
              <w:ind w:right="1120"/>
              <w:spacing w:after="0" w:line="192" w:lineRule="exact"/>
              <w:rPr>
                <w:sz w:val="20"/>
                <w:szCs w:val="20"/>
                <w:color w:val="auto"/>
              </w:rPr>
            </w:pPr>
            <w:r>
              <w:rPr>
                <w:rFonts w:ascii="Arial" w:cs="Arial" w:eastAsia="Arial" w:hAnsi="Arial"/>
                <w:sz w:val="17"/>
                <w:szCs w:val="17"/>
                <w:color w:val="auto"/>
              </w:rPr>
              <w:t>60,000</w:t>
            </w:r>
          </w:p>
        </w:tc>
        <w:tc>
          <w:tcPr>
            <w:tcW w:w="2080" w:type="dxa"/>
            <w:vAlign w:val="bottom"/>
            <w:gridSpan w:val="2"/>
            <w:shd w:val="clear" w:color="auto" w:fill="D8D8D8"/>
          </w:tcPr>
          <w:p>
            <w:pPr>
              <w:jc w:val="right"/>
              <w:ind w:right="1060"/>
              <w:spacing w:after="0" w:line="192" w:lineRule="exact"/>
              <w:rPr>
                <w:sz w:val="20"/>
                <w:szCs w:val="20"/>
                <w:color w:val="auto"/>
              </w:rPr>
            </w:pPr>
            <w:r>
              <w:rPr>
                <w:rFonts w:ascii="Arial" w:cs="Arial" w:eastAsia="Arial" w:hAnsi="Arial"/>
                <w:sz w:val="17"/>
                <w:szCs w:val="17"/>
                <w:color w:val="auto"/>
              </w:rPr>
              <w:t>18,189</w:t>
            </w:r>
          </w:p>
        </w:tc>
        <w:tc>
          <w:tcPr>
            <w:tcW w:w="1960" w:type="dxa"/>
            <w:vAlign w:val="bottom"/>
            <w:gridSpan w:val="2"/>
            <w:shd w:val="clear" w:color="auto" w:fill="D8D8D8"/>
          </w:tcPr>
          <w:p>
            <w:pPr>
              <w:jc w:val="right"/>
              <w:ind w:right="960"/>
              <w:spacing w:after="0" w:line="192" w:lineRule="exact"/>
              <w:rPr>
                <w:sz w:val="20"/>
                <w:szCs w:val="20"/>
                <w:color w:val="auto"/>
              </w:rPr>
            </w:pPr>
            <w:r>
              <w:rPr>
                <w:rFonts w:ascii="Arial" w:cs="Arial" w:eastAsia="Arial" w:hAnsi="Arial"/>
                <w:sz w:val="17"/>
                <w:szCs w:val="17"/>
                <w:color w:val="auto"/>
              </w:rPr>
              <w:t>78,189</w:t>
            </w:r>
          </w:p>
        </w:tc>
        <w:tc>
          <w:tcPr>
            <w:tcW w:w="0" w:type="dxa"/>
            <w:vAlign w:val="bottom"/>
          </w:tcPr>
          <w:p>
            <w:pPr>
              <w:spacing w:after="0"/>
              <w:rPr>
                <w:sz w:val="1"/>
                <w:szCs w:val="1"/>
                <w:color w:val="auto"/>
              </w:rPr>
            </w:pPr>
          </w:p>
        </w:tc>
      </w:tr>
      <w:tr>
        <w:trPr>
          <w:trHeight w:val="204"/>
        </w:trPr>
        <w:tc>
          <w:tcPr>
            <w:tcW w:w="5460" w:type="dxa"/>
            <w:vAlign w:val="bottom"/>
            <w:gridSpan w:val="2"/>
          </w:tcPr>
          <w:p>
            <w:pPr>
              <w:spacing w:after="0"/>
              <w:rPr>
                <w:sz w:val="20"/>
                <w:szCs w:val="20"/>
                <w:color w:val="auto"/>
              </w:rPr>
            </w:pPr>
            <w:r>
              <w:rPr>
                <w:rFonts w:ascii="Arial" w:cs="Arial" w:eastAsia="Arial" w:hAnsi="Arial"/>
                <w:sz w:val="17"/>
                <w:szCs w:val="17"/>
                <w:color w:val="auto"/>
              </w:rPr>
              <w:t>van Boxmeer, Jean-François</w:t>
            </w:r>
          </w:p>
        </w:tc>
        <w:tc>
          <w:tcPr>
            <w:tcW w:w="1920" w:type="dxa"/>
            <w:vAlign w:val="bottom"/>
            <w:gridSpan w:val="2"/>
          </w:tcPr>
          <w:p>
            <w:pPr>
              <w:jc w:val="right"/>
              <w:ind w:right="12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8,047</w:t>
            </w:r>
          </w:p>
        </w:tc>
        <w:tc>
          <w:tcPr>
            <w:tcW w:w="10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8,047</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60" w:type="dxa"/>
            <w:vAlign w:val="bottom"/>
            <w:gridSpan w:val="2"/>
          </w:tcPr>
          <w:p>
            <w:pPr>
              <w:spacing w:after="0"/>
              <w:rPr>
                <w:sz w:val="20"/>
                <w:szCs w:val="20"/>
                <w:color w:val="auto"/>
              </w:rPr>
            </w:pPr>
            <w:r>
              <w:rPr>
                <w:rFonts w:ascii="Arial" w:cs="Arial" w:eastAsia="Arial" w:hAnsi="Arial"/>
                <w:sz w:val="17"/>
                <w:szCs w:val="17"/>
                <w:b w:val="1"/>
                <w:bCs w:val="1"/>
                <w:color w:val="auto"/>
              </w:rPr>
              <w:t>Officers:</w:t>
            </w: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Brearton David</w:t>
            </w:r>
          </w:p>
        </w:tc>
        <w:tc>
          <w:tcPr>
            <w:tcW w:w="8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329,503</w:t>
            </w:r>
          </w:p>
        </w:tc>
        <w:tc>
          <w:tcPr>
            <w:tcW w:w="1120" w:type="dxa"/>
            <w:vAlign w:val="bottom"/>
            <w:shd w:val="clear" w:color="auto" w:fill="D8D8D8"/>
          </w:tcPr>
          <w:p>
            <w:pPr>
              <w:spacing w:after="0"/>
              <w:rPr>
                <w:sz w:val="16"/>
                <w:szCs w:val="16"/>
                <w:color w:val="auto"/>
              </w:rPr>
            </w:pPr>
          </w:p>
        </w:tc>
        <w:tc>
          <w:tcPr>
            <w:tcW w:w="102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8,514</w:t>
            </w:r>
          </w:p>
        </w:tc>
        <w:tc>
          <w:tcPr>
            <w:tcW w:w="1060" w:type="dxa"/>
            <w:vAlign w:val="bottom"/>
            <w:shd w:val="clear" w:color="auto" w:fill="D8D8D8"/>
          </w:tcPr>
          <w:p>
            <w:pPr>
              <w:spacing w:after="0"/>
              <w:rPr>
                <w:sz w:val="16"/>
                <w:szCs w:val="16"/>
                <w:color w:val="auto"/>
              </w:rPr>
            </w:pPr>
          </w:p>
        </w:tc>
        <w:tc>
          <w:tcPr>
            <w:tcW w:w="10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338,017</w:t>
            </w:r>
          </w:p>
        </w:tc>
        <w:tc>
          <w:tcPr>
            <w:tcW w:w="9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60" w:type="dxa"/>
            <w:vAlign w:val="bottom"/>
            <w:gridSpan w:val="2"/>
          </w:tcPr>
          <w:p>
            <w:pPr>
              <w:spacing w:after="0" w:line="192" w:lineRule="exact"/>
              <w:rPr>
                <w:sz w:val="20"/>
                <w:szCs w:val="20"/>
                <w:color w:val="auto"/>
              </w:rPr>
            </w:pPr>
            <w:r>
              <w:rPr>
                <w:rFonts w:ascii="Arial" w:cs="Arial" w:eastAsia="Arial" w:hAnsi="Arial"/>
                <w:sz w:val="17"/>
                <w:szCs w:val="17"/>
                <w:color w:val="auto"/>
              </w:rPr>
              <w:t>Khosla, Sanjay</w:t>
            </w:r>
          </w:p>
        </w:tc>
        <w:tc>
          <w:tcPr>
            <w:tcW w:w="800" w:type="dxa"/>
            <w:vAlign w:val="bottom"/>
          </w:tcPr>
          <w:p>
            <w:pPr>
              <w:jc w:val="right"/>
              <w:spacing w:after="0" w:line="192" w:lineRule="exact"/>
              <w:rPr>
                <w:sz w:val="20"/>
                <w:szCs w:val="20"/>
                <w:color w:val="auto"/>
              </w:rPr>
            </w:pPr>
            <w:r>
              <w:rPr>
                <w:rFonts w:ascii="Arial" w:cs="Arial" w:eastAsia="Arial" w:hAnsi="Arial"/>
                <w:sz w:val="17"/>
                <w:szCs w:val="17"/>
                <w:color w:val="auto"/>
              </w:rPr>
              <w:t>391,709</w:t>
            </w:r>
          </w:p>
        </w:tc>
        <w:tc>
          <w:tcPr>
            <w:tcW w:w="1120" w:type="dxa"/>
            <w:vAlign w:val="bottom"/>
          </w:tcPr>
          <w:p>
            <w:pPr>
              <w:spacing w:after="0"/>
              <w:rPr>
                <w:sz w:val="16"/>
                <w:szCs w:val="16"/>
                <w:color w:val="auto"/>
              </w:rPr>
            </w:pPr>
          </w:p>
        </w:tc>
        <w:tc>
          <w:tcPr>
            <w:tcW w:w="2080" w:type="dxa"/>
            <w:vAlign w:val="bottom"/>
            <w:gridSpan w:val="2"/>
          </w:tcPr>
          <w:p>
            <w:pPr>
              <w:ind w:left="760"/>
              <w:spacing w:after="0" w:line="192"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92" w:lineRule="exact"/>
              <w:rPr>
                <w:sz w:val="20"/>
                <w:szCs w:val="20"/>
                <w:color w:val="auto"/>
              </w:rPr>
            </w:pPr>
            <w:r>
              <w:rPr>
                <w:rFonts w:ascii="Arial" w:cs="Arial" w:eastAsia="Arial" w:hAnsi="Arial"/>
                <w:sz w:val="17"/>
                <w:szCs w:val="17"/>
                <w:color w:val="auto"/>
              </w:rPr>
              <w:t>391,709</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McLevish, Timothy</w:t>
            </w:r>
          </w:p>
        </w:tc>
        <w:tc>
          <w:tcPr>
            <w:tcW w:w="8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582,572</w:t>
            </w:r>
          </w:p>
        </w:tc>
        <w:tc>
          <w:tcPr>
            <w:tcW w:w="1120" w:type="dxa"/>
            <w:vAlign w:val="bottom"/>
            <w:shd w:val="clear" w:color="auto" w:fill="D8D8D8"/>
          </w:tcPr>
          <w:p>
            <w:pPr>
              <w:spacing w:after="0"/>
              <w:rPr>
                <w:sz w:val="16"/>
                <w:szCs w:val="16"/>
                <w:color w:val="auto"/>
              </w:rPr>
            </w:pPr>
          </w:p>
        </w:tc>
        <w:tc>
          <w:tcPr>
            <w:tcW w:w="2080" w:type="dxa"/>
            <w:vAlign w:val="bottom"/>
            <w:gridSpan w:val="2"/>
            <w:shd w:val="clear" w:color="auto" w:fill="D8D8D8"/>
          </w:tcPr>
          <w:p>
            <w:pPr>
              <w:ind w:left="760"/>
              <w:spacing w:after="0" w:line="192" w:lineRule="exact"/>
              <w:rPr>
                <w:sz w:val="20"/>
                <w:szCs w:val="20"/>
                <w:color w:val="auto"/>
              </w:rPr>
            </w:pPr>
            <w:r>
              <w:rPr>
                <w:rFonts w:ascii="Arial" w:cs="Arial" w:eastAsia="Arial" w:hAnsi="Arial"/>
                <w:sz w:val="17"/>
                <w:szCs w:val="17"/>
                <w:color w:val="auto"/>
              </w:rPr>
              <w:t>—</w:t>
            </w:r>
          </w:p>
        </w:tc>
        <w:tc>
          <w:tcPr>
            <w:tcW w:w="10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582,572</w:t>
            </w:r>
          </w:p>
        </w:tc>
        <w:tc>
          <w:tcPr>
            <w:tcW w:w="9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60" w:type="dxa"/>
            <w:vAlign w:val="bottom"/>
            <w:gridSpan w:val="2"/>
          </w:tcPr>
          <w:p>
            <w:pPr>
              <w:spacing w:after="0" w:line="192" w:lineRule="exact"/>
              <w:rPr>
                <w:sz w:val="20"/>
                <w:szCs w:val="20"/>
                <w:color w:val="auto"/>
              </w:rPr>
            </w:pPr>
            <w:r>
              <w:rPr>
                <w:rFonts w:ascii="Arial" w:cs="Arial" w:eastAsia="Arial" w:hAnsi="Arial"/>
                <w:sz w:val="17"/>
                <w:szCs w:val="17"/>
                <w:color w:val="auto"/>
              </w:rPr>
              <w:t>Rosenfeld, Irene</w:t>
            </w:r>
          </w:p>
        </w:tc>
        <w:tc>
          <w:tcPr>
            <w:tcW w:w="1920" w:type="dxa"/>
            <w:vAlign w:val="bottom"/>
            <w:gridSpan w:val="2"/>
          </w:tcPr>
          <w:p>
            <w:pPr>
              <w:jc w:val="right"/>
              <w:ind w:right="1000"/>
              <w:spacing w:after="0" w:line="192" w:lineRule="exact"/>
              <w:rPr>
                <w:sz w:val="20"/>
                <w:szCs w:val="20"/>
                <w:color w:val="auto"/>
              </w:rPr>
            </w:pPr>
            <w:r>
              <w:rPr>
                <w:rFonts w:ascii="Arial" w:cs="Arial" w:eastAsia="Arial" w:hAnsi="Arial"/>
                <w:sz w:val="17"/>
                <w:szCs w:val="17"/>
                <w:color w:val="auto"/>
              </w:rPr>
              <w:t>3,035,329</w:t>
            </w:r>
            <w:r>
              <w:rPr>
                <w:rFonts w:ascii="Arial" w:cs="Arial" w:eastAsia="Arial" w:hAnsi="Arial"/>
                <w:sz w:val="10"/>
                <w:szCs w:val="10"/>
                <w:color w:val="auto"/>
              </w:rPr>
              <w:t>(6)</w:t>
            </w:r>
          </w:p>
        </w:tc>
        <w:tc>
          <w:tcPr>
            <w:tcW w:w="2080" w:type="dxa"/>
            <w:vAlign w:val="bottom"/>
            <w:gridSpan w:val="2"/>
          </w:tcPr>
          <w:p>
            <w:pPr>
              <w:ind w:left="760"/>
              <w:spacing w:after="0" w:line="192" w:lineRule="exact"/>
              <w:rPr>
                <w:sz w:val="20"/>
                <w:szCs w:val="20"/>
                <w:color w:val="auto"/>
              </w:rPr>
            </w:pPr>
            <w:r>
              <w:rPr>
                <w:rFonts w:ascii="Arial" w:cs="Arial" w:eastAsia="Arial" w:hAnsi="Arial"/>
                <w:sz w:val="17"/>
                <w:szCs w:val="17"/>
                <w:color w:val="auto"/>
              </w:rPr>
              <w:t>—</w:t>
            </w:r>
          </w:p>
        </w:tc>
        <w:tc>
          <w:tcPr>
            <w:tcW w:w="1960" w:type="dxa"/>
            <w:vAlign w:val="bottom"/>
            <w:gridSpan w:val="2"/>
          </w:tcPr>
          <w:p>
            <w:pPr>
              <w:jc w:val="right"/>
              <w:ind w:right="840"/>
              <w:spacing w:after="0" w:line="192" w:lineRule="exact"/>
              <w:rPr>
                <w:sz w:val="20"/>
                <w:szCs w:val="20"/>
                <w:color w:val="auto"/>
              </w:rPr>
            </w:pPr>
            <w:r>
              <w:rPr>
                <w:rFonts w:ascii="Arial" w:cs="Arial" w:eastAsia="Arial" w:hAnsi="Arial"/>
                <w:sz w:val="17"/>
                <w:szCs w:val="17"/>
                <w:color w:val="auto"/>
              </w:rPr>
              <w:t>3,035,329</w:t>
            </w: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Vernon, W. Anthony</w:t>
            </w:r>
          </w:p>
        </w:tc>
        <w:tc>
          <w:tcPr>
            <w:tcW w:w="8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270,555</w:t>
            </w:r>
          </w:p>
        </w:tc>
        <w:tc>
          <w:tcPr>
            <w:tcW w:w="1120" w:type="dxa"/>
            <w:vAlign w:val="bottom"/>
            <w:shd w:val="clear" w:color="auto" w:fill="D8D8D8"/>
          </w:tcPr>
          <w:p>
            <w:pPr>
              <w:spacing w:after="0"/>
              <w:rPr>
                <w:sz w:val="16"/>
                <w:szCs w:val="16"/>
                <w:color w:val="auto"/>
              </w:rPr>
            </w:pPr>
          </w:p>
        </w:tc>
        <w:tc>
          <w:tcPr>
            <w:tcW w:w="2080" w:type="dxa"/>
            <w:vAlign w:val="bottom"/>
            <w:gridSpan w:val="2"/>
            <w:shd w:val="clear" w:color="auto" w:fill="D8D8D8"/>
          </w:tcPr>
          <w:p>
            <w:pPr>
              <w:ind w:left="760"/>
              <w:spacing w:after="0" w:line="192" w:lineRule="exact"/>
              <w:rPr>
                <w:sz w:val="20"/>
                <w:szCs w:val="20"/>
                <w:color w:val="auto"/>
              </w:rPr>
            </w:pPr>
            <w:r>
              <w:rPr>
                <w:rFonts w:ascii="Arial" w:cs="Arial" w:eastAsia="Arial" w:hAnsi="Arial"/>
                <w:sz w:val="17"/>
                <w:szCs w:val="17"/>
                <w:color w:val="auto"/>
              </w:rPr>
              <w:t>—</w:t>
            </w:r>
          </w:p>
        </w:tc>
        <w:tc>
          <w:tcPr>
            <w:tcW w:w="10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270,555</w:t>
            </w:r>
          </w:p>
        </w:tc>
        <w:tc>
          <w:tcPr>
            <w:tcW w:w="9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60" w:type="dxa"/>
            <w:vAlign w:val="bottom"/>
            <w:gridSpan w:val="2"/>
          </w:tcPr>
          <w:p>
            <w:pPr>
              <w:spacing w:after="0" w:line="192" w:lineRule="exact"/>
              <w:rPr>
                <w:sz w:val="20"/>
                <w:szCs w:val="20"/>
                <w:color w:val="auto"/>
              </w:rPr>
            </w:pPr>
            <w:r>
              <w:rPr>
                <w:rFonts w:ascii="Arial" w:cs="Arial" w:eastAsia="Arial" w:hAnsi="Arial"/>
                <w:sz w:val="17"/>
                <w:szCs w:val="17"/>
                <w:color w:val="auto"/>
              </w:rPr>
              <w:t>West, Mary Beth</w:t>
            </w:r>
          </w:p>
        </w:tc>
        <w:tc>
          <w:tcPr>
            <w:tcW w:w="800" w:type="dxa"/>
            <w:vAlign w:val="bottom"/>
          </w:tcPr>
          <w:p>
            <w:pPr>
              <w:jc w:val="right"/>
              <w:spacing w:after="0" w:line="192" w:lineRule="exact"/>
              <w:rPr>
                <w:sz w:val="20"/>
                <w:szCs w:val="20"/>
                <w:color w:val="auto"/>
              </w:rPr>
            </w:pPr>
            <w:r>
              <w:rPr>
                <w:rFonts w:ascii="Arial" w:cs="Arial" w:eastAsia="Arial" w:hAnsi="Arial"/>
                <w:sz w:val="17"/>
                <w:szCs w:val="17"/>
                <w:color w:val="auto"/>
              </w:rPr>
              <w:t>242,394</w:t>
            </w:r>
          </w:p>
        </w:tc>
        <w:tc>
          <w:tcPr>
            <w:tcW w:w="1120" w:type="dxa"/>
            <w:vAlign w:val="bottom"/>
          </w:tcPr>
          <w:p>
            <w:pPr>
              <w:spacing w:after="0"/>
              <w:rPr>
                <w:sz w:val="16"/>
                <w:szCs w:val="16"/>
                <w:color w:val="auto"/>
              </w:rPr>
            </w:pPr>
          </w:p>
        </w:tc>
        <w:tc>
          <w:tcPr>
            <w:tcW w:w="2080" w:type="dxa"/>
            <w:vAlign w:val="bottom"/>
            <w:gridSpan w:val="2"/>
          </w:tcPr>
          <w:p>
            <w:pPr>
              <w:ind w:left="760"/>
              <w:spacing w:after="0" w:line="192"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92" w:lineRule="exact"/>
              <w:rPr>
                <w:sz w:val="20"/>
                <w:szCs w:val="20"/>
                <w:color w:val="auto"/>
              </w:rPr>
            </w:pPr>
            <w:r>
              <w:rPr>
                <w:rFonts w:ascii="Arial" w:cs="Arial" w:eastAsia="Arial" w:hAnsi="Arial"/>
                <w:sz w:val="17"/>
                <w:szCs w:val="17"/>
                <w:color w:val="auto"/>
              </w:rPr>
              <w:t>242,394</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All directors and executive officers as a group (23 persons)</w:t>
            </w:r>
            <w:r>
              <w:rPr>
                <w:rFonts w:ascii="Arial" w:cs="Arial" w:eastAsia="Arial" w:hAnsi="Arial"/>
                <w:sz w:val="10"/>
                <w:szCs w:val="10"/>
                <w:color w:val="auto"/>
              </w:rPr>
              <w:t>(7)</w:t>
            </w:r>
          </w:p>
        </w:tc>
        <w:tc>
          <w:tcPr>
            <w:tcW w:w="8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6,304,627</w:t>
            </w:r>
          </w:p>
        </w:tc>
        <w:tc>
          <w:tcPr>
            <w:tcW w:w="1120" w:type="dxa"/>
            <w:vAlign w:val="bottom"/>
            <w:shd w:val="clear" w:color="auto" w:fill="D8D8D8"/>
          </w:tcPr>
          <w:p>
            <w:pPr>
              <w:spacing w:after="0"/>
              <w:rPr>
                <w:sz w:val="16"/>
                <w:szCs w:val="16"/>
                <w:color w:val="auto"/>
              </w:rPr>
            </w:pPr>
          </w:p>
        </w:tc>
        <w:tc>
          <w:tcPr>
            <w:tcW w:w="2080" w:type="dxa"/>
            <w:vAlign w:val="bottom"/>
            <w:gridSpan w:val="2"/>
            <w:shd w:val="clear" w:color="auto" w:fill="D8D8D8"/>
          </w:tcPr>
          <w:p>
            <w:pPr>
              <w:jc w:val="right"/>
              <w:ind w:right="1060"/>
              <w:spacing w:after="0" w:line="192" w:lineRule="exact"/>
              <w:rPr>
                <w:sz w:val="20"/>
                <w:szCs w:val="20"/>
                <w:color w:val="auto"/>
              </w:rPr>
            </w:pPr>
            <w:r>
              <w:rPr>
                <w:rFonts w:ascii="Arial" w:cs="Arial" w:eastAsia="Arial" w:hAnsi="Arial"/>
                <w:sz w:val="17"/>
                <w:szCs w:val="17"/>
                <w:color w:val="auto"/>
              </w:rPr>
              <w:t>262,323</w:t>
            </w:r>
          </w:p>
        </w:tc>
        <w:tc>
          <w:tcPr>
            <w:tcW w:w="1000" w:type="dxa"/>
            <w:vAlign w:val="bottom"/>
            <w:shd w:val="clear" w:color="auto" w:fill="D8D8D8"/>
          </w:tcPr>
          <w:p>
            <w:pPr>
              <w:jc w:val="right"/>
              <w:spacing w:after="0" w:line="192" w:lineRule="exact"/>
              <w:rPr>
                <w:sz w:val="20"/>
                <w:szCs w:val="20"/>
                <w:color w:val="auto"/>
              </w:rPr>
            </w:pPr>
            <w:r>
              <w:rPr>
                <w:rFonts w:ascii="Arial" w:cs="Arial" w:eastAsia="Arial" w:hAnsi="Arial"/>
                <w:sz w:val="17"/>
                <w:szCs w:val="17"/>
                <w:color w:val="auto"/>
              </w:rPr>
              <w:t>6,566,950</w:t>
            </w:r>
          </w:p>
        </w:tc>
        <w:tc>
          <w:tcPr>
            <w:tcW w:w="9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64770</wp:posOffset>
            </wp:positionV>
            <wp:extent cx="7226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4" w:lineRule="exact"/>
        <w:rPr>
          <w:sz w:val="20"/>
          <w:szCs w:val="20"/>
          <w:color w:val="auto"/>
        </w:rPr>
      </w:pPr>
    </w:p>
    <w:p>
      <w:pPr>
        <w:ind w:left="1580" w:right="240" w:hanging="785"/>
        <w:spacing w:after="0" w:line="241" w:lineRule="auto"/>
        <w:tabs>
          <w:tab w:leader="none" w:pos="15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Individual directors and executive officers as well as all directors and executive officers as a group beneficially own less than 1% of our issued and outstanding common stock as of March 1, 2012.</w:t>
      </w:r>
    </w:p>
    <w:p>
      <w:pPr>
        <w:spacing w:after="0" w:line="55" w:lineRule="exact"/>
        <w:rPr>
          <w:rFonts w:ascii="Arial" w:cs="Arial" w:eastAsia="Arial" w:hAnsi="Arial"/>
          <w:sz w:val="17"/>
          <w:szCs w:val="17"/>
          <w:color w:val="auto"/>
        </w:rPr>
      </w:pPr>
    </w:p>
    <w:p>
      <w:pPr>
        <w:ind w:left="1580" w:right="20" w:hanging="785"/>
        <w:spacing w:after="0" w:line="237" w:lineRule="auto"/>
        <w:tabs>
          <w:tab w:leader="none" w:pos="15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Includes stock options that are exercisable or will become exercisable within 60 days after March 1, 2012 as follows: Mr. Pope – 1,710; Mr. Brearton – 163,892; Mr. Khosla – 206,045; Mr. McLevish – 391,672; Ms. Rosenfeld – 2,060,172; Mr. Vernon – 131,900; Ms. West – 149,868 and all other executive officers – 716,485. Also includes shares of restricted stock as follows: Mr. Brearton – 38,140; Mr. Khosla – 48,740; Mr. McLevish – 66,420; Ms. Rosenfeld – 266,080; Mr. Vernon – 83,920; Ms. West – 39,730 and all other executive officers – 160,515.</w:t>
      </w:r>
    </w:p>
    <w:p>
      <w:pPr>
        <w:spacing w:after="0" w:line="58" w:lineRule="exact"/>
        <w:rPr>
          <w:rFonts w:ascii="Arial" w:cs="Arial" w:eastAsia="Arial" w:hAnsi="Arial"/>
          <w:sz w:val="17"/>
          <w:szCs w:val="17"/>
          <w:color w:val="auto"/>
        </w:rPr>
      </w:pPr>
    </w:p>
    <w:p>
      <w:pPr>
        <w:ind w:left="1580" w:right="180" w:hanging="785"/>
        <w:spacing w:after="0" w:line="238" w:lineRule="auto"/>
        <w:tabs>
          <w:tab w:leader="none" w:pos="15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Includes deferred stock units and shares held in the Kraft Foods Thrift/TIP 401(k) Plans and Kraft Foods Canada Optional Pension Plan(s)/Employee Savings Plan as of December 31, 2011. Also includes deferred shares held in the stock deferral plan under the 2006 Stock Compensation Plan for Non-Employee Directors. These shares accumulate dividends, which are reinvested in common stock. For a description of these deferred shares, see “Compensation of Non-Employee Directors” above.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444" w:right="23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left="1580" w:hanging="785"/>
        <w:spacing w:after="0"/>
        <w:tabs>
          <w:tab w:leader="none" w:pos="15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Messrs. Lundgren and Mesquita are new director nominees.</w:t>
      </w:r>
    </w:p>
    <w:p>
      <w:pPr>
        <w:spacing w:after="0" w:line="60" w:lineRule="exact"/>
        <w:rPr>
          <w:rFonts w:ascii="Arial" w:cs="Arial" w:eastAsia="Arial" w:hAnsi="Arial"/>
          <w:sz w:val="17"/>
          <w:szCs w:val="17"/>
          <w:color w:val="auto"/>
        </w:rPr>
      </w:pPr>
    </w:p>
    <w:p>
      <w:pPr>
        <w:ind w:left="1580" w:hanging="785"/>
        <w:spacing w:after="0"/>
        <w:tabs>
          <w:tab w:leader="none" w:pos="15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Includes 300 shares as to which Mr. Pope disclaims beneficial ownership, as the shares are held in trust for his children’s benefit.</w:t>
      </w:r>
    </w:p>
    <w:p>
      <w:pPr>
        <w:spacing w:after="0" w:line="60" w:lineRule="exact"/>
        <w:rPr>
          <w:rFonts w:ascii="Arial" w:cs="Arial" w:eastAsia="Arial" w:hAnsi="Arial"/>
          <w:sz w:val="17"/>
          <w:szCs w:val="17"/>
          <w:color w:val="auto"/>
        </w:rPr>
      </w:pPr>
    </w:p>
    <w:p>
      <w:pPr>
        <w:ind w:left="1580" w:right="180" w:hanging="785"/>
        <w:spacing w:after="0" w:line="238" w:lineRule="auto"/>
        <w:tabs>
          <w:tab w:leader="none" w:pos="15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Includes 100 shares as to which Ms. Rosenfeld disclaims beneficial ownership, as the shares are held by her spouse. Also includes stock options granted under our 2005 Performance Incentive Plan in connection with Ms. Rosenfeld’s appointment to Chairman. Shares under this performance-contingent stock option will vest only if our stock price maintains an average trading price of $41.43 for at least ten consecutive trading days.</w:t>
      </w:r>
    </w:p>
    <w:p>
      <w:pPr>
        <w:spacing w:after="0" w:line="56" w:lineRule="exact"/>
        <w:rPr>
          <w:rFonts w:ascii="Arial" w:cs="Arial" w:eastAsia="Arial" w:hAnsi="Arial"/>
          <w:sz w:val="17"/>
          <w:szCs w:val="17"/>
          <w:color w:val="auto"/>
        </w:rPr>
      </w:pPr>
    </w:p>
    <w:p>
      <w:pPr>
        <w:ind w:left="1580" w:right="160" w:hanging="785"/>
        <w:spacing w:after="0" w:line="241" w:lineRule="auto"/>
        <w:tabs>
          <w:tab w:leader="none" w:pos="15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This group includes, in addition to the individuals named in the table, John Cahill, Timothy Cofer, Marc Firestone, Karen May, Daniel Myers, Sam Rovit and Jean Spence.</w:t>
      </w:r>
    </w:p>
    <w:p>
      <w:pPr>
        <w:spacing w:after="0" w:line="145"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 following table displays information about persons we know were the beneficial owners of more than 5% of our issued and outstanding common stock as of December 31, 2011.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60" w:type="dxa"/>
            <w:vAlign w:val="bottom"/>
            <w:gridSpan w:val="2"/>
          </w:tcPr>
          <w:p>
            <w:pPr>
              <w:jc w:val="center"/>
              <w:ind w:right="900"/>
              <w:spacing w:after="0"/>
              <w:rPr>
                <w:sz w:val="20"/>
                <w:szCs w:val="20"/>
                <w:color w:val="auto"/>
              </w:rPr>
            </w:pPr>
            <w:r>
              <w:rPr>
                <w:rFonts w:ascii="Arial" w:cs="Arial" w:eastAsia="Arial" w:hAnsi="Arial"/>
                <w:sz w:val="13"/>
                <w:szCs w:val="13"/>
                <w:b w:val="1"/>
                <w:bCs w:val="1"/>
                <w:color w:val="auto"/>
                <w:w w:val="97"/>
              </w:rPr>
              <w:t>Amount and</w:t>
            </w:r>
          </w:p>
        </w:tc>
        <w:tc>
          <w:tcPr>
            <w:tcW w:w="1480" w:type="dxa"/>
            <w:vAlign w:val="bottom"/>
            <w:gridSpan w:val="2"/>
          </w:tcPr>
          <w:p>
            <w:pPr>
              <w:jc w:val="center"/>
              <w:ind w:right="780"/>
              <w:spacing w:after="0"/>
              <w:rPr>
                <w:sz w:val="20"/>
                <w:szCs w:val="20"/>
                <w:color w:val="auto"/>
              </w:rPr>
            </w:pPr>
            <w:r>
              <w:rPr>
                <w:rFonts w:ascii="Arial" w:cs="Arial" w:eastAsia="Arial" w:hAnsi="Arial"/>
                <w:sz w:val="13"/>
                <w:szCs w:val="13"/>
                <w:b w:val="1"/>
                <w:bCs w:val="1"/>
                <w:color w:val="auto"/>
                <w:w w:val="96"/>
              </w:rPr>
              <w:t>Percent</w:t>
            </w:r>
          </w:p>
        </w:tc>
        <w:tc>
          <w:tcPr>
            <w:tcW w:w="0" w:type="dxa"/>
            <w:vAlign w:val="bottom"/>
          </w:tcPr>
          <w:p>
            <w:pPr>
              <w:spacing w:after="0"/>
              <w:rPr>
                <w:sz w:val="1"/>
                <w:szCs w:val="1"/>
                <w:color w:val="auto"/>
              </w:rPr>
            </w:pPr>
          </w:p>
        </w:tc>
      </w:tr>
      <w:tr>
        <w:trPr>
          <w:trHeight w:val="141"/>
        </w:trPr>
        <w:tc>
          <w:tcPr>
            <w:tcW w:w="73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Address of Beneficial</w:t>
            </w:r>
          </w:p>
        </w:tc>
        <w:tc>
          <w:tcPr>
            <w:tcW w:w="680" w:type="dxa"/>
            <w:vAlign w:val="bottom"/>
          </w:tcPr>
          <w:p>
            <w:pPr>
              <w:spacing w:after="0"/>
              <w:rPr>
                <w:sz w:val="12"/>
                <w:szCs w:val="12"/>
                <w:color w:val="auto"/>
              </w:rPr>
            </w:pPr>
          </w:p>
        </w:tc>
        <w:tc>
          <w:tcPr>
            <w:tcW w:w="1960" w:type="dxa"/>
            <w:vAlign w:val="bottom"/>
            <w:gridSpan w:val="2"/>
          </w:tcPr>
          <w:p>
            <w:pPr>
              <w:jc w:val="center"/>
              <w:ind w:right="920"/>
              <w:spacing w:after="0" w:line="141" w:lineRule="exact"/>
              <w:rPr>
                <w:sz w:val="20"/>
                <w:szCs w:val="20"/>
                <w:color w:val="auto"/>
              </w:rPr>
            </w:pPr>
            <w:r>
              <w:rPr>
                <w:rFonts w:ascii="Arial" w:cs="Arial" w:eastAsia="Arial" w:hAnsi="Arial"/>
                <w:sz w:val="13"/>
                <w:szCs w:val="13"/>
                <w:b w:val="1"/>
                <w:bCs w:val="1"/>
                <w:color w:val="auto"/>
                <w:w w:val="98"/>
              </w:rPr>
              <w:t>Nature of</w:t>
            </w:r>
          </w:p>
        </w:tc>
        <w:tc>
          <w:tcPr>
            <w:tcW w:w="1480" w:type="dxa"/>
            <w:vAlign w:val="bottom"/>
            <w:gridSpan w:val="2"/>
          </w:tcPr>
          <w:p>
            <w:pPr>
              <w:jc w:val="center"/>
              <w:ind w:right="800"/>
              <w:spacing w:after="0" w:line="141" w:lineRule="exact"/>
              <w:rPr>
                <w:sz w:val="20"/>
                <w:szCs w:val="20"/>
                <w:color w:val="auto"/>
              </w:rPr>
            </w:pPr>
            <w:r>
              <w:rPr>
                <w:rFonts w:ascii="Arial" w:cs="Arial" w:eastAsia="Arial" w:hAnsi="Arial"/>
                <w:sz w:val="13"/>
                <w:szCs w:val="13"/>
                <w:b w:val="1"/>
                <w:bCs w:val="1"/>
                <w:color w:val="auto"/>
                <w:w w:val="97"/>
              </w:rPr>
              <w:t>of</w:t>
            </w:r>
          </w:p>
        </w:tc>
        <w:tc>
          <w:tcPr>
            <w:tcW w:w="0" w:type="dxa"/>
            <w:vAlign w:val="bottom"/>
          </w:tcPr>
          <w:p>
            <w:pPr>
              <w:spacing w:after="0"/>
              <w:rPr>
                <w:sz w:val="1"/>
                <w:szCs w:val="1"/>
                <w:color w:val="auto"/>
              </w:rPr>
            </w:pPr>
          </w:p>
        </w:tc>
      </w:tr>
      <w:tr>
        <w:trPr>
          <w:trHeight w:val="132"/>
        </w:trPr>
        <w:tc>
          <w:tcPr>
            <w:tcW w:w="7300" w:type="dxa"/>
            <w:vAlign w:val="bottom"/>
            <w:gridSpan w:val="2"/>
            <w:vMerge w:val="continue"/>
          </w:tcPr>
          <w:p>
            <w:pPr>
              <w:spacing w:after="0"/>
              <w:rPr>
                <w:sz w:val="11"/>
                <w:szCs w:val="11"/>
                <w:color w:val="auto"/>
              </w:rPr>
            </w:pPr>
          </w:p>
        </w:tc>
        <w:tc>
          <w:tcPr>
            <w:tcW w:w="680" w:type="dxa"/>
            <w:vAlign w:val="bottom"/>
          </w:tcPr>
          <w:p>
            <w:pPr>
              <w:spacing w:after="0"/>
              <w:rPr>
                <w:sz w:val="11"/>
                <w:szCs w:val="11"/>
                <w:color w:val="auto"/>
              </w:rPr>
            </w:pPr>
          </w:p>
        </w:tc>
        <w:tc>
          <w:tcPr>
            <w:tcW w:w="1960" w:type="dxa"/>
            <w:vAlign w:val="bottom"/>
            <w:gridSpan w:val="2"/>
          </w:tcPr>
          <w:p>
            <w:pPr>
              <w:jc w:val="center"/>
              <w:ind w:right="900"/>
              <w:spacing w:after="0" w:line="132" w:lineRule="exact"/>
              <w:rPr>
                <w:sz w:val="20"/>
                <w:szCs w:val="20"/>
                <w:color w:val="auto"/>
              </w:rPr>
            </w:pPr>
            <w:r>
              <w:rPr>
                <w:rFonts w:ascii="Arial" w:cs="Arial" w:eastAsia="Arial" w:hAnsi="Arial"/>
                <w:sz w:val="13"/>
                <w:szCs w:val="13"/>
                <w:b w:val="1"/>
                <w:bCs w:val="1"/>
                <w:color w:val="auto"/>
              </w:rPr>
              <w:t>Beneficial</w:t>
            </w:r>
          </w:p>
        </w:tc>
        <w:tc>
          <w:tcPr>
            <w:tcW w:w="1480" w:type="dxa"/>
            <w:vAlign w:val="bottom"/>
            <w:gridSpan w:val="2"/>
          </w:tcPr>
          <w:p>
            <w:pPr>
              <w:jc w:val="center"/>
              <w:ind w:right="780"/>
              <w:spacing w:after="0" w:line="132" w:lineRule="exact"/>
              <w:rPr>
                <w:sz w:val="20"/>
                <w:szCs w:val="20"/>
                <w:color w:val="auto"/>
              </w:rPr>
            </w:pPr>
            <w:r>
              <w:rPr>
                <w:rFonts w:ascii="Arial" w:cs="Arial" w:eastAsia="Arial" w:hAnsi="Arial"/>
                <w:sz w:val="13"/>
                <w:szCs w:val="13"/>
                <w:b w:val="1"/>
                <w:bCs w:val="1"/>
                <w:color w:val="auto"/>
                <w:w w:val="95"/>
              </w:rPr>
              <w:t>Common</w:t>
            </w:r>
          </w:p>
        </w:tc>
        <w:tc>
          <w:tcPr>
            <w:tcW w:w="0" w:type="dxa"/>
            <w:vAlign w:val="bottom"/>
          </w:tcPr>
          <w:p>
            <w:pPr>
              <w:spacing w:after="0"/>
              <w:rPr>
                <w:sz w:val="1"/>
                <w:szCs w:val="1"/>
                <w:color w:val="auto"/>
              </w:rPr>
            </w:pPr>
          </w:p>
        </w:tc>
      </w:tr>
      <w:tr>
        <w:trPr>
          <w:trHeight w:val="174"/>
        </w:trPr>
        <w:tc>
          <w:tcPr>
            <w:tcW w:w="2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Owner</w:t>
            </w:r>
          </w:p>
        </w:tc>
        <w:tc>
          <w:tcPr>
            <w:tcW w:w="4880" w:type="dxa"/>
            <w:vAlign w:val="bottom"/>
            <w:tcBorders>
              <w:bottom w:val="single" w:sz="8" w:color="D8D8D8"/>
            </w:tcBorders>
          </w:tcPr>
          <w:p>
            <w:pPr>
              <w:spacing w:after="0"/>
              <w:rPr>
                <w:sz w:val="15"/>
                <w:szCs w:val="15"/>
                <w:color w:val="auto"/>
              </w:rPr>
            </w:pPr>
          </w:p>
        </w:tc>
        <w:tc>
          <w:tcPr>
            <w:tcW w:w="680" w:type="dxa"/>
            <w:vAlign w:val="bottom"/>
            <w:tcBorders>
              <w:bottom w:val="single" w:sz="8" w:color="D8D8D8"/>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Ownership</w:t>
            </w:r>
          </w:p>
        </w:tc>
        <w:tc>
          <w:tcPr>
            <w:tcW w:w="900" w:type="dxa"/>
            <w:vAlign w:val="bottom"/>
            <w:tcBorders>
              <w:bottom w:val="single" w:sz="8" w:color="D8D8D8"/>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Stock*</w:t>
            </w:r>
          </w:p>
        </w:tc>
        <w:tc>
          <w:tcPr>
            <w:tcW w:w="780" w:type="dxa"/>
            <w:vAlign w:val="bottom"/>
            <w:tcBorders>
              <w:bottom w:val="single" w:sz="8" w:color="D8D8D8"/>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30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Capital Research Global Investors</w:t>
            </w:r>
            <w:r>
              <w:rPr>
                <w:rFonts w:ascii="Arial" w:cs="Arial" w:eastAsia="Arial" w:hAnsi="Arial"/>
                <w:sz w:val="10"/>
                <w:szCs w:val="10"/>
                <w:color w:val="auto"/>
              </w:rPr>
              <w:t>(1)</w:t>
            </w:r>
          </w:p>
        </w:tc>
        <w:tc>
          <w:tcPr>
            <w:tcW w:w="1740" w:type="dxa"/>
            <w:vAlign w:val="bottom"/>
            <w:gridSpan w:val="2"/>
            <w:shd w:val="clear" w:color="auto" w:fill="D8D8D8"/>
          </w:tcPr>
          <w:p>
            <w:pPr>
              <w:jc w:val="right"/>
              <w:spacing w:after="0"/>
              <w:rPr>
                <w:sz w:val="20"/>
                <w:szCs w:val="20"/>
                <w:color w:val="auto"/>
              </w:rPr>
            </w:pPr>
            <w:r>
              <w:rPr>
                <w:rFonts w:ascii="Arial" w:cs="Arial" w:eastAsia="Arial" w:hAnsi="Arial"/>
                <w:sz w:val="17"/>
                <w:szCs w:val="17"/>
                <w:color w:val="auto"/>
              </w:rPr>
              <w:t>98,585,754</w:t>
            </w:r>
          </w:p>
        </w:tc>
        <w:tc>
          <w:tcPr>
            <w:tcW w:w="900" w:type="dxa"/>
            <w:vAlign w:val="bottom"/>
            <w:shd w:val="clear" w:color="auto" w:fill="D8D8D8"/>
          </w:tcPr>
          <w:p>
            <w:pPr>
              <w:spacing w:after="0"/>
              <w:rPr>
                <w:sz w:val="23"/>
                <w:szCs w:val="23"/>
                <w:color w:val="auto"/>
              </w:rPr>
            </w:pPr>
          </w:p>
        </w:tc>
        <w:tc>
          <w:tcPr>
            <w:tcW w:w="1480" w:type="dxa"/>
            <w:vAlign w:val="bottom"/>
            <w:gridSpan w:val="2"/>
            <w:shd w:val="clear" w:color="auto" w:fill="D8D8D8"/>
          </w:tcPr>
          <w:p>
            <w:pPr>
              <w:jc w:val="right"/>
              <w:ind w:right="780"/>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192"/>
        </w:trPr>
        <w:tc>
          <w:tcPr>
            <w:tcW w:w="7300" w:type="dxa"/>
            <w:vAlign w:val="bottom"/>
            <w:gridSpan w:val="2"/>
            <w:shd w:val="clear" w:color="auto" w:fill="D8D8D8"/>
          </w:tcPr>
          <w:p>
            <w:pPr>
              <w:ind w:left="420"/>
              <w:spacing w:after="0" w:line="192" w:lineRule="exact"/>
              <w:rPr>
                <w:sz w:val="20"/>
                <w:szCs w:val="20"/>
                <w:color w:val="auto"/>
              </w:rPr>
            </w:pPr>
            <w:r>
              <w:rPr>
                <w:rFonts w:ascii="Arial" w:cs="Arial" w:eastAsia="Arial" w:hAnsi="Arial"/>
                <w:sz w:val="17"/>
                <w:szCs w:val="17"/>
                <w:color w:val="auto"/>
              </w:rPr>
              <w:t>333 South Hope Street</w:t>
            </w:r>
          </w:p>
        </w:tc>
        <w:tc>
          <w:tcPr>
            <w:tcW w:w="680" w:type="dxa"/>
            <w:vAlign w:val="bottom"/>
            <w:shd w:val="clear" w:color="auto" w:fill="D8D8D8"/>
          </w:tcPr>
          <w:p>
            <w:pPr>
              <w:spacing w:after="0"/>
              <w:rPr>
                <w:sz w:val="16"/>
                <w:szCs w:val="16"/>
                <w:color w:val="auto"/>
              </w:rPr>
            </w:pPr>
          </w:p>
        </w:tc>
        <w:tc>
          <w:tcPr>
            <w:tcW w:w="1060" w:type="dxa"/>
            <w:vAlign w:val="bottom"/>
            <w:shd w:val="clear" w:color="auto" w:fill="D8D8D8"/>
          </w:tcPr>
          <w:p>
            <w:pPr>
              <w:spacing w:after="0"/>
              <w:rPr>
                <w:sz w:val="16"/>
                <w:szCs w:val="16"/>
                <w:color w:val="auto"/>
              </w:rPr>
            </w:pPr>
          </w:p>
        </w:tc>
        <w:tc>
          <w:tcPr>
            <w:tcW w:w="900" w:type="dxa"/>
            <w:vAlign w:val="bottom"/>
            <w:shd w:val="clear" w:color="auto" w:fill="D8D8D8"/>
          </w:tcPr>
          <w:p>
            <w:pPr>
              <w:spacing w:after="0"/>
              <w:rPr>
                <w:sz w:val="16"/>
                <w:szCs w:val="16"/>
                <w:color w:val="auto"/>
              </w:rPr>
            </w:pPr>
          </w:p>
        </w:tc>
        <w:tc>
          <w:tcPr>
            <w:tcW w:w="700" w:type="dxa"/>
            <w:vAlign w:val="bottom"/>
            <w:shd w:val="clear" w:color="auto" w:fill="D8D8D8"/>
          </w:tcPr>
          <w:p>
            <w:pPr>
              <w:spacing w:after="0"/>
              <w:rPr>
                <w:sz w:val="16"/>
                <w:szCs w:val="16"/>
                <w:color w:val="auto"/>
              </w:rPr>
            </w:pPr>
          </w:p>
        </w:tc>
        <w:tc>
          <w:tcPr>
            <w:tcW w:w="78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300" w:type="dxa"/>
            <w:vAlign w:val="bottom"/>
            <w:gridSpan w:val="2"/>
            <w:shd w:val="clear" w:color="auto" w:fill="D8D8D8"/>
          </w:tcPr>
          <w:p>
            <w:pPr>
              <w:ind w:left="420"/>
              <w:spacing w:after="0"/>
              <w:rPr>
                <w:sz w:val="20"/>
                <w:szCs w:val="20"/>
                <w:color w:val="auto"/>
              </w:rPr>
            </w:pPr>
            <w:r>
              <w:rPr>
                <w:rFonts w:ascii="Arial" w:cs="Arial" w:eastAsia="Arial" w:hAnsi="Arial"/>
                <w:sz w:val="17"/>
                <w:szCs w:val="17"/>
                <w:color w:val="auto"/>
              </w:rPr>
              <w:t>Los Angeles, California 90071</w:t>
            </w:r>
          </w:p>
        </w:tc>
        <w:tc>
          <w:tcPr>
            <w:tcW w:w="680" w:type="dxa"/>
            <w:vAlign w:val="bottom"/>
            <w:shd w:val="clear" w:color="auto" w:fill="D8D8D8"/>
          </w:tcPr>
          <w:p>
            <w:pPr>
              <w:spacing w:after="0"/>
              <w:rPr>
                <w:sz w:val="17"/>
                <w:szCs w:val="17"/>
                <w:color w:val="auto"/>
              </w:rPr>
            </w:pPr>
          </w:p>
        </w:tc>
        <w:tc>
          <w:tcPr>
            <w:tcW w:w="1060" w:type="dxa"/>
            <w:vAlign w:val="bottom"/>
            <w:shd w:val="clear" w:color="auto" w:fill="D8D8D8"/>
          </w:tcPr>
          <w:p>
            <w:pPr>
              <w:spacing w:after="0"/>
              <w:rPr>
                <w:sz w:val="17"/>
                <w:szCs w:val="17"/>
                <w:color w:val="auto"/>
              </w:rPr>
            </w:pPr>
          </w:p>
        </w:tc>
        <w:tc>
          <w:tcPr>
            <w:tcW w:w="900" w:type="dxa"/>
            <w:vAlign w:val="bottom"/>
            <w:shd w:val="clear" w:color="auto" w:fill="D8D8D8"/>
          </w:tcPr>
          <w:p>
            <w:pPr>
              <w:spacing w:after="0"/>
              <w:rPr>
                <w:sz w:val="17"/>
                <w:szCs w:val="17"/>
                <w:color w:val="auto"/>
              </w:rPr>
            </w:pPr>
          </w:p>
        </w:tc>
        <w:tc>
          <w:tcPr>
            <w:tcW w:w="700" w:type="dxa"/>
            <w:vAlign w:val="bottom"/>
            <w:shd w:val="clear" w:color="auto" w:fill="D8D8D8"/>
          </w:tcPr>
          <w:p>
            <w:pPr>
              <w:spacing w:after="0"/>
              <w:rPr>
                <w:sz w:val="17"/>
                <w:szCs w:val="17"/>
                <w:color w:val="auto"/>
              </w:rPr>
            </w:pPr>
          </w:p>
        </w:tc>
        <w:tc>
          <w:tcPr>
            <w:tcW w:w="78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7300" w:type="dxa"/>
            <w:vAlign w:val="bottom"/>
            <w:gridSpan w:val="2"/>
          </w:tcPr>
          <w:p>
            <w:pPr>
              <w:spacing w:after="0"/>
              <w:rPr>
                <w:sz w:val="20"/>
                <w:szCs w:val="20"/>
                <w:color w:val="auto"/>
              </w:rPr>
            </w:pPr>
            <w:r>
              <w:rPr>
                <w:rFonts w:ascii="Arial" w:cs="Arial" w:eastAsia="Arial" w:hAnsi="Arial"/>
                <w:sz w:val="17"/>
                <w:szCs w:val="17"/>
                <w:color w:val="auto"/>
              </w:rPr>
              <w:t>State Street Corporation</w:t>
            </w:r>
            <w:r>
              <w:rPr>
                <w:rFonts w:ascii="Arial" w:cs="Arial" w:eastAsia="Arial" w:hAnsi="Arial"/>
                <w:sz w:val="10"/>
                <w:szCs w:val="10"/>
                <w:color w:val="auto"/>
              </w:rPr>
              <w:t>(2)</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88,591,641</w:t>
            </w:r>
          </w:p>
        </w:tc>
        <w:tc>
          <w:tcPr>
            <w:tcW w:w="900" w:type="dxa"/>
            <w:vAlign w:val="bottom"/>
          </w:tcPr>
          <w:p>
            <w:pPr>
              <w:spacing w:after="0"/>
              <w:rPr>
                <w:sz w:val="24"/>
                <w:szCs w:val="24"/>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92"/>
        </w:trPr>
        <w:tc>
          <w:tcPr>
            <w:tcW w:w="7300" w:type="dxa"/>
            <w:vAlign w:val="bottom"/>
            <w:gridSpan w:val="2"/>
          </w:tcPr>
          <w:p>
            <w:pPr>
              <w:ind w:left="420"/>
              <w:spacing w:after="0" w:line="192" w:lineRule="exact"/>
              <w:rPr>
                <w:sz w:val="20"/>
                <w:szCs w:val="20"/>
                <w:color w:val="auto"/>
              </w:rPr>
            </w:pPr>
            <w:r>
              <w:rPr>
                <w:rFonts w:ascii="Arial" w:cs="Arial" w:eastAsia="Arial" w:hAnsi="Arial"/>
                <w:sz w:val="17"/>
                <w:szCs w:val="17"/>
                <w:color w:val="auto"/>
              </w:rPr>
              <w:t>State Street Financial Center</w:t>
            </w: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300" w:type="dxa"/>
            <w:vAlign w:val="bottom"/>
            <w:gridSpan w:val="2"/>
          </w:tcPr>
          <w:p>
            <w:pPr>
              <w:ind w:left="420"/>
              <w:spacing w:after="0" w:line="192" w:lineRule="exact"/>
              <w:rPr>
                <w:sz w:val="20"/>
                <w:szCs w:val="20"/>
                <w:color w:val="auto"/>
              </w:rPr>
            </w:pPr>
            <w:r>
              <w:rPr>
                <w:rFonts w:ascii="Arial" w:cs="Arial" w:eastAsia="Arial" w:hAnsi="Arial"/>
                <w:sz w:val="17"/>
                <w:szCs w:val="17"/>
                <w:color w:val="auto"/>
              </w:rPr>
              <w:t>One Lincoln Street</w:t>
            </w: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300" w:type="dxa"/>
            <w:vAlign w:val="bottom"/>
            <w:gridSpan w:val="2"/>
          </w:tcPr>
          <w:p>
            <w:pPr>
              <w:ind w:left="420"/>
              <w:spacing w:after="0"/>
              <w:rPr>
                <w:sz w:val="20"/>
                <w:szCs w:val="20"/>
                <w:color w:val="auto"/>
              </w:rPr>
            </w:pPr>
            <w:r>
              <w:rPr>
                <w:rFonts w:ascii="Arial" w:cs="Arial" w:eastAsia="Arial" w:hAnsi="Arial"/>
                <w:sz w:val="17"/>
                <w:szCs w:val="17"/>
                <w:color w:val="auto"/>
              </w:rPr>
              <w:t>Boston, Massachusetts 02111</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66040</wp:posOffset>
            </wp:positionV>
            <wp:extent cx="7226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25" w:lineRule="exact"/>
        <w:rPr>
          <w:sz w:val="20"/>
          <w:szCs w:val="20"/>
          <w:color w:val="auto"/>
        </w:rPr>
      </w:pPr>
    </w:p>
    <w:p>
      <w:pPr>
        <w:ind w:left="1480" w:hanging="569"/>
        <w:spacing w:after="0"/>
        <w:tabs>
          <w:tab w:leader="none" w:pos="14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Calculated based on shares of our issued and outstanding common stock as of March 15, 2012.</w:t>
      </w:r>
    </w:p>
    <w:p>
      <w:pPr>
        <w:spacing w:after="0" w:line="60" w:lineRule="exact"/>
        <w:rPr>
          <w:sz w:val="20"/>
          <w:szCs w:val="20"/>
          <w:color w:val="auto"/>
        </w:rPr>
      </w:pPr>
    </w:p>
    <w:p>
      <w:pPr>
        <w:ind w:left="1480" w:right="20" w:hanging="569"/>
        <w:spacing w:after="0" w:line="238" w:lineRule="auto"/>
        <w:tabs>
          <w:tab w:leader="none" w:pos="14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a review of the Schedule 13G/A Information Statement filed on February 9, 2012 by Capital Research Global Investors. The Schedule 13G/A discloses that Capital Research Global Investors, a division of Capital Research and Management Company (“CRMC”), as a result of CRMC acting as investment adviser to various investment companies, had sole voting power as to 96,585,754 shares and sole dispositive power as to 98,585,754 shares, and disclaims beneficial ownership of the reported shares.</w:t>
      </w:r>
    </w:p>
    <w:p>
      <w:pPr>
        <w:spacing w:after="0" w:line="56" w:lineRule="exact"/>
        <w:rPr>
          <w:rFonts w:ascii="Arial" w:cs="Arial" w:eastAsia="Arial" w:hAnsi="Arial"/>
          <w:sz w:val="17"/>
          <w:szCs w:val="17"/>
          <w:color w:val="auto"/>
        </w:rPr>
      </w:pPr>
    </w:p>
    <w:p>
      <w:pPr>
        <w:ind w:left="1480" w:right="100" w:hanging="569"/>
        <w:spacing w:after="0" w:line="238" w:lineRule="auto"/>
        <w:tabs>
          <w:tab w:leader="none" w:pos="14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a review of the Schedule 13G Information Statement filed on February 9, 2012 by State Street Corporation. The Schedule 13G discloses that State Street Corporation, in its capacity as the parent holding company of certain direct and indirect subsidiaries, in such subsidiaries’ capacities as investment advisors or banks, had shared voting power as to 88,591,641 shares and shared dispositive power as to 88,591,641 shares.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443" w:right="23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3"/>
          <w:szCs w:val="23"/>
          <w:b w:val="1"/>
          <w:bCs w:val="1"/>
          <w:color w:val="auto"/>
        </w:rPr>
        <w:t>ITEM 2. ADVISORY VOTE TO APPROVE EXECUTIVE COMPENSATION</w:t>
      </w:r>
    </w:p>
    <w:p>
      <w:pPr>
        <w:spacing w:after="0" w:line="19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In accordance with the Dodd-Frank Wall Street Reform and Consumer Protection Act of 2010 and related SEC rules, and consistent with our shareholders’ preference as indicated at our 2011 annual meeting, our Board has adopted a policy of providing an annual shareholder vote to approve, on an advisory (non-binding) basis, the compensation of our Named Executive Officers as disclosed in the proxy statement.</w:t>
      </w:r>
    </w:p>
    <w:p>
      <w:pPr>
        <w:spacing w:after="0" w:line="145"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As described in detail under “Compensation Discussion and Analysis,” our executive compensation programs are designed to attract, retain and motivate superior executive talent, including our Named Executive Officers, who are critical to our success. Under these programs, we seek to align pay and performance by making a significant portion of our Named Executive Officers’ compensation dependent on:</w:t>
      </w:r>
    </w:p>
    <w:p>
      <w:pPr>
        <w:spacing w:after="0" w:line="68" w:lineRule="exact"/>
        <w:rPr>
          <w:sz w:val="20"/>
          <w:szCs w:val="20"/>
          <w:color w:val="auto"/>
        </w:rPr>
      </w:pPr>
    </w:p>
    <w:p>
      <w:pPr>
        <w:ind w:left="880" w:hanging="315"/>
        <w:spacing w:after="0"/>
        <w:tabs>
          <w:tab w:leader="none" w:pos="8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achievement of specific annual and long-term strategic and financial goals;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realization of increased shareholder value.</w:t>
      </w:r>
    </w:p>
    <w:p>
      <w:pPr>
        <w:spacing w:after="0" w:line="15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We have many compensation practices that ensure that our compensation programs are strongly aligned with our goals and strategies and promote good pay and corporate governance practices. These practices are discussed in detail under “Board Committees and Membership – Human Resources and Compensation Committee” and “Compensation Discussion and Analysis” and include:</w:t>
      </w:r>
    </w:p>
    <w:p>
      <w:pPr>
        <w:spacing w:after="0" w:line="68" w:lineRule="exact"/>
        <w:rPr>
          <w:sz w:val="20"/>
          <w:szCs w:val="20"/>
          <w:color w:val="auto"/>
        </w:rPr>
      </w:pPr>
    </w:p>
    <w:p>
      <w:pPr>
        <w:ind w:left="880" w:right="120" w:hanging="315"/>
        <w:spacing w:after="0" w:line="241" w:lineRule="auto"/>
        <w:tabs>
          <w:tab w:leader="none" w:pos="8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we have substantial stock ownership guidelines and stock holding requirements for directors and executive officers that promote alignment of their interests with our shareholders’ interests;</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our long-term incentive program is 100% stock-based;</w:t>
      </w:r>
    </w:p>
    <w:p>
      <w:pPr>
        <w:spacing w:after="0" w:line="73" w:lineRule="exact"/>
        <w:rPr>
          <w:rFonts w:ascii="Arial" w:cs="Arial" w:eastAsia="Arial" w:hAnsi="Arial"/>
          <w:sz w:val="17"/>
          <w:szCs w:val="17"/>
          <w:color w:val="auto"/>
        </w:rPr>
      </w:pPr>
    </w:p>
    <w:p>
      <w:pPr>
        <w:ind w:left="880" w:right="240" w:hanging="315"/>
        <w:spacing w:after="0" w:line="241" w:lineRule="auto"/>
        <w:tabs>
          <w:tab w:leader="none" w:pos="8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approximately 85% of our Chief Executive Officer’s target total compensation is at-risk, incentive-based pay, of which over 70% is based on long-term performance;</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over 50% of our other Named Executive Officers’ target total compensation is based on long-term performance;</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we do not pay the tax liability (i.e., no gross ups) associated with executive perquisites;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we employ our executive officers “at will” without individual severance agreements or employment contracts; and</w:t>
      </w:r>
    </w:p>
    <w:p>
      <w:pPr>
        <w:spacing w:after="0" w:line="73" w:lineRule="exact"/>
        <w:rPr>
          <w:rFonts w:ascii="Arial" w:cs="Arial" w:eastAsia="Arial" w:hAnsi="Arial"/>
          <w:sz w:val="17"/>
          <w:szCs w:val="17"/>
          <w:color w:val="auto"/>
        </w:rPr>
      </w:pPr>
    </w:p>
    <w:p>
      <w:pPr>
        <w:ind w:left="880" w:right="380" w:hanging="315"/>
        <w:spacing w:after="0" w:line="241" w:lineRule="auto"/>
        <w:tabs>
          <w:tab w:leader="none" w:pos="8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we have significant risk mitigators, such as limits on incentive awards, use of multiple performance measures in our incentive plans, stock ownership and holding requirements and an executive incentive compensation recoupment (clawback) policy.</w:t>
      </w:r>
    </w:p>
    <w:p>
      <w:pPr>
        <w:spacing w:after="0" w:line="145" w:lineRule="exact"/>
        <w:rPr>
          <w:sz w:val="20"/>
          <w:szCs w:val="20"/>
          <w:color w:val="auto"/>
        </w:rPr>
      </w:pPr>
    </w:p>
    <w:p>
      <w:pPr>
        <w:ind w:right="280"/>
        <w:spacing w:after="0" w:line="271" w:lineRule="auto"/>
        <w:rPr>
          <w:sz w:val="20"/>
          <w:szCs w:val="20"/>
          <w:color w:val="auto"/>
        </w:rPr>
      </w:pPr>
      <w:r>
        <w:rPr>
          <w:rFonts w:ascii="Arial" w:cs="Arial" w:eastAsia="Arial" w:hAnsi="Arial"/>
          <w:sz w:val="16"/>
          <w:szCs w:val="16"/>
          <w:color w:val="auto"/>
        </w:rPr>
        <w:t>Please read “Compensation Discussion and Analysis” beginning on page 31 and “Executive Compensation Tables” beginning on page 55 for additional details about our executive compensation programs, including information about the fiscal year 2011 compensation of our Named Executive Officers.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360"/>
          </w:cols>
          <w:pgMar w:left="240" w:top="443" w:right="29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are asking our shareholders to support our Named Executive Officer compensation as described in this Proxy Statement. This proposal gives you, as a shareholder, the opportunity to express your views on our Named Executive Officers’ compensation. Your vote is not intended to address any specific item of our compensation program, but rather to address our overall approach to the compensation of our Named Executive Officers described in this Proxy Statement. Our Human Resources and Compensation Committee and our Board believe our overall program effectively implements our compensation philosophy and achieves our goals. Accordingly, we ask you to vote “FOR” the following resolution at our Annual Meeting:</w:t>
      </w:r>
    </w:p>
    <w:p>
      <w:pPr>
        <w:spacing w:after="0" w:line="148" w:lineRule="exact"/>
        <w:rPr>
          <w:sz w:val="20"/>
          <w:szCs w:val="20"/>
          <w:color w:val="auto"/>
        </w:rPr>
      </w:pPr>
    </w:p>
    <w:p>
      <w:pPr>
        <w:jc w:val="both"/>
        <w:ind w:left="460" w:right="220"/>
        <w:spacing w:after="0" w:line="239" w:lineRule="auto"/>
        <w:rPr>
          <w:sz w:val="20"/>
          <w:szCs w:val="20"/>
          <w:color w:val="auto"/>
        </w:rPr>
      </w:pPr>
      <w:r>
        <w:rPr>
          <w:rFonts w:ascii="Arial" w:cs="Arial" w:eastAsia="Arial" w:hAnsi="Arial"/>
          <w:sz w:val="17"/>
          <w:szCs w:val="17"/>
          <w:color w:val="auto"/>
        </w:rPr>
        <w:t>“RESOLVED, that Kraft Foods’ shareholders approve, on an advisory basis, the compensation paid to Kraft Foods’ Named Executive Officers, as disclosed in this Proxy Statement pursuant to the SEC’s compensation disclosure rules, including the Compensation Discussion and Analysis, the Executive Compensation Tables and related narrative discussion.”</w:t>
      </w:r>
    </w:p>
    <w:p>
      <w:pPr>
        <w:spacing w:after="0" w:line="127"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i w:val="1"/>
          <w:iCs w:val="1"/>
          <w:color w:val="auto"/>
        </w:rPr>
        <w:t xml:space="preserve">Required Vote: </w:t>
      </w:r>
      <w:r>
        <w:rPr>
          <w:rFonts w:ascii="Arial" w:cs="Arial" w:eastAsia="Arial" w:hAnsi="Arial"/>
          <w:sz w:val="17"/>
          <w:szCs w:val="17"/>
          <w:color w:val="auto"/>
        </w:rPr>
        <w:t>Our Named Executive Officer compensation as disclosed in this Proxy Statement will be approved if it receives more votes FOR than votes</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Abstentions and broker “non-votes” are not considered as votes cast with respect to this proposal and therefore will have no effect on the outcome.</w:t>
      </w:r>
    </w:p>
    <w:p>
      <w:pPr>
        <w:spacing w:after="0" w:line="13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This vote on the Named Executive Officer compensation is advisory, and therefore will not be binding on Kraft Foods, our Human Resources and Compensation Committee or our Board. However, our Board and Human Resources and Compensation Committee value our shareholders’ opinions. If a significant percentage of our shareholders votes against the Named Executive Officer compensation as disclosed in this Proxy Statement, we will consider our shareholders’ concerns, and the Human Resources and Compensation Committee will evaluate whether any actions are necessary or appropriate to address those concerns. Unless our Board modifies its policy of holding an advisory vote to approve executive compensation on an annual basis, the next advisory vote will be held at our 2013 Annual Meeting of Shareholders.</w:t>
      </w:r>
    </w:p>
    <w:p>
      <w:pPr>
        <w:spacing w:after="0" w:line="127" w:lineRule="exact"/>
        <w:rPr>
          <w:sz w:val="20"/>
          <w:szCs w:val="20"/>
          <w:color w:val="auto"/>
        </w:rPr>
      </w:pPr>
    </w:p>
    <w:p>
      <w:pPr>
        <w:jc w:val="center"/>
        <w:ind w:right="280"/>
        <w:spacing w:after="0" w:line="439" w:lineRule="auto"/>
        <w:rPr>
          <w:sz w:val="20"/>
          <w:szCs w:val="20"/>
          <w:color w:val="auto"/>
        </w:rPr>
      </w:pPr>
      <w:r>
        <w:rPr>
          <w:rFonts w:ascii="Arial" w:cs="Arial" w:eastAsia="Arial" w:hAnsi="Arial"/>
          <w:sz w:val="17"/>
          <w:szCs w:val="17"/>
          <w:b w:val="1"/>
          <w:bCs w:val="1"/>
          <w:color w:val="auto"/>
        </w:rPr>
        <w:t xml:space="preserve">The Board recommends that you vote FOR the approval of our Named Executive Officer compensation as disclosed in this Proxy Statement. </w:t>
      </w:r>
      <w:r>
        <w:rPr>
          <w:rFonts w:ascii="Arial" w:cs="Arial" w:eastAsia="Arial" w:hAnsi="Arial"/>
          <w:sz w:val="17"/>
          <w:szCs w:val="17"/>
          <w:color w:val="auto"/>
        </w:rPr>
        <w:t>73</w:t>
      </w:r>
    </w:p>
    <w:p>
      <w:pPr>
        <w:sectPr>
          <w:pgSz w:w="11900" w:h="16838" w:orient="portrait"/>
          <w:cols w:equalWidth="0" w:num="1">
            <w:col w:w="11380"/>
          </w:cols>
          <w:pgMar w:left="240" w:top="443" w:right="27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ind w:left="320" w:right="620"/>
        <w:spacing w:after="0" w:line="279" w:lineRule="auto"/>
        <w:rPr>
          <w:sz w:val="20"/>
          <w:szCs w:val="20"/>
          <w:color w:val="auto"/>
        </w:rPr>
      </w:pPr>
      <w:r>
        <w:rPr>
          <w:rFonts w:ascii="Arial" w:cs="Arial" w:eastAsia="Arial" w:hAnsi="Arial"/>
          <w:sz w:val="23"/>
          <w:szCs w:val="23"/>
          <w:b w:val="1"/>
          <w:bCs w:val="1"/>
          <w:color w:val="auto"/>
        </w:rPr>
        <w:t>ITEM 3. APPROVAL OF AN AMENDMENT TO THE AMENDED AND RESTATED ARTICLES OF INCORPORATION TO CHANGE COMPANY NAME</w:t>
      </w:r>
    </w:p>
    <w:p>
      <w:pPr>
        <w:spacing w:after="0" w:line="111"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On March 14, 2012, the Board adopted a resolution approving an amendment to the Amended and Restated Articles of Incorporation to change the name of our company and recommended that the amendment be submitted to shareholders for approval. The Board believes it is in the best interest of our company to change its name from Kraft Foods Inc. to Mondelēz International, Inc. and recommends the approval of the name change amendment to our shareholders.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Reasons for Name Change</w:t>
      </w:r>
    </w:p>
    <w:p>
      <w:pPr>
        <w:spacing w:after="0" w:line="93" w:lineRule="exact"/>
        <w:rPr>
          <w:sz w:val="20"/>
          <w:szCs w:val="20"/>
          <w:color w:val="auto"/>
        </w:rPr>
      </w:pPr>
    </w:p>
    <w:p>
      <w:pPr>
        <w:jc w:val="both"/>
        <w:ind w:right="80"/>
        <w:spacing w:after="0" w:line="239" w:lineRule="auto"/>
        <w:rPr>
          <w:sz w:val="20"/>
          <w:szCs w:val="20"/>
          <w:color w:val="auto"/>
        </w:rPr>
      </w:pPr>
      <w:r>
        <w:rPr>
          <w:rFonts w:ascii="Arial" w:cs="Arial" w:eastAsia="Arial" w:hAnsi="Arial"/>
          <w:sz w:val="17"/>
          <w:szCs w:val="17"/>
          <w:color w:val="auto"/>
        </w:rPr>
        <w:t>On August 4, 2011, we publicly announced the Spin-off. The Board believes it is best for the grocery business to retain the Kraft name by becoming “Kraft Foods Group, Inc.” Kraft is an iconic name in the food business, especially in North America, where many of our company’s products that will remain with Kraft Foods Group, Inc. have “Kraft” as a brand name or endorser.</w:t>
      </w:r>
    </w:p>
    <w:p>
      <w:pPr>
        <w:spacing w:after="0" w:line="14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Having allocated the Kraft Foods name to the new North American grocery company, the Board sought a name that would appropriately reflect the nature and strength of the future global snacks business. It believes the name Mondelēz International, Inc. does just that. “Mondelēz” is a newly-created word that evokes the idea of a delicious world. “International” expresses the global nature of the snacks business, and reinforces its key attributes:</w:t>
      </w:r>
    </w:p>
    <w:p>
      <w:pPr>
        <w:spacing w:after="0" w:line="167" w:lineRule="exact"/>
        <w:rPr>
          <w:sz w:val="20"/>
          <w:szCs w:val="20"/>
          <w:color w:val="auto"/>
        </w:rPr>
      </w:pPr>
    </w:p>
    <w:p>
      <w:pPr>
        <w:ind w:left="880" w:hanging="315"/>
        <w:spacing w:after="0"/>
        <w:tabs>
          <w:tab w:leader="none" w:pos="8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It has an appealing, universal feeling</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“Monde” derives from the Latin word for “world”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“Delēz” is a fanciful expression of “delicious”</w:t>
      </w:r>
    </w:p>
    <w:p>
      <w:pPr>
        <w:spacing w:after="0" w:line="150"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Thus, the name has multiple, interrelated meanings that converge on “delicious world”–a phrase the Board believes will serve as an umbrella for our iconic brands and build on our higher purpose–to “make today delicious.”</w:t>
      </w:r>
    </w:p>
    <w:p>
      <w:pPr>
        <w:spacing w:after="0" w:line="145" w:lineRule="exact"/>
        <w:rPr>
          <w:sz w:val="20"/>
          <w:szCs w:val="20"/>
          <w:color w:val="auto"/>
        </w:rPr>
      </w:pPr>
    </w:p>
    <w:p>
      <w:pPr>
        <w:ind w:right="620"/>
        <w:spacing w:after="0" w:line="241" w:lineRule="auto"/>
        <w:rPr>
          <w:sz w:val="20"/>
          <w:szCs w:val="20"/>
          <w:color w:val="auto"/>
        </w:rPr>
      </w:pPr>
      <w:r>
        <w:rPr>
          <w:rFonts w:ascii="Arial" w:cs="Arial" w:eastAsia="Arial" w:hAnsi="Arial"/>
          <w:sz w:val="17"/>
          <w:szCs w:val="17"/>
          <w:color w:val="auto"/>
        </w:rPr>
        <w:t>Mondelēz International, Inc. will be a corporate name. The Board does not envision using “Mondelēz” as a brand name. Changing the name of the company will not result in any change in the name of any branded consumer products that we market.</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Action on the Name Change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Shareholders are being asked to adopt the following resolutions:</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“Resolved, that the shareholders approve the amendment of ARTICLE I of the Corporation’s Amended and Restated Articles of</w:t>
      </w:r>
    </w:p>
    <w:p>
      <w:pPr>
        <w:ind w:left="460"/>
        <w:spacing w:after="0"/>
        <w:rPr>
          <w:sz w:val="20"/>
          <w:szCs w:val="20"/>
          <w:color w:val="auto"/>
        </w:rPr>
      </w:pPr>
      <w:r>
        <w:rPr>
          <w:rFonts w:ascii="Arial" w:cs="Arial" w:eastAsia="Arial" w:hAnsi="Arial"/>
          <w:sz w:val="17"/>
          <w:szCs w:val="17"/>
          <w:color w:val="auto"/>
        </w:rPr>
        <w:t>Incorporation to read in its entirety as follows:</w:t>
      </w:r>
    </w:p>
    <w:p>
      <w:pPr>
        <w:spacing w:after="0" w:line="227"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‘ARTICLE I</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name of the corporation is Mondelēz International, Inc.’; and further</w:t>
      </w:r>
    </w:p>
    <w:p>
      <w:pPr>
        <w:spacing w:after="0" w:line="150" w:lineRule="exact"/>
        <w:rPr>
          <w:sz w:val="20"/>
          <w:szCs w:val="20"/>
          <w:color w:val="auto"/>
        </w:rPr>
      </w:pPr>
    </w:p>
    <w:p>
      <w:pPr>
        <w:ind w:left="460" w:right="1080"/>
        <w:spacing w:after="0" w:line="241" w:lineRule="auto"/>
        <w:rPr>
          <w:sz w:val="20"/>
          <w:szCs w:val="20"/>
          <w:color w:val="auto"/>
        </w:rPr>
      </w:pPr>
      <w:r>
        <w:rPr>
          <w:rFonts w:ascii="Arial" w:cs="Arial" w:eastAsia="Arial" w:hAnsi="Arial"/>
          <w:sz w:val="17"/>
          <w:szCs w:val="17"/>
          <w:color w:val="auto"/>
        </w:rPr>
        <w:t>Resolved, that, notwithstanding the approval of the foregoing amendment, the Board of Directors of the Corporation may abandon the amendment without further action by shareholders at any time prior to the time at which the amendment becomes effective.”</w:t>
      </w:r>
    </w:p>
    <w:p>
      <w:pPr>
        <w:spacing w:after="0" w:line="145" w:lineRule="exact"/>
        <w:rPr>
          <w:sz w:val="20"/>
          <w:szCs w:val="20"/>
          <w:color w:val="auto"/>
        </w:rPr>
      </w:pPr>
    </w:p>
    <w:p>
      <w:pPr>
        <w:ind w:right="780"/>
        <w:spacing w:after="0" w:line="241" w:lineRule="auto"/>
        <w:rPr>
          <w:sz w:val="20"/>
          <w:szCs w:val="20"/>
          <w:color w:val="auto"/>
        </w:rPr>
      </w:pPr>
      <w:r>
        <w:rPr>
          <w:rFonts w:ascii="Arial" w:cs="Arial" w:eastAsia="Arial" w:hAnsi="Arial"/>
          <w:sz w:val="17"/>
          <w:szCs w:val="17"/>
          <w:color w:val="auto"/>
        </w:rPr>
        <w:t>Subject to and following shareholder approval of the amendment, we plan to cause the amendment to become effective by submitting Articles of Amendment to the Virginia State Corporation</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360"/>
          </w:cols>
          <w:pgMar w:left="240" w:top="443" w:right="29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Commission. We may delay that submission until the Board of Directors gives final approval to the Spin-off. The amendment will become effective when the Virginia State Corporation Commission accepts the Articles of Amendment and issues its Certificate of Amendment. The Board retains the right, without further shareholder action, to decide not to pursue the amendment at any time prior to it becoming effective, including, for example, if the Spin-off does not occur.</w:t>
      </w:r>
    </w:p>
    <w:p>
      <w:pPr>
        <w:spacing w:after="0" w:line="146" w:lineRule="exact"/>
        <w:rPr>
          <w:sz w:val="20"/>
          <w:szCs w:val="20"/>
          <w:color w:val="auto"/>
        </w:rPr>
      </w:pPr>
    </w:p>
    <w:p>
      <w:pPr>
        <w:jc w:val="both"/>
        <w:ind w:right="260"/>
        <w:spacing w:after="0" w:line="238" w:lineRule="auto"/>
        <w:rPr>
          <w:sz w:val="20"/>
          <w:szCs w:val="20"/>
          <w:color w:val="auto"/>
        </w:rPr>
      </w:pPr>
      <w:r>
        <w:rPr>
          <w:rFonts w:ascii="Arial" w:cs="Arial" w:eastAsia="Arial" w:hAnsi="Arial"/>
          <w:sz w:val="17"/>
          <w:szCs w:val="17"/>
          <w:color w:val="auto"/>
        </w:rPr>
        <w:t>We have reserved the stock symbol “MDLZ.” If the name change amendment is approved, we intend to request that the company’s common stock trade under this new stock symbol, rather than under the current “KFT” symbol. The name change to Mondelēz International, Inc. will not affect the validity or transferability of any currently outstanding stock certificates and shareholders will not be requested to surrender for exchange any certificates presently held by them.</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Vote for Approval</w:t>
      </w:r>
    </w:p>
    <w:p>
      <w:pPr>
        <w:spacing w:after="0" w:line="9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 xml:space="preserve">Approval of the amendment to the Amended and Restated Articles of Incorporation to change the name of our company requires the favorable vote of a majority of shares outstanding and entitled to vote. If you do not vote your shares, or you vote but abstain from voting on this item, it will have the effect of a vote </w:t>
      </w:r>
      <w:r>
        <w:rPr>
          <w:rFonts w:ascii="Arial" w:cs="Arial" w:eastAsia="Arial" w:hAnsi="Arial"/>
          <w:sz w:val="17"/>
          <w:szCs w:val="17"/>
          <w:i w:val="1"/>
          <w:iCs w:val="1"/>
          <w:color w:val="auto"/>
        </w:rPr>
        <w:t>against</w:t>
      </w:r>
      <w:r>
        <w:rPr>
          <w:rFonts w:ascii="Arial" w:cs="Arial" w:eastAsia="Arial" w:hAnsi="Arial"/>
          <w:sz w:val="17"/>
          <w:szCs w:val="17"/>
          <w:color w:val="auto"/>
        </w:rPr>
        <w:t xml:space="preserve"> this proposal. Broker “non-votes” also have the effect of votes </w:t>
      </w:r>
      <w:r>
        <w:rPr>
          <w:rFonts w:ascii="Arial" w:cs="Arial" w:eastAsia="Arial" w:hAnsi="Arial"/>
          <w:sz w:val="17"/>
          <w:szCs w:val="17"/>
          <w:i w:val="1"/>
          <w:iCs w:val="1"/>
          <w:color w:val="auto"/>
        </w:rPr>
        <w:t>against</w:t>
      </w:r>
      <w:r>
        <w:rPr>
          <w:rFonts w:ascii="Arial" w:cs="Arial" w:eastAsia="Arial" w:hAnsi="Arial"/>
          <w:sz w:val="17"/>
          <w:szCs w:val="17"/>
          <w:color w:val="auto"/>
        </w:rPr>
        <w:t xml:space="preserve"> this proposal.</w:t>
      </w:r>
    </w:p>
    <w:p>
      <w:pPr>
        <w:spacing w:after="0" w:line="145"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If the name change amendment is not approved by shareholders, the proposed amendment to the Amended and Restated Articles of Incorporation will not be made and our company’s name and the ticker symbol for trading of its common stock will remained unchanged.</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recommends a vote FOR the approval of the amendment to the Amended and Restated Articles of Incorporation of Kraft Foods Inc.</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 change the company’s name to Mondelēz International, Inc.</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443" w:right="23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ITEM 4. RATIFICATION OF THE</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SELECTION OF INDEPENDENT AUDITORS</w:t>
      </w:r>
    </w:p>
    <w:p>
      <w:pPr>
        <w:spacing w:after="0" w:line="164"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The Audit Committee is responsible for the selection, oversight, retention and termination of our independent auditors. The Audit Committee selected PricewaterhouseCoopers LLP, a registered public accounting firm, as our independent auditors for 2012. PricewaterhouseCoopers LLP have been our independent auditors since 2001. The Audit Committee and the Board are requesting, as a matter of policy, that shareholders ratify the selection of PricewaterhouseCoopers LLP as our independent auditors.</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Audit Committee and the Board are not required to take any action as a result of the outcome of the vote on this proposal. However, if our shareholders do not ratify the selection, the Audit Committee may investigate the reasons for the shareholders’ rejection and may consider whether to retain PricewaterhouseCoopers LLP or appoint another independent auditor. Furthermore, even if the selection is ratified, the Audit Committee may appoint a different independent auditor if, in its discretion, it determines that such a change would be in Kraft Foods’ and our shareholders’ best interests.</w:t>
      </w:r>
    </w:p>
    <w:p>
      <w:pPr>
        <w:spacing w:after="0" w:line="133"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We expect that representatives of PricewaterhouseCoopers LLP will be present at the Annual Meeting. They will have an opportunity to make a statement if they desire to do so and to respond to appropriate questions from shareholders. Additional information about our independent auditors, including our pre-approval policies and PricewaterhouseCoopers LLP’s aggregate fees billed for 2011 and 2010, can be found above under “Board Committees and Membership—Audit Committee.”</w:t>
      </w:r>
    </w:p>
    <w:p>
      <w:pPr>
        <w:spacing w:after="0" w:line="126"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b w:val="1"/>
          <w:bCs w:val="1"/>
          <w:color w:val="auto"/>
        </w:rPr>
        <w:t>The Board recommends a vote FOR the ratification of the selection of PricewaterhouseCoopers LLP as Kraft Foods’ independent auditors for 2012.</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SHAREHOLDER PROPOSALS</w:t>
      </w:r>
    </w:p>
    <w:p>
      <w:pPr>
        <w:spacing w:after="0" w:line="19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 xml:space="preserve">In accordance with SEC rules, we are including the following shareholder proposals (Items 5 through 7), along with the supporting statements of the respective shareholder proponents. Kraft Foods is not responsible for any inaccuracies in these proposals and supporting statements. Each shareholder proposal is required to be submitted to a vote at the Annual Meeting only if properly presented. </w:t>
      </w:r>
      <w:r>
        <w:rPr>
          <w:rFonts w:ascii="Arial" w:cs="Arial" w:eastAsia="Arial" w:hAnsi="Arial"/>
          <w:sz w:val="17"/>
          <w:szCs w:val="17"/>
          <w:b w:val="1"/>
          <w:bCs w:val="1"/>
          <w:color w:val="auto"/>
        </w:rPr>
        <w:t>The Board recommendeds that you vote AGAINST each</w:t>
      </w:r>
      <w:r>
        <w:rPr>
          <w:rFonts w:ascii="Arial" w:cs="Arial" w:eastAsia="Arial" w:hAnsi="Arial"/>
          <w:sz w:val="17"/>
          <w:szCs w:val="17"/>
          <w:color w:val="auto"/>
        </w:rPr>
        <w:t xml:space="preserve"> </w:t>
      </w:r>
      <w:r>
        <w:rPr>
          <w:rFonts w:ascii="Arial" w:cs="Arial" w:eastAsia="Arial" w:hAnsi="Arial"/>
          <w:sz w:val="17"/>
          <w:szCs w:val="17"/>
          <w:b w:val="1"/>
          <w:bCs w:val="1"/>
          <w:color w:val="auto"/>
        </w:rPr>
        <w:t>of these proposals for the reasons set forth in the Board of Directors’ Statement in Opposition following each proposal.</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names, addresses and shareholdings of any co-filers of these proposals, where applicable, will be supplied upon request.</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Shareholder Proposal: Sustainable Forestry Report</w:t>
      </w:r>
    </w:p>
    <w:p>
      <w:pPr>
        <w:spacing w:after="0" w:line="18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Domini Social Investments, 532 Broadway, 9</w:t>
      </w:r>
      <w:r>
        <w:rPr>
          <w:rFonts w:ascii="Arial" w:cs="Arial" w:eastAsia="Arial" w:hAnsi="Arial"/>
          <w:sz w:val="10"/>
          <w:szCs w:val="10"/>
          <w:color w:val="auto"/>
        </w:rPr>
        <w:t>th</w:t>
      </w:r>
      <w:r>
        <w:rPr>
          <w:rFonts w:ascii="Arial" w:cs="Arial" w:eastAsia="Arial" w:hAnsi="Arial"/>
          <w:sz w:val="17"/>
          <w:szCs w:val="17"/>
          <w:color w:val="auto"/>
        </w:rPr>
        <w:t xml:space="preserve"> Floor, New York, NY 10012, as manager of the Domini Social Equity Fund, beneficial owner of 344 shares of Kraft Foods’ common stock, is the proponent of the following shareholder proposal and has advised us that a representative will present this proposal at the Annual Meeting.</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Whereas:</w:t>
      </w:r>
    </w:p>
    <w:p>
      <w:pPr>
        <w:spacing w:after="0" w:line="9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Kraft is one of the world’s largest consumer products companies, with a diversified line of brands including Oreo, Nabisco and Oscar Mayer. Palm oil, soya, beef, sugar and paper are used in a variety of Kraft products. Globally, demand for these commodities is fueling deforestation. Several of these commodities have been linked to human rights violations, including child and forced labor.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00"/>
          </w:cols>
          <w:pgMar w:left="240" w:top="443" w:right="25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Forests are rapidly declining at a rate of 55 football fields per minute according to the United Nations. Only about 20% of the world’s original forests remain undisturbed.</w:t>
      </w:r>
    </w:p>
    <w:p>
      <w:pPr>
        <w:spacing w:after="0" w:line="145" w:lineRule="exact"/>
        <w:rPr>
          <w:sz w:val="20"/>
          <w:szCs w:val="20"/>
          <w:color w:val="auto"/>
        </w:rPr>
      </w:pPr>
    </w:p>
    <w:p>
      <w:pPr>
        <w:jc w:val="both"/>
        <w:ind w:right="160"/>
        <w:spacing w:after="0" w:line="239" w:lineRule="auto"/>
        <w:rPr>
          <w:sz w:val="20"/>
          <w:szCs w:val="20"/>
          <w:color w:val="auto"/>
        </w:rPr>
      </w:pPr>
      <w:r>
        <w:rPr>
          <w:rFonts w:ascii="Arial" w:cs="Arial" w:eastAsia="Arial" w:hAnsi="Arial"/>
          <w:sz w:val="17"/>
          <w:szCs w:val="17"/>
          <w:color w:val="auto"/>
        </w:rPr>
        <w:t>As a member of the Consumer Goods Forum, Kraft recognizes that “Deforestation is one of the principal drivers of climate change, accounting for 17% of greenhouse gases today. The consumer goods industry, through its growing use of soya, palm oil, beef, paper and board, creates many of the economic incentives which drive deforestation.” (Consumer Goods Forum press release, 11/29/10)</w:t>
      </w:r>
    </w:p>
    <w:p>
      <w:pPr>
        <w:spacing w:after="0" w:line="145" w:lineRule="exact"/>
        <w:rPr>
          <w:sz w:val="20"/>
          <w:szCs w:val="20"/>
          <w:color w:val="auto"/>
        </w:rPr>
      </w:pPr>
    </w:p>
    <w:p>
      <w:pPr>
        <w:ind w:right="1020"/>
        <w:spacing w:after="0" w:line="271" w:lineRule="auto"/>
        <w:rPr>
          <w:sz w:val="20"/>
          <w:szCs w:val="20"/>
          <w:color w:val="auto"/>
        </w:rPr>
      </w:pPr>
      <w:r>
        <w:rPr>
          <w:rFonts w:ascii="Arial" w:cs="Arial" w:eastAsia="Arial" w:hAnsi="Arial"/>
          <w:sz w:val="16"/>
          <w:szCs w:val="16"/>
          <w:color w:val="auto"/>
        </w:rPr>
        <w:t>The Intergovernmental Panel on Climate Change, the leading international network of climate scientists, has concluded that global warming is “unequivocal.” The U.S. Environmental Protection Agency has determined that greenhouse gases threaten Americans’ health and welfare.</w:t>
      </w:r>
    </w:p>
    <w:p>
      <w:pPr>
        <w:spacing w:after="0" w:line="122"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Climate change impacts from deforestation and poor forest management can be reduced through increased use of recycled materials, independent third party certification schemes, and monitoring of supply chains.</w:t>
      </w:r>
    </w:p>
    <w:p>
      <w:pPr>
        <w:spacing w:after="0" w:line="145"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Forest Footprint Disclosure (FFD), an initiative backed by more than 60 financial institutions with over $6 trillion in assets under management, calls on global corporations to report on how their activities and supply chains contribute to deforestation and how those impacts are being managed. Although Kraft has received two annual requests from FFD seeking disclosure of the company’s management of deforestation risks in its supply chain, to date it has declined to respond.</w:t>
      </w:r>
    </w:p>
    <w:p>
      <w:pPr>
        <w:spacing w:after="0" w:line="146" w:lineRule="exact"/>
        <w:rPr>
          <w:sz w:val="20"/>
          <w:szCs w:val="20"/>
          <w:color w:val="auto"/>
        </w:rPr>
      </w:pPr>
    </w:p>
    <w:p>
      <w:pPr>
        <w:jc w:val="both"/>
        <w:ind w:right="140"/>
        <w:spacing w:after="0" w:line="239" w:lineRule="auto"/>
        <w:rPr>
          <w:sz w:val="20"/>
          <w:szCs w:val="20"/>
          <w:color w:val="auto"/>
        </w:rPr>
      </w:pPr>
      <w:r>
        <w:rPr>
          <w:rFonts w:ascii="Arial" w:cs="Arial" w:eastAsia="Arial" w:hAnsi="Arial"/>
          <w:sz w:val="17"/>
          <w:szCs w:val="17"/>
          <w:color w:val="auto"/>
        </w:rPr>
        <w:t>Kraft’s current sustainability report provides some indicators of how the company is managing deforestation risks, through purchases of certified Palm Oil and reductions in packaging, for example. Proponent commends Kraft for these efforts. However, Kraft does not address the impact on forests of its soya, beef and sugar purchases. Several important indicators of how Kraft is managing deforestation risks are lacking. These include:</w:t>
      </w:r>
    </w:p>
    <w:p>
      <w:pPr>
        <w:spacing w:after="0" w:line="184" w:lineRule="exact"/>
        <w:rPr>
          <w:sz w:val="20"/>
          <w:szCs w:val="20"/>
          <w:color w:val="auto"/>
        </w:rPr>
      </w:pPr>
    </w:p>
    <w:p>
      <w:pPr>
        <w:ind w:left="880" w:hanging="315"/>
        <w:spacing w:after="0"/>
        <w:tabs>
          <w:tab w:leader="none" w:pos="8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 company-wide policy on deforestation</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percentage of purchases of Palm Oil, beef, soya, sugar and paper that are sustainably sourced, with clear goals for each commodity</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Results of audits to ensure that suppliers are in compliance with Kraft’s forestry goals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Identifying certification systems and programs that the company will use to ensure sustainable sourcing of each of these commodities.</w:t>
      </w:r>
    </w:p>
    <w:p>
      <w:pPr>
        <w:spacing w:after="0" w:line="150" w:lineRule="exact"/>
        <w:rPr>
          <w:sz w:val="20"/>
          <w:szCs w:val="20"/>
          <w:color w:val="auto"/>
        </w:rPr>
      </w:pPr>
    </w:p>
    <w:p>
      <w:pPr>
        <w:ind w:right="340"/>
        <w:spacing w:after="0" w:line="241" w:lineRule="auto"/>
        <w:rPr>
          <w:sz w:val="20"/>
          <w:szCs w:val="20"/>
          <w:color w:val="auto"/>
        </w:rPr>
      </w:pPr>
      <w:r>
        <w:rPr>
          <w:rFonts w:ascii="Arial" w:cs="Arial" w:eastAsia="Arial" w:hAnsi="Arial"/>
          <w:sz w:val="17"/>
          <w:szCs w:val="17"/>
          <w:color w:val="auto"/>
        </w:rPr>
        <w:t>Proponent believes that Kraft faces potential reputational and operational risks by failing to adequately disclose its approach to managing deforestation risks. For example, Cadbury, now a Kraft brand, faced public controversy over use of Palm Oil in its Dairy Milk bars in New Zealand.</w:t>
      </w:r>
    </w:p>
    <w:p>
      <w:pPr>
        <w:spacing w:after="0" w:line="125"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Shareholders request the Board to prepare a report, at reasonable cost and omitting proprietary information, by December 1, 2012, describing</w:t>
      </w:r>
      <w:r>
        <w:rPr>
          <w:rFonts w:ascii="Arial" w:cs="Arial" w:eastAsia="Arial" w:hAnsi="Arial"/>
          <w:sz w:val="17"/>
          <w:szCs w:val="17"/>
          <w:b w:val="1"/>
          <w:bCs w:val="1"/>
          <w:color w:val="auto"/>
        </w:rPr>
        <w:t xml:space="preserve"> </w:t>
      </w:r>
      <w:r>
        <w:rPr>
          <w:rFonts w:ascii="Arial" w:cs="Arial" w:eastAsia="Arial" w:hAnsi="Arial"/>
          <w:sz w:val="17"/>
          <w:szCs w:val="17"/>
          <w:color w:val="auto"/>
        </w:rPr>
        <w:t>how Kraft is assessing the company’s supply chain impact on deforestation and the company’s plans to mitigate these risks.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STATEMENT IN OPPOSITION TO THE PROPOSAL</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recommends that you vote AGAINST this proposal for the following reasons:</w:t>
      </w:r>
    </w:p>
    <w:p>
      <w:pPr>
        <w:spacing w:after="0" w:line="93" w:lineRule="exact"/>
        <w:rPr>
          <w:sz w:val="20"/>
          <w:szCs w:val="20"/>
          <w:color w:val="auto"/>
        </w:rPr>
      </w:pPr>
    </w:p>
    <w:p>
      <w:pPr>
        <w:ind w:right="1080"/>
        <w:spacing w:after="0" w:line="241" w:lineRule="auto"/>
        <w:rPr>
          <w:sz w:val="20"/>
          <w:szCs w:val="20"/>
          <w:color w:val="auto"/>
        </w:rPr>
      </w:pPr>
      <w:r>
        <w:rPr>
          <w:rFonts w:ascii="Arial" w:cs="Arial" w:eastAsia="Arial" w:hAnsi="Arial"/>
          <w:sz w:val="17"/>
          <w:szCs w:val="17"/>
          <w:color w:val="auto"/>
        </w:rPr>
        <w:t>At Kraft Foods, sustainability is a strategic global business priority. Our company conducts business in a way that respects the intersection of environmental, social and economic responsibility. Not only is this the right thing to do; it makes good business sense.</w:t>
      </w:r>
    </w:p>
    <w:p>
      <w:pPr>
        <w:spacing w:after="0" w:line="145"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 xml:space="preserve">We share a great deal of information about our sustainability initiatives with shareholders and other interested parties. For example, we outline our sustainability program – our approach, our focus and our progress – in an annual report called “Creating a More Delicious World,” which can be found on our website at </w:t>
      </w:r>
      <w:r>
        <w:rPr>
          <w:rFonts w:ascii="Arial" w:cs="Arial" w:eastAsia="Arial" w:hAnsi="Arial"/>
          <w:sz w:val="17"/>
          <w:szCs w:val="17"/>
          <w:u w:val="single" w:color="auto"/>
          <w:color w:val="auto"/>
        </w:rPr>
        <w:t>http://www.kraftfoodscompany.com/DeliciousWorld/sustainability/index.aspx</w:t>
      </w:r>
      <w:r>
        <w:rPr>
          <w:rFonts w:ascii="Arial" w:cs="Arial" w:eastAsia="Arial" w:hAnsi="Arial"/>
          <w:sz w:val="17"/>
          <w:szCs w:val="17"/>
          <w:color w:val="auto"/>
        </w:rPr>
        <w:t>. (Please note that the information in our website is not a part of this Proxy Statement.)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443" w:right="2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Kraft Foods’s sustainability initiatives focus on the six areas that matter most to our business and where we believe our company can make the biggest difference. Those are: agricultural commodities; packaging; energy; water; waste and transportation/distribution. In each of these areas, we set goals and measure our progress, ensuring accountability and real results. This has helped drive strong performance. For example, between 2005 and 2010, our:</w:t>
      </w:r>
    </w:p>
    <w:p>
      <w:pPr>
        <w:spacing w:after="0" w:line="167" w:lineRule="exact"/>
        <w:rPr>
          <w:sz w:val="20"/>
          <w:szCs w:val="20"/>
          <w:color w:val="auto"/>
        </w:rPr>
      </w:pPr>
    </w:p>
    <w:p>
      <w:pPr>
        <w:ind w:left="880" w:hanging="315"/>
        <w:spacing w:after="0"/>
        <w:tabs>
          <w:tab w:leader="none" w:pos="8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Energy use is down 16 percent;</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CO2 emissions are down 18 percent;</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Incoming water is down 30 percent;</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Net waste is down 42 percent;</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Packaging is down 100,000 metric tons (200 million lbs);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96 million km (60 million road miles) have been removed from our company’s transportation/distribution network.</w:t>
      </w:r>
    </w:p>
    <w:p>
      <w:pPr>
        <w:spacing w:after="0" w:line="150"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From a 2010 base, by the end of 2015 Kraft Foods plans to, among other things, increase sustainable sourcing of agricultural commodities by 25 percent and reduce our direct water use by another 15 percent.</w:t>
      </w:r>
    </w:p>
    <w:p>
      <w:pPr>
        <w:spacing w:after="0" w:line="145" w:lineRule="exact"/>
        <w:rPr>
          <w:sz w:val="20"/>
          <w:szCs w:val="20"/>
          <w:color w:val="auto"/>
        </w:rPr>
      </w:pPr>
    </w:p>
    <w:p>
      <w:pPr>
        <w:jc w:val="both"/>
        <w:ind w:right="100"/>
        <w:spacing w:after="0" w:line="250" w:lineRule="auto"/>
        <w:rPr>
          <w:sz w:val="20"/>
          <w:szCs w:val="20"/>
          <w:color w:val="auto"/>
        </w:rPr>
      </w:pPr>
      <w:r>
        <w:rPr>
          <w:rFonts w:ascii="Arial" w:cs="Arial" w:eastAsia="Arial" w:hAnsi="Arial"/>
          <w:sz w:val="16"/>
          <w:szCs w:val="16"/>
          <w:color w:val="auto"/>
        </w:rPr>
        <w:t>At Kraft Foods, we believe that promoting sustainable farming improves crop yields, reduces environmental impacts including deforestation, and generally helps to improve the lives of farm workers and their families. We are working, directly and through others, and investing millions of dollars to effect change in agricultural practices, particularly where we are among the world’s largest purchasers and where farming practices could be significantly improved.</w:t>
      </w:r>
    </w:p>
    <w:p>
      <w:pPr>
        <w:spacing w:after="0" w:line="1"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These commodities include: cocoa, coffee and cashews. We are currently expanding our efforts to other commodities such as sugar and wheat. And we continue to work with the World Wildlife Fund (WWF), one of the world’s largest conservation organizations, to better understand the risks associated with our purchases of agricultural commodities.</w:t>
      </w:r>
    </w:p>
    <w:p>
      <w:pPr>
        <w:spacing w:after="0" w:line="145"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More specifically, since a large portion of the crops we buy are threatened by circumstances such as political unrest, poor soil conditions and lack of infrastructure, we believe it is important to address these challenges also by partnering with other companies, governments, non-governmental organizations, multilateral institutions, civil society and farmers themselves to create lasting change. One example of a public-private partnership that Kraft Foods is co-chairing is the Word Economic Forum’s New Vision for Agriculture (NVA) initiative. Begun in 2009, the NVA is simultaneously aiming at increasing food production, decreasing carbon dioxide emissions and reducing poverty, in each case by 20 percent every decade. The NVA’s projects are already delivering impressive results in several countries across Africa and Asia. We are also a partner in two initiatives led by a private foundation that are investing $90 million over five years to advance sustainable production of cocoa and cashews in West Africa.</w:t>
      </w:r>
    </w:p>
    <w:p>
      <w:pPr>
        <w:spacing w:after="0" w:line="145"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In addition to these large partnerships, our company also uses third-party certification schemes to cultivate more responsible agricultural supply chains. We are one of the world’s largest buyers of coffee from Rainforest Alliance Certified</w:t>
      </w:r>
      <w:r>
        <w:rPr>
          <w:rFonts w:ascii="Arial" w:cs="Arial" w:eastAsia="Arial" w:hAnsi="Arial"/>
          <w:sz w:val="10"/>
          <w:szCs w:val="10"/>
          <w:color w:val="auto"/>
        </w:rPr>
        <w:t>TM</w:t>
      </w:r>
      <w:r>
        <w:rPr>
          <w:rFonts w:ascii="Arial" w:cs="Arial" w:eastAsia="Arial" w:hAnsi="Arial"/>
          <w:sz w:val="17"/>
          <w:szCs w:val="17"/>
          <w:color w:val="auto"/>
        </w:rPr>
        <w:t xml:space="preserve"> farms and the largest buyer of cocoa beans from Fairtrade Certified or Rainforest Alliance Certified farms. As further described in the sustainability section of our company website, this support is making a difference in areas of Africa, Central America, South America and Southeast Asia.</w:t>
      </w:r>
    </w:p>
    <w:p>
      <w:pPr>
        <w:spacing w:after="0" w:line="146"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Important as these targeted initiatives are, they are not all we do. We work across our entire supply chain to reduce our footprint and improve our sourcing of the raw materials we need to make our products. We have clear sourcing standards that all of our suppliers must meet. And we work with others to address specific concerns such as cocoa labor issues, palm oil-related deforestation and animal welfare. For example, despite the relatively small quantities of palm oil that we purchase (less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00"/>
          </w:cols>
          <w:pgMar w:left="240" w:top="443" w:right="25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jc w:val="both"/>
        <w:ind w:right="40"/>
        <w:spacing w:after="0" w:line="239" w:lineRule="auto"/>
        <w:rPr>
          <w:sz w:val="20"/>
          <w:szCs w:val="20"/>
          <w:color w:val="auto"/>
        </w:rPr>
      </w:pPr>
      <w:r>
        <w:rPr>
          <w:rFonts w:ascii="Arial" w:cs="Arial" w:eastAsia="Arial" w:hAnsi="Arial"/>
          <w:sz w:val="17"/>
          <w:szCs w:val="17"/>
          <w:color w:val="auto"/>
        </w:rPr>
        <w:t>than 0.6 percent of worldwide production in 2011), we are working to purchase only palm oil certified by responsible third parties. Currently more than 50% of our palm oil purchases are covered by GreenPalm certificates or certified palm oil. We expect to be able to cover 100 percent of our purchases once the supply of certified palm oil accounts for about one-third of the world’s total supply, a goal we project to occur by 2015.</w:t>
      </w:r>
    </w:p>
    <w:p>
      <w:pPr>
        <w:spacing w:after="0" w:line="145" w:lineRule="exact"/>
        <w:rPr>
          <w:sz w:val="20"/>
          <w:szCs w:val="20"/>
          <w:color w:val="auto"/>
        </w:rPr>
      </w:pPr>
    </w:p>
    <w:p>
      <w:pPr>
        <w:ind w:right="540"/>
        <w:spacing w:after="0" w:line="241" w:lineRule="auto"/>
        <w:rPr>
          <w:sz w:val="20"/>
          <w:szCs w:val="20"/>
          <w:color w:val="auto"/>
        </w:rPr>
      </w:pPr>
      <w:r>
        <w:rPr>
          <w:rFonts w:ascii="Arial" w:cs="Arial" w:eastAsia="Arial" w:hAnsi="Arial"/>
          <w:sz w:val="17"/>
          <w:szCs w:val="17"/>
          <w:color w:val="auto"/>
        </w:rPr>
        <w:t>Kraft Foods is also a signatory of the Consumer Goods Forum (CGF) declaration on deforestation under which CGF member companies pledged to mobilize their collective resources to help achieve zero net deforestation by 2020.</w:t>
      </w:r>
    </w:p>
    <w:p>
      <w:pPr>
        <w:spacing w:after="0" w:line="145" w:lineRule="exact"/>
        <w:rPr>
          <w:sz w:val="20"/>
          <w:szCs w:val="20"/>
          <w:color w:val="auto"/>
        </w:rPr>
      </w:pPr>
    </w:p>
    <w:p>
      <w:pPr>
        <w:ind w:right="580"/>
        <w:spacing w:after="0" w:line="241" w:lineRule="auto"/>
        <w:rPr>
          <w:sz w:val="20"/>
          <w:szCs w:val="20"/>
          <w:color w:val="auto"/>
        </w:rPr>
      </w:pPr>
      <w:r>
        <w:rPr>
          <w:rFonts w:ascii="Arial" w:cs="Arial" w:eastAsia="Arial" w:hAnsi="Arial"/>
          <w:sz w:val="17"/>
          <w:szCs w:val="17"/>
          <w:color w:val="auto"/>
        </w:rPr>
        <w:t>In light of our existing efforts, accomplishments and reporting on sustainable agriculture, the preparation of an additional report as requested by this shareholder proposal is unnecessary and not in our shareholders’ best interest.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foregoing reasons, the Board recommends that you vote AGAINST this proposal.</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Shareholder Proposal: Report on Extended Producer Responsibility</w:t>
      </w:r>
    </w:p>
    <w:p>
      <w:pPr>
        <w:spacing w:after="0" w:line="189"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As You Sow, 311 California Street, Suite 510, San Francisco, CA 94104, as representative for Cedar Tree Foundation, beneficial owner of 9,800 shares of Kraft Foods’ common stock, is the proponent of the following shareholder proposal, “Producer Responsibility for Packaging,” and has advised us a representative will present this proposal at the Annual Meeting.</w:t>
      </w:r>
    </w:p>
    <w:p>
      <w:pPr>
        <w:spacing w:after="0" w:line="145" w:lineRule="exact"/>
        <w:rPr>
          <w:sz w:val="20"/>
          <w:szCs w:val="20"/>
          <w:color w:val="auto"/>
        </w:rPr>
      </w:pPr>
    </w:p>
    <w:p>
      <w:pPr>
        <w:ind w:right="620"/>
        <w:spacing w:after="0" w:line="241" w:lineRule="auto"/>
        <w:rPr>
          <w:sz w:val="20"/>
          <w:szCs w:val="20"/>
          <w:color w:val="auto"/>
        </w:rPr>
      </w:pPr>
      <w:r>
        <w:rPr>
          <w:rFonts w:ascii="Arial" w:cs="Arial" w:eastAsia="Arial" w:hAnsi="Arial"/>
          <w:sz w:val="17"/>
          <w:szCs w:val="17"/>
          <w:color w:val="auto"/>
        </w:rPr>
        <w:t>WHEREAS product packaging is a significant consumer of natural resources and energy, and a major source of waste and greenhouse gas (GHG) emissions. More than half of U.S. product packaging – 37 million tons – is discarded in landfills or burned rather than recycled.</w:t>
      </w:r>
    </w:p>
    <w:p>
      <w:pPr>
        <w:spacing w:after="0" w:line="145" w:lineRule="exact"/>
        <w:rPr>
          <w:sz w:val="20"/>
          <w:szCs w:val="20"/>
          <w:color w:val="auto"/>
        </w:rPr>
      </w:pPr>
    </w:p>
    <w:p>
      <w:pPr>
        <w:ind w:right="280"/>
        <w:spacing w:after="0" w:line="237" w:lineRule="auto"/>
        <w:rPr>
          <w:sz w:val="20"/>
          <w:szCs w:val="20"/>
          <w:color w:val="auto"/>
        </w:rPr>
      </w:pPr>
      <w:r>
        <w:rPr>
          <w:rFonts w:ascii="Arial" w:cs="Arial" w:eastAsia="Arial" w:hAnsi="Arial"/>
          <w:sz w:val="17"/>
          <w:szCs w:val="17"/>
          <w:color w:val="auto"/>
        </w:rPr>
        <w:t>Packaging comprises nearly one-third of all U.S. landfill waste. Nestle Waters North America says plastic bottles are the largest contributor to its carbon foot print; Coca-Cola Co. reports packaging is the largest part of the carbon footprint of several products. A recent analysis of U.S. Environmental Protection Agency data estimates that the energy needed to produce and dispose of products and packaging accounts for 44% of total U.S. GHG emissions. Decaying paper packaging in landfills forms methane, whose greenhouse warming potential is 72 times more potent than CO2. Metal and plastic packaging has large embodied energy and emissions profiles because of the high costs of producing those packages from mining/smelting and petroleum respectively.</w:t>
      </w:r>
    </w:p>
    <w:p>
      <w:pPr>
        <w:spacing w:after="0" w:line="147"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Extended Producer Responsibility (EPR) is a corporate and public policy that shifts accountability for collection and recycling from taxpayers and governments to producers. For instance, Coca-Cola, PepsiCo and Nestle Waters North America have each made public commitments to recycle a majority of beverage containers sold over the next six to eight years.</w:t>
      </w:r>
    </w:p>
    <w:p>
      <w:pPr>
        <w:spacing w:after="0" w:line="145"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color w:val="auto"/>
        </w:rPr>
        <w:t>In many other countries, consumer packaged goods companies are responsible for post-consumer packaging. Companies operating in Europe, Canada and Japan are required to pay some or all costs for packaging collection and recycling. More than half of Organization for Economic Cooperation and Development member countries have EPR packaging systems in place. In Ontario, Canada, producers pay half of packaging collection and recycling costs. EPR programs in Austria, Belgium and Germany recover far higher rates of packaging than the U.S. EPR laws in 24 U.S. states already mandate producer responsibility for collection and recycling of consumer electronics.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Producers control design and marketing decisions, and so are best positioned to reduce the overall environmental impact of product packaging and internalize costs. Increased recycling of packaging can yield strong environmental benefits, leading to more efficient use of materials, reduced extraction of natural resources, and fewer GHG and toxic emissions. EPR mandates can create new economic markets for packaging. Increased economic incentives to recycle more types of packaging will keep it from flowing into waterways and oceans where it imperils marine life.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00"/>
          </w:cols>
          <w:pgMar w:left="240" w:top="443" w:right="25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BE IT RESOLVED THAT Shareowners of Kraft Foods request that the board of directors issue a report at reasonable cost, omitting confidential information, by Sept. 1, 2012 assessing the feasibility of adopting a policy of Extended Producer Responsibility for post-consumer product packaging as a means of reducing carbon emissions and air and water pollution resulting from the company’s business practices, and increasing rates of packaging recycling; and describing efforts by the company to implement this strategy.</w:t>
      </w:r>
    </w:p>
    <w:p>
      <w:pPr>
        <w:spacing w:after="0" w:line="146"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Supporting Statement: Proponents believe policy options reviewed in the report should include taking responsibility for post-consumer package recycling, and participating in development of producer financed and managed EPR systems.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STATEMENT IN OPPOSITION TO THE PROPOSAL</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recommends that you vote AGAINST this proposal for the following reasons:</w:t>
      </w:r>
    </w:p>
    <w:p>
      <w:pPr>
        <w:spacing w:after="0" w:line="93"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At Kraft Foods, we regard sustainability as a strategic global business priority. We believe that sustainability is about conducting business in a way that is environmentally, socially and economically responsible.</w:t>
      </w:r>
    </w:p>
    <w:p>
      <w:pPr>
        <w:spacing w:after="0" w:line="145"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 xml:space="preserve">We outline our sustainability program in an annual report called “Creating a More Delicious World,” which can be found on our corporate website at </w:t>
      </w:r>
      <w:r>
        <w:rPr>
          <w:rFonts w:ascii="Arial" w:cs="Arial" w:eastAsia="Arial" w:hAnsi="Arial"/>
          <w:sz w:val="17"/>
          <w:szCs w:val="17"/>
          <w:u w:val="single" w:color="auto"/>
          <w:color w:val="auto"/>
        </w:rPr>
        <w:t>http://www.kraftfoodscompany.com/DeliciousWorld/sustainability/index.aspx</w:t>
      </w:r>
      <w:r>
        <w:rPr>
          <w:rFonts w:ascii="Arial" w:cs="Arial" w:eastAsia="Arial" w:hAnsi="Arial"/>
          <w:sz w:val="17"/>
          <w:szCs w:val="17"/>
          <w:color w:val="auto"/>
        </w:rPr>
        <w:t>. (Please note that the information in our website is not part of this Proxy Statement.) As explained in our Delicious World report, product packaging – including the design, production and post-consumer treatment of packaging – is one of the six focus areas of Kraft Foods’ sustainability framework. We take a comprehensive approach to packaging – one that cuts waste, conserves natural resources and is satisfying to the end user. We set and meet goals. We are proud of our accomplishments to date and are committed to our goals for the future:</w:t>
      </w:r>
    </w:p>
    <w:p>
      <w:pPr>
        <w:spacing w:after="0" w:line="185" w:lineRule="exact"/>
        <w:rPr>
          <w:sz w:val="20"/>
          <w:szCs w:val="20"/>
          <w:color w:val="auto"/>
        </w:rPr>
      </w:pPr>
    </w:p>
    <w:p>
      <w:pPr>
        <w:ind w:left="880" w:right="680" w:hanging="315"/>
        <w:spacing w:after="0" w:line="241" w:lineRule="auto"/>
        <w:tabs>
          <w:tab w:leader="none" w:pos="8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Between 2005 and 2010, we cut over 100,000 metric tons (200 million pounds) of packaging from our supply chain. We are working to eliminate another 50,000 metric tons (100 million pounds) by 2015.</w:t>
      </w:r>
    </w:p>
    <w:p>
      <w:pPr>
        <w:spacing w:after="0" w:line="67" w:lineRule="exact"/>
        <w:rPr>
          <w:rFonts w:ascii="Arial" w:cs="Arial" w:eastAsia="Arial" w:hAnsi="Arial"/>
          <w:sz w:val="17"/>
          <w:szCs w:val="17"/>
          <w:color w:val="auto"/>
        </w:rPr>
      </w:pPr>
    </w:p>
    <w:p>
      <w:pPr>
        <w:ind w:left="880" w:right="20" w:hanging="315"/>
        <w:spacing w:after="0" w:line="241" w:lineRule="auto"/>
        <w:tabs>
          <w:tab w:leader="none" w:pos="8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We are working to incorporate more sustainable materials into our packaging. In North America, for example, the majority of people can recycle more than 70 percent (by weight) of our packaging.</w:t>
      </w:r>
    </w:p>
    <w:p>
      <w:pPr>
        <w:spacing w:after="0" w:line="67" w:lineRule="exact"/>
        <w:rPr>
          <w:rFonts w:ascii="Arial" w:cs="Arial" w:eastAsia="Arial" w:hAnsi="Arial"/>
          <w:sz w:val="17"/>
          <w:szCs w:val="17"/>
          <w:color w:val="auto"/>
        </w:rPr>
      </w:pPr>
    </w:p>
    <w:p>
      <w:pPr>
        <w:ind w:left="880" w:right="80" w:hanging="315"/>
        <w:spacing w:after="0" w:line="241" w:lineRule="auto"/>
        <w:tabs>
          <w:tab w:leader="none" w:pos="8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increase recycling rates, we are using more recycled content in much of our packaging and partnering with others on education campaigns; and we are adding statements to engage consumers such as “Please Recycle This Carton” to our packaging.</w:t>
      </w:r>
    </w:p>
    <w:p>
      <w:pPr>
        <w:spacing w:after="0" w:line="145"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Kraft Foods’ sustainability program is based on research and thoughtful design, focusing on areas that matter most to our business and where we believe our company can make the biggest difference. Our strategy reflects our belief in the efficacy of partnering with other stakeholders including private, governmental and non-governmental organizations. We believe creating consumption patterns that are sustainable requires that everyone does their part: from individual consumers to private organizations to public policymakers; and a lasting solution will require a comprehensive approach that includes public education, public-private partnerships, changes in public policy and the enhancement of infrastructure.</w:t>
      </w:r>
    </w:p>
    <w:p>
      <w:pPr>
        <w:spacing w:after="0" w:line="148"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are involved in several initiatives around the world aimed at improving recycling rates, both at the company level as well as part of industry efforts. In the U.S., we have been involved for several years with the Sustainable Packaging Coalition and the Grocery Manufacturers Association, with industry-wide collaborative efforts to address waste management across the lifecycle. In an ongoing effort to drive global change in packaging, Kraft Foods also co-leads the Consumer Goods Forum’s Global Packaging Project under which many of the world’s largest consumer goods companies and major retailers have approved a suggested set of common definitions and principles for packaging in the framework of sustainability. We are investing in new recycling technologies such as the Enval Consortium along with peer companies to enable higher recycling opportunities.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443" w:right="23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Because we can demonstrate that our policies, practices and reporting are already moving us in the right direction, we do not believe that a report on the adoption of an “extended producer responsibility” policy would be an effective use of our company’s resources or in the best interest of our company or our shareholders.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foregoing reasons, the Board recommends that you vote AGAINST this proposal.</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Shareholder Proposal: Report on Lobbying</w:t>
      </w:r>
    </w:p>
    <w:p>
      <w:pPr>
        <w:spacing w:after="0" w:line="189"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AFSCME Employees Pension Plan, 1625 L Street, N.W., Washington D.C., 20036, beneficial owner of 12,460 shares of Kraft Foods’ common stock, is the proponent of the following shareholder proposal and has advised us a representative will present this proposal at the Annual Meeting.</w:t>
      </w:r>
    </w:p>
    <w:p>
      <w:pPr>
        <w:spacing w:after="0" w:line="125" w:lineRule="exact"/>
        <w:rPr>
          <w:sz w:val="20"/>
          <w:szCs w:val="20"/>
          <w:color w:val="auto"/>
        </w:rPr>
      </w:pPr>
    </w:p>
    <w:p>
      <w:pPr>
        <w:ind w:right="380" w:firstLine="457"/>
        <w:spacing w:after="0" w:line="26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corporate lobbying exposes our company to risks that could affect the company’s stated goals, objectives, and ultimately shareholder</w:t>
      </w:r>
      <w:r>
        <w:rPr>
          <w:rFonts w:ascii="Arial" w:cs="Arial" w:eastAsia="Arial" w:hAnsi="Arial"/>
          <w:sz w:val="17"/>
          <w:szCs w:val="17"/>
          <w:b w:val="1"/>
          <w:bCs w:val="1"/>
          <w:color w:val="auto"/>
        </w:rPr>
        <w:t xml:space="preserve"> </w:t>
      </w:r>
      <w:r>
        <w:rPr>
          <w:rFonts w:ascii="Arial" w:cs="Arial" w:eastAsia="Arial" w:hAnsi="Arial"/>
          <w:sz w:val="17"/>
          <w:szCs w:val="17"/>
          <w:color w:val="auto"/>
        </w:rPr>
        <w:t>value, and</w:t>
      </w:r>
    </w:p>
    <w:p>
      <w:pPr>
        <w:spacing w:after="0" w:line="104" w:lineRule="exact"/>
        <w:rPr>
          <w:sz w:val="20"/>
          <w:szCs w:val="20"/>
          <w:color w:val="auto"/>
        </w:rPr>
      </w:pPr>
    </w:p>
    <w:p>
      <w:pPr>
        <w:ind w:right="400" w:firstLine="457"/>
        <w:spacing w:after="0" w:line="250"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we rely on the information provided by our company to evaluate goals and objectives, and we, therefore, have a strong interest in full</w:t>
      </w:r>
      <w:r>
        <w:rPr>
          <w:rFonts w:ascii="Arial" w:cs="Arial" w:eastAsia="Arial" w:hAnsi="Arial"/>
          <w:sz w:val="17"/>
          <w:szCs w:val="17"/>
          <w:b w:val="1"/>
          <w:bCs w:val="1"/>
          <w:color w:val="auto"/>
        </w:rPr>
        <w:t xml:space="preserve"> </w:t>
      </w:r>
      <w:r>
        <w:rPr>
          <w:rFonts w:ascii="Arial" w:cs="Arial" w:eastAsia="Arial" w:hAnsi="Arial"/>
          <w:sz w:val="17"/>
          <w:szCs w:val="17"/>
          <w:color w:val="auto"/>
        </w:rPr>
        <w:t>disclosure of our company’s lobbying to assess whether our company’s lobbying is consistent with its expressed goals and in the best interests of shareholders and long-term value.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the shareholders of Kraft Foods Inc. (“Kraft”) request the Board authorize the preparation of a report, updated annually, disclosing:</w:t>
      </w:r>
    </w:p>
    <w:p>
      <w:pPr>
        <w:spacing w:after="0" w:line="93" w:lineRule="exact"/>
        <w:rPr>
          <w:sz w:val="20"/>
          <w:szCs w:val="20"/>
          <w:color w:val="auto"/>
        </w:rPr>
      </w:pPr>
    </w:p>
    <w:p>
      <w:pPr>
        <w:ind w:left="900" w:right="300" w:hanging="450"/>
        <w:spacing w:after="0" w:line="241" w:lineRule="auto"/>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Company policy and procedures governing the lobbying of legislators and regulators, including that done on our company’s behalf by trade associations. The disclosure should include both direct and indirect lobbying and grassroots lobbying communications.</w:t>
      </w:r>
    </w:p>
    <w:p>
      <w:pPr>
        <w:spacing w:after="0" w:line="67" w:lineRule="exact"/>
        <w:rPr>
          <w:rFonts w:ascii="Arial" w:cs="Arial" w:eastAsia="Arial" w:hAnsi="Arial"/>
          <w:sz w:val="17"/>
          <w:szCs w:val="17"/>
          <w:color w:val="auto"/>
        </w:rPr>
      </w:pPr>
    </w:p>
    <w:p>
      <w:pPr>
        <w:ind w:left="900" w:hanging="450"/>
        <w:spacing w:after="0" w:line="241" w:lineRule="auto"/>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listing of payments (both direct and indirect, including payments to trade associations) used for direct lobbying as well as grassroots lobbying communications, including the amount of the payment and the recipient.</w:t>
      </w:r>
    </w:p>
    <w:p>
      <w:pPr>
        <w:spacing w:after="0" w:line="67" w:lineRule="exact"/>
        <w:rPr>
          <w:rFonts w:ascii="Arial" w:cs="Arial" w:eastAsia="Arial" w:hAnsi="Arial"/>
          <w:sz w:val="17"/>
          <w:szCs w:val="17"/>
          <w:color w:val="auto"/>
        </w:rPr>
      </w:pPr>
    </w:p>
    <w:p>
      <w:pPr>
        <w:ind w:left="900" w:hanging="450"/>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Membership in and payments to any tax-exempt organization that writes and endorses model legislation.</w:t>
      </w:r>
    </w:p>
    <w:p>
      <w:pPr>
        <w:spacing w:after="0" w:line="73" w:lineRule="exact"/>
        <w:rPr>
          <w:rFonts w:ascii="Arial" w:cs="Arial" w:eastAsia="Arial" w:hAnsi="Arial"/>
          <w:sz w:val="17"/>
          <w:szCs w:val="17"/>
          <w:color w:val="auto"/>
        </w:rPr>
      </w:pPr>
    </w:p>
    <w:p>
      <w:pPr>
        <w:ind w:left="900" w:hanging="450"/>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Description of the decision making process and oversight by the management and board for</w:t>
      </w:r>
    </w:p>
    <w:p>
      <w:pPr>
        <w:spacing w:after="0" w:line="73" w:lineRule="exact"/>
        <w:rPr>
          <w:rFonts w:ascii="Arial" w:cs="Arial" w:eastAsia="Arial" w:hAnsi="Arial"/>
          <w:sz w:val="17"/>
          <w:szCs w:val="17"/>
          <w:color w:val="auto"/>
        </w:rPr>
      </w:pPr>
    </w:p>
    <w:p>
      <w:pPr>
        <w:ind w:left="1480" w:hanging="569"/>
        <w:spacing w:after="0"/>
        <w:tabs>
          <w:tab w:leader="none" w:pos="1480" w:val="left"/>
        </w:tabs>
        <w:numPr>
          <w:ilvl w:val="1"/>
          <w:numId w:val="98"/>
        </w:numPr>
        <w:rPr>
          <w:rFonts w:ascii="Arial" w:cs="Arial" w:eastAsia="Arial" w:hAnsi="Arial"/>
          <w:sz w:val="17"/>
          <w:szCs w:val="17"/>
          <w:color w:val="auto"/>
        </w:rPr>
      </w:pPr>
      <w:r>
        <w:rPr>
          <w:rFonts w:ascii="Arial" w:cs="Arial" w:eastAsia="Arial" w:hAnsi="Arial"/>
          <w:sz w:val="17"/>
          <w:szCs w:val="17"/>
          <w:color w:val="auto"/>
        </w:rPr>
        <w:t>direct and indirect lobbying contribution or expenditure; and</w:t>
      </w:r>
    </w:p>
    <w:p>
      <w:pPr>
        <w:spacing w:after="0" w:line="73" w:lineRule="exact"/>
        <w:rPr>
          <w:rFonts w:ascii="Arial" w:cs="Arial" w:eastAsia="Arial" w:hAnsi="Arial"/>
          <w:sz w:val="17"/>
          <w:szCs w:val="17"/>
          <w:color w:val="auto"/>
        </w:rPr>
      </w:pPr>
    </w:p>
    <w:p>
      <w:pPr>
        <w:ind w:left="1480" w:hanging="569"/>
        <w:spacing w:after="0"/>
        <w:tabs>
          <w:tab w:leader="none" w:pos="1480" w:val="left"/>
        </w:tabs>
        <w:numPr>
          <w:ilvl w:val="1"/>
          <w:numId w:val="98"/>
        </w:numPr>
        <w:rPr>
          <w:rFonts w:ascii="Arial" w:cs="Arial" w:eastAsia="Arial" w:hAnsi="Arial"/>
          <w:sz w:val="17"/>
          <w:szCs w:val="17"/>
          <w:color w:val="auto"/>
        </w:rPr>
      </w:pPr>
      <w:r>
        <w:rPr>
          <w:rFonts w:ascii="Arial" w:cs="Arial" w:eastAsia="Arial" w:hAnsi="Arial"/>
          <w:sz w:val="17"/>
          <w:szCs w:val="17"/>
          <w:color w:val="auto"/>
        </w:rPr>
        <w:t>payment for grassroots lobbying expenditure.</w:t>
      </w:r>
    </w:p>
    <w:p>
      <w:pPr>
        <w:spacing w:after="0" w:line="150" w:lineRule="exact"/>
        <w:rPr>
          <w:sz w:val="20"/>
          <w:szCs w:val="20"/>
          <w:color w:val="auto"/>
        </w:rPr>
      </w:pPr>
    </w:p>
    <w:p>
      <w:pPr>
        <w:ind w:right="340" w:firstLine="457"/>
        <w:spacing w:after="0" w:line="271" w:lineRule="auto"/>
        <w:rPr>
          <w:sz w:val="20"/>
          <w:szCs w:val="20"/>
          <w:color w:val="auto"/>
        </w:rPr>
      </w:pPr>
      <w:r>
        <w:rPr>
          <w:rFonts w:ascii="Arial" w:cs="Arial" w:eastAsia="Arial" w:hAnsi="Arial"/>
          <w:sz w:val="16"/>
          <w:szCs w:val="16"/>
          <w:color w:val="auto"/>
        </w:rPr>
        <w:t>For purposes of this proposal, a “grassroots lobbying communication” is a communication directed to the general public and (a) refers to specific legislation, (b) reflects a view on the legislation and (c) encourages the recipient of the communication to take action with respect to the legislation.</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Both “direct and indirect lobbying” and “grassroots lobbying communications” include efforts at the local, state and federal levels.</w:t>
      </w:r>
    </w:p>
    <w:p>
      <w:pPr>
        <w:spacing w:after="0" w:line="150" w:lineRule="exact"/>
        <w:rPr>
          <w:sz w:val="20"/>
          <w:szCs w:val="20"/>
          <w:color w:val="auto"/>
        </w:rPr>
      </w:pPr>
    </w:p>
    <w:p>
      <w:pPr>
        <w:ind w:right="20" w:firstLine="457"/>
        <w:spacing w:after="0" w:line="241" w:lineRule="auto"/>
        <w:rPr>
          <w:sz w:val="20"/>
          <w:szCs w:val="20"/>
          <w:color w:val="auto"/>
        </w:rPr>
      </w:pPr>
      <w:r>
        <w:rPr>
          <w:rFonts w:ascii="Arial" w:cs="Arial" w:eastAsia="Arial" w:hAnsi="Arial"/>
          <w:sz w:val="17"/>
          <w:szCs w:val="17"/>
          <w:color w:val="auto"/>
        </w:rPr>
        <w:t>The report shall be presented to the Audit Committee of the Board or other relevant oversight committees of the Board and posted on the company’s website.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Supporting Statement</w:t>
      </w:r>
    </w:p>
    <w:p>
      <w:pPr>
        <w:spacing w:after="0" w:line="93"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As shareholders, we encourage transparency and accountability in the use of staff time and corporate funds to influence legislation and regulation both directly and indirectly. We believe such disclosure is in shareholders’ best interests. Absent a system of accountability, company assets could be used for policy objectives contrary to Kraft’s long-term interests.</w:t>
      </w:r>
    </w:p>
    <w:p>
      <w:pPr>
        <w:spacing w:after="0" w:line="127"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Kraft spent approximately $6.39 million in 2009 and 2010 on direct federal lobbying activities, according to disclosure reports (</w:t>
      </w:r>
      <w:r>
        <w:rPr>
          <w:rFonts w:ascii="Arial" w:cs="Arial" w:eastAsia="Arial" w:hAnsi="Arial"/>
          <w:sz w:val="17"/>
          <w:szCs w:val="17"/>
          <w:i w:val="1"/>
          <w:iCs w:val="1"/>
          <w:color w:val="auto"/>
        </w:rPr>
        <w:t>U.S. Senate Office of Public</w:t>
      </w:r>
      <w:r>
        <w:rPr>
          <w:rFonts w:ascii="Arial" w:cs="Arial" w:eastAsia="Arial" w:hAnsi="Arial"/>
          <w:sz w:val="17"/>
          <w:szCs w:val="17"/>
          <w:color w:val="auto"/>
        </w:rPr>
        <w:t xml:space="preserve"> </w:t>
      </w:r>
      <w:r>
        <w:rPr>
          <w:rFonts w:ascii="Arial" w:cs="Arial" w:eastAsia="Arial" w:hAnsi="Arial"/>
          <w:sz w:val="17"/>
          <w:szCs w:val="17"/>
          <w:i w:val="1"/>
          <w:iCs w:val="1"/>
          <w:color w:val="auto"/>
        </w:rPr>
        <w:t>Records)</w:t>
      </w:r>
      <w:r>
        <w:rPr>
          <w:rFonts w:ascii="Arial" w:cs="Arial" w:eastAsia="Arial" w:hAnsi="Arial"/>
          <w:sz w:val="17"/>
          <w:szCs w:val="17"/>
          <w:color w:val="auto"/>
        </w:rPr>
        <w:t>. In 2010, according 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380"/>
          </w:cols>
          <w:pgMar w:left="240" w:top="444" w:right="27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disclosure reports required in six states, Kraft also spent at least $548,436 on lobbying expenditures. These figures may not include grassroots lobbying to directly influence legislation by mobilizing public support or opposition and do not include any lobbying expenditures to influence legislation or regulation in states that do not require disclosure. And Kraft does not disclose its contributions to tax-exempt organizations that write and endorse model legislation, such as Kraft’s $5,000 contribution to the American Legislative Exchange Council (“ALEC”) annual meeting (</w:t>
      </w:r>
      <w:r>
        <w:rPr>
          <w:rFonts w:ascii="Arial" w:cs="Arial" w:eastAsia="Arial" w:hAnsi="Arial"/>
          <w:sz w:val="17"/>
          <w:szCs w:val="17"/>
          <w:u w:val="single" w:color="auto"/>
          <w:color w:val="auto"/>
        </w:rPr>
        <w:t>http://thinkprogress.org/politics/2011/08/05/288823/alec-exposed-corporations-funding/</w:t>
      </w:r>
      <w:r>
        <w:rPr>
          <w:rFonts w:ascii="Arial" w:cs="Arial" w:eastAsia="Arial" w:hAnsi="Arial"/>
          <w:sz w:val="17"/>
          <w:szCs w:val="17"/>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STATEMENT IN OPPOSITION TO THE PROPOSAL</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recommends that you vote “AGAINST” this proposal for the following reasons:</w:t>
      </w:r>
    </w:p>
    <w:p>
      <w:pPr>
        <w:spacing w:after="0" w:line="93" w:lineRule="exact"/>
        <w:rPr>
          <w:sz w:val="20"/>
          <w:szCs w:val="20"/>
          <w:color w:val="auto"/>
        </w:rPr>
      </w:pPr>
    </w:p>
    <w:p>
      <w:pPr>
        <w:ind w:right="480"/>
        <w:spacing w:after="0" w:line="241" w:lineRule="auto"/>
        <w:rPr>
          <w:sz w:val="20"/>
          <w:szCs w:val="20"/>
          <w:color w:val="auto"/>
        </w:rPr>
      </w:pPr>
      <w:r>
        <w:rPr>
          <w:rFonts w:ascii="Arial" w:cs="Arial" w:eastAsia="Arial" w:hAnsi="Arial"/>
          <w:sz w:val="17"/>
          <w:szCs w:val="17"/>
          <w:color w:val="auto"/>
        </w:rPr>
        <w:t>At Kraft Foods, we believe that we have an obligation to stay informed about and involved in the public policy decisions that affect our company—its businesses, employees, customers, suppliers and shareholders.</w:t>
      </w:r>
    </w:p>
    <w:p>
      <w:pPr>
        <w:spacing w:after="0" w:line="145" w:lineRule="exact"/>
        <w:rPr>
          <w:sz w:val="20"/>
          <w:szCs w:val="20"/>
          <w:color w:val="auto"/>
        </w:rPr>
      </w:pPr>
    </w:p>
    <w:p>
      <w:pPr>
        <w:jc w:val="both"/>
        <w:ind w:right="120"/>
        <w:spacing w:after="0" w:line="261" w:lineRule="auto"/>
        <w:rPr>
          <w:sz w:val="20"/>
          <w:szCs w:val="20"/>
          <w:color w:val="auto"/>
        </w:rPr>
      </w:pPr>
      <w:r>
        <w:rPr>
          <w:rFonts w:ascii="Arial" w:cs="Arial" w:eastAsia="Arial" w:hAnsi="Arial"/>
          <w:sz w:val="16"/>
          <w:szCs w:val="16"/>
          <w:color w:val="auto"/>
        </w:rPr>
        <w:t xml:space="preserve">We also believe that transparency and accountability regarding our company’s political and lobbying expenditures and activities are important to you. For this reason, our company voluntarily makes available extensive information about our corporate political spending and trade association participation on our website, at </w:t>
      </w:r>
      <w:r>
        <w:rPr>
          <w:rFonts w:ascii="Arial" w:cs="Arial" w:eastAsia="Arial" w:hAnsi="Arial"/>
          <w:sz w:val="16"/>
          <w:szCs w:val="16"/>
          <w:u w:val="single" w:color="auto"/>
          <w:color w:val="auto"/>
        </w:rPr>
        <w:t>http://www.kraftfoodscompany.com/Investor/corporate-governance/PoliticalContributions.aspx</w:t>
      </w:r>
      <w:r>
        <w:rPr>
          <w:rFonts w:ascii="Arial" w:cs="Arial" w:eastAsia="Arial" w:hAnsi="Arial"/>
          <w:sz w:val="16"/>
          <w:szCs w:val="16"/>
          <w:color w:val="auto"/>
        </w:rPr>
        <w:t>. That information includes:</w:t>
      </w:r>
    </w:p>
    <w:p>
      <w:pPr>
        <w:spacing w:after="0" w:line="167" w:lineRule="exact"/>
        <w:rPr>
          <w:sz w:val="20"/>
          <w:szCs w:val="20"/>
          <w:color w:val="auto"/>
        </w:rPr>
      </w:pPr>
    </w:p>
    <w:p>
      <w:pPr>
        <w:ind w:left="880" w:hanging="315"/>
        <w:spacing w:after="0"/>
        <w:tabs>
          <w:tab w:leader="none" w:pos="8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all Kraft Foods corporate political contributions;</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all contributions made by our voluntary, employee-funded political action committee, Kraftpac; and</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 list of all trade associations to which we pay annual dues greater than $50,000.</w:t>
      </w:r>
    </w:p>
    <w:p>
      <w:pPr>
        <w:spacing w:after="0" w:line="150"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Our company has effective compliance procedures for, and oversight of, our corporate and Kraftpac political and lobbying activity. Our Code of Conduct requires us to deal honestly with the government. Our internal compliance policies require advance business and legal approval of political contributions and lobbying activity. And, as you would expect, we file all information required by federal and state campaign finance and disclosure laws. All of these filings are publicly available. In addition, the Board’s Governance, Membership and Public Affairs Committee, which is charged with oversight of Kraft Foods’ policies and programs related to corporate citizenship, social responsibility, and public policy issues significant to our company, including philanthropic and political activities and contributions, receives reports on our company’s political and lobbying activities and discusses with management their strategies and recommendations. Finally, we note:</w:t>
      </w:r>
    </w:p>
    <w:p>
      <w:pPr>
        <w:spacing w:after="0" w:line="184" w:lineRule="exact"/>
        <w:rPr>
          <w:sz w:val="20"/>
          <w:szCs w:val="20"/>
          <w:color w:val="auto"/>
        </w:rPr>
      </w:pPr>
    </w:p>
    <w:p>
      <w:pPr>
        <w:ind w:left="880" w:hanging="315"/>
        <w:spacing w:after="0"/>
        <w:tabs>
          <w:tab w:leader="none" w:pos="8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We do not fund “independent expenditures.”</w:t>
      </w:r>
    </w:p>
    <w:p>
      <w:pPr>
        <w:spacing w:after="0" w:line="73" w:lineRule="exact"/>
        <w:rPr>
          <w:rFonts w:ascii="Arial" w:cs="Arial" w:eastAsia="Arial" w:hAnsi="Arial"/>
          <w:sz w:val="17"/>
          <w:szCs w:val="17"/>
          <w:color w:val="auto"/>
        </w:rPr>
      </w:pPr>
    </w:p>
    <w:p>
      <w:pPr>
        <w:ind w:left="880" w:right="60" w:hanging="315"/>
        <w:spacing w:after="0" w:line="241" w:lineRule="auto"/>
        <w:tabs>
          <w:tab w:leader="none" w:pos="8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We instruct that our dues paid to trade association groups cannot be used to support or oppose candidates – only issues of importance to our company.</w:t>
      </w:r>
    </w:p>
    <w:p>
      <w:pPr>
        <w:spacing w:after="0" w:line="67" w:lineRule="exact"/>
        <w:rPr>
          <w:rFonts w:ascii="Arial" w:cs="Arial" w:eastAsia="Arial" w:hAnsi="Arial"/>
          <w:sz w:val="17"/>
          <w:szCs w:val="17"/>
          <w:color w:val="auto"/>
        </w:rPr>
      </w:pPr>
    </w:p>
    <w:p>
      <w:pPr>
        <w:ind w:left="880" w:right="620" w:hanging="315"/>
        <w:spacing w:after="0" w:line="241" w:lineRule="auto"/>
        <w:tabs>
          <w:tab w:leader="none" w:pos="8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We do not make political contributions to Presidential candidates; thus, our contributions are not connected to actions taken by federal regulators such as the US Food and Drug Administration or the US Department of Agriculture.</w:t>
      </w:r>
    </w:p>
    <w:p>
      <w:pPr>
        <w:spacing w:after="0" w:line="67" w:lineRule="exact"/>
        <w:rPr>
          <w:rFonts w:ascii="Arial" w:cs="Arial" w:eastAsia="Arial" w:hAnsi="Arial"/>
          <w:sz w:val="17"/>
          <w:szCs w:val="17"/>
          <w:color w:val="auto"/>
        </w:rPr>
      </w:pPr>
    </w:p>
    <w:p>
      <w:pPr>
        <w:ind w:left="880" w:hanging="315"/>
        <w:spacing w:after="0"/>
        <w:tabs>
          <w:tab w:leader="none" w:pos="8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We do not support, directly or indirectly, candidates for judicial office.</w:t>
      </w:r>
    </w:p>
    <w:p>
      <w:pPr>
        <w:spacing w:after="0" w:line="73" w:lineRule="exact"/>
        <w:rPr>
          <w:rFonts w:ascii="Arial" w:cs="Arial" w:eastAsia="Arial" w:hAnsi="Arial"/>
          <w:sz w:val="17"/>
          <w:szCs w:val="17"/>
          <w:color w:val="auto"/>
        </w:rPr>
      </w:pPr>
    </w:p>
    <w:p>
      <w:pPr>
        <w:ind w:left="880" w:right="280" w:hanging="315"/>
        <w:spacing w:after="0" w:line="241" w:lineRule="auto"/>
        <w:tabs>
          <w:tab w:leader="none" w:pos="8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We have not made a “grassroots lobbying communication”, as defined by the proponent, since our company’s inception as an independent company in 2007.</w:t>
      </w:r>
    </w:p>
    <w:p>
      <w:pPr>
        <w:spacing w:after="0" w:line="145"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Collecting and publishing the additional information requested by this proposal would be unnecessarily burdensome on company resources and provide little, if any, new value to shareholders. We believe that our current disclosure, along with our internal compliance and oversight processes, is appropriate and in the best interests of our company and its shareholders.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foregoing reasons, the Board recommends that you vote AGAINST this proposal.</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340"/>
          </w:cols>
          <w:pgMar w:left="240" w:top="443" w:right="31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OTHER MATTERS THAT MAY BE</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PRESENTED AT THE ANNUAL MEETING</w:t>
      </w:r>
    </w:p>
    <w:p>
      <w:pPr>
        <w:spacing w:after="0" w:line="16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do not know of any matters, other than those described in this Proxy Statement, that may be presented for action at the Annual Meeting. If any other matters properly come before the Annual Meeting, your proxy gives authority to the persons named as proxies in the proxy or voting instruction form to vote on these matters in accordance with their best judgment.</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FREQUENTLY ASKED QUESTIONS ABOUT THE ANNUAL MEETING AND VOTING</w:t>
      </w:r>
    </w:p>
    <w:p>
      <w:pPr>
        <w:spacing w:after="0" w:line="211" w:lineRule="exact"/>
        <w:rPr>
          <w:sz w:val="20"/>
          <w:szCs w:val="20"/>
          <w:color w:val="auto"/>
        </w:rPr>
      </w:pPr>
    </w:p>
    <w:p>
      <w:pPr>
        <w:ind w:left="460" w:hanging="458"/>
        <w:spacing w:after="0"/>
        <w:tabs>
          <w:tab w:leader="none" w:pos="460" w:val="left"/>
        </w:tabs>
        <w:numPr>
          <w:ilvl w:val="0"/>
          <w:numId w:val="101"/>
        </w:numPr>
        <w:rPr>
          <w:rFonts w:ascii="Arial" w:cs="Arial" w:eastAsia="Arial" w:hAnsi="Arial"/>
          <w:sz w:val="17"/>
          <w:szCs w:val="17"/>
          <w:b w:val="1"/>
          <w:bCs w:val="1"/>
          <w:color w:val="auto"/>
        </w:rPr>
      </w:pPr>
      <w:r>
        <w:rPr>
          <w:rFonts w:ascii="Arial" w:cs="Arial" w:eastAsia="Arial" w:hAnsi="Arial"/>
          <w:sz w:val="17"/>
          <w:szCs w:val="17"/>
          <w:b w:val="1"/>
          <w:bCs w:val="1"/>
          <w:color w:val="auto"/>
        </w:rPr>
        <w:t>When and where is the Annual Meeting?</w:t>
      </w:r>
    </w:p>
    <w:p>
      <w:pPr>
        <w:spacing w:after="0" w:line="170"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will hold the Annual Meeting on Wednesday, May 23, 2012, at 9:00 a.m. CDT at the North Shore Center for the Performing Arts in Skokie, 9501 Skokie Boulevard, Skokie, Illinois 60077. The Center will open to shareholders at 8:00 a.m. CDT. Directions to the Center are included at the end of this Proxy Statement.</w:t>
      </w:r>
    </w:p>
    <w:p>
      <w:pPr>
        <w:spacing w:after="0" w:line="164" w:lineRule="exact"/>
        <w:rPr>
          <w:sz w:val="20"/>
          <w:szCs w:val="20"/>
          <w:color w:val="auto"/>
        </w:rPr>
      </w:pPr>
    </w:p>
    <w:p>
      <w:pPr>
        <w:ind w:left="460" w:hanging="458"/>
        <w:spacing w:after="0"/>
        <w:tabs>
          <w:tab w:leader="none" w:pos="460" w:val="left"/>
        </w:tabs>
        <w:numPr>
          <w:ilvl w:val="0"/>
          <w:numId w:val="102"/>
        </w:numPr>
        <w:rPr>
          <w:rFonts w:ascii="Arial" w:cs="Arial" w:eastAsia="Arial" w:hAnsi="Arial"/>
          <w:sz w:val="17"/>
          <w:szCs w:val="17"/>
          <w:b w:val="1"/>
          <w:bCs w:val="1"/>
          <w:color w:val="auto"/>
        </w:rPr>
      </w:pPr>
      <w:r>
        <w:rPr>
          <w:rFonts w:ascii="Arial" w:cs="Arial" w:eastAsia="Arial" w:hAnsi="Arial"/>
          <w:sz w:val="17"/>
          <w:szCs w:val="17"/>
          <w:b w:val="1"/>
          <w:bCs w:val="1"/>
          <w:color w:val="auto"/>
        </w:rPr>
        <w:t>Who is entitled to vote at the Annual Meeting?</w:t>
      </w:r>
    </w:p>
    <w:p>
      <w:pPr>
        <w:spacing w:after="0" w:line="170"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Board established March 15, 2012 as the record date (the “Record Date”) for the Annual Meeting. Each shareholder (registered or beneficial) who held shares of our common stock at the close of business on the Record Date are entitled to (a) receive notice of the Annual Meeting, (b) attend the Annual Meeting and (c) vote on all matters that properly come before the Annual Meeting.</w:t>
      </w:r>
    </w:p>
    <w:p>
      <w:pPr>
        <w:spacing w:after="0" w:line="145"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color w:val="auto"/>
        </w:rPr>
        <w:t>At the close of business on the Record Date, 1,772,061,678 shares of our common stock were outstanding and entitled to vote. Each share is entitled to one vote on each matter to be voted upon at the Annual Meeting.</w:t>
      </w:r>
    </w:p>
    <w:p>
      <w:pPr>
        <w:spacing w:after="0" w:line="163" w:lineRule="exact"/>
        <w:rPr>
          <w:sz w:val="20"/>
          <w:szCs w:val="20"/>
          <w:color w:val="auto"/>
        </w:rPr>
      </w:pPr>
    </w:p>
    <w:p>
      <w:pPr>
        <w:ind w:left="460" w:hanging="458"/>
        <w:spacing w:after="0"/>
        <w:tabs>
          <w:tab w:leader="none" w:pos="460"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Why am I receiving these proxy materials?</w:t>
      </w:r>
    </w:p>
    <w:p>
      <w:pPr>
        <w:spacing w:after="0" w:line="170"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In connection with our Board’s solicitation of proxies to be voted at the Annual Meeting, we are providing shareholders entitled to vote at the Annual Meeting with this Proxy Statement, our Form 10-K, our Chairman and Chief Executive Officer’s letter to shareholders and a voting ballot (in the form of a proxy card, voting instruction form, or a unique control number that allows you to vote via the Internet or by phone). We refer to these materials collectively as the “proxy materials”. These materials provide important information about Kraft Foods and describe the voting procedures and the matters to be voted on at the Annual Meeting.</w:t>
      </w:r>
    </w:p>
    <w:p>
      <w:pPr>
        <w:spacing w:after="0" w:line="148" w:lineRule="exact"/>
        <w:rPr>
          <w:sz w:val="20"/>
          <w:szCs w:val="20"/>
          <w:color w:val="auto"/>
        </w:rPr>
      </w:pPr>
    </w:p>
    <w:p>
      <w:pPr>
        <w:ind w:right="460"/>
        <w:spacing w:after="0" w:line="241" w:lineRule="auto"/>
        <w:rPr>
          <w:sz w:val="20"/>
          <w:szCs w:val="20"/>
          <w:color w:val="auto"/>
        </w:rPr>
      </w:pPr>
      <w:r>
        <w:rPr>
          <w:rFonts w:ascii="Arial" w:cs="Arial" w:eastAsia="Arial" w:hAnsi="Arial"/>
          <w:sz w:val="17"/>
          <w:szCs w:val="17"/>
          <w:color w:val="auto"/>
        </w:rPr>
        <w:t>You have received the proxy materials because, as of the Record Date, you directly or indirectly held, and had the right to vote, shares of Kraft Foods common stock.</w:t>
      </w:r>
    </w:p>
    <w:p>
      <w:pPr>
        <w:spacing w:after="0" w:line="163" w:lineRule="exact"/>
        <w:rPr>
          <w:sz w:val="20"/>
          <w:szCs w:val="20"/>
          <w:color w:val="auto"/>
        </w:rPr>
      </w:pPr>
    </w:p>
    <w:p>
      <w:pPr>
        <w:ind w:left="460" w:hanging="458"/>
        <w:spacing w:after="0"/>
        <w:tabs>
          <w:tab w:leader="none" w:pos="460"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difference between registered holders and beneficial holders?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most common ways in which shareholders hold Kraft Foods stock are:</w:t>
      </w:r>
    </w:p>
    <w:p>
      <w:pPr>
        <w:spacing w:after="0" w:line="170" w:lineRule="exact"/>
        <w:rPr>
          <w:sz w:val="20"/>
          <w:szCs w:val="20"/>
          <w:color w:val="auto"/>
        </w:rPr>
      </w:pPr>
    </w:p>
    <w:p>
      <w:pPr>
        <w:ind w:left="880" w:hanging="315"/>
        <w:spacing w:after="0"/>
        <w:tabs>
          <w:tab w:leader="none" w:pos="8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directly with our transfer agent, Wells Fargo Bank, N.A. (</w:t>
      </w:r>
      <w:r>
        <w:rPr>
          <w:rFonts w:ascii="Arial" w:cs="Arial" w:eastAsia="Arial" w:hAnsi="Arial"/>
          <w:sz w:val="17"/>
          <w:szCs w:val="17"/>
          <w:i w:val="1"/>
          <w:iCs w:val="1"/>
          <w:color w:val="auto"/>
        </w:rPr>
        <w:t>registered shareholders</w:t>
      </w:r>
      <w:r>
        <w:rPr>
          <w:rFonts w:ascii="Arial" w:cs="Arial" w:eastAsia="Arial" w:hAnsi="Arial"/>
          <w:sz w:val="17"/>
          <w:szCs w:val="17"/>
          <w:color w:val="auto"/>
        </w:rPr>
        <w:t>);</w:t>
      </w:r>
    </w:p>
    <w:p>
      <w:pPr>
        <w:spacing w:after="0" w:line="91" w:lineRule="exact"/>
        <w:rPr>
          <w:rFonts w:ascii="Arial" w:cs="Arial" w:eastAsia="Arial" w:hAnsi="Arial"/>
          <w:sz w:val="17"/>
          <w:szCs w:val="17"/>
          <w:color w:val="auto"/>
        </w:rPr>
      </w:pPr>
    </w:p>
    <w:p>
      <w:pPr>
        <w:ind w:left="880" w:right="80" w:hanging="315"/>
        <w:spacing w:after="0" w:line="241" w:lineRule="auto"/>
        <w:tabs>
          <w:tab w:leader="none" w:pos="8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indirectly through an account with an institutional or nominee holder of our stock such as a broker or bank who is the record holder of the stock (</w:t>
      </w:r>
      <w:r>
        <w:rPr>
          <w:rFonts w:ascii="Arial" w:cs="Arial" w:eastAsia="Arial" w:hAnsi="Arial"/>
          <w:sz w:val="17"/>
          <w:szCs w:val="17"/>
          <w:i w:val="1"/>
          <w:iCs w:val="1"/>
          <w:color w:val="auto"/>
        </w:rPr>
        <w:t>beneficial shareholde</w:t>
      </w:r>
      <w:r>
        <w:rPr>
          <w:rFonts w:ascii="Arial" w:cs="Arial" w:eastAsia="Arial" w:hAnsi="Arial"/>
          <w:sz w:val="17"/>
          <w:szCs w:val="17"/>
          <w:color w:val="auto"/>
        </w:rPr>
        <w:t xml:space="preserve">r or </w:t>
      </w:r>
      <w:r>
        <w:rPr>
          <w:rFonts w:ascii="Arial" w:cs="Arial" w:eastAsia="Arial" w:hAnsi="Arial"/>
          <w:sz w:val="17"/>
          <w:szCs w:val="17"/>
          <w:i w:val="1"/>
          <w:iCs w:val="1"/>
          <w:color w:val="auto"/>
        </w:rPr>
        <w:t>shareholder in street name</w:t>
      </w:r>
      <w:r>
        <w:rPr>
          <w:rFonts w:ascii="Arial" w:cs="Arial" w:eastAsia="Arial" w:hAnsi="Arial"/>
          <w:sz w:val="17"/>
          <w:szCs w:val="17"/>
          <w:color w:val="auto"/>
        </w:rPr>
        <w:t>).</w:t>
      </w:r>
    </w:p>
    <w:p>
      <w:pPr>
        <w:spacing w:after="0" w:line="127" w:lineRule="exact"/>
        <w:rPr>
          <w:sz w:val="20"/>
          <w:szCs w:val="20"/>
          <w:color w:val="auto"/>
        </w:rPr>
      </w:pPr>
    </w:p>
    <w:p>
      <w:pPr>
        <w:ind w:right="340"/>
        <w:spacing w:after="0" w:line="263" w:lineRule="auto"/>
        <w:rPr>
          <w:sz w:val="20"/>
          <w:szCs w:val="20"/>
          <w:color w:val="auto"/>
        </w:rPr>
      </w:pPr>
      <w:r>
        <w:rPr>
          <w:rFonts w:ascii="Arial" w:cs="Arial" w:eastAsia="Arial" w:hAnsi="Arial"/>
          <w:sz w:val="17"/>
          <w:szCs w:val="17"/>
          <w:color w:val="auto"/>
        </w:rPr>
        <w:t xml:space="preserve">If you hold your shares as a </w:t>
      </w:r>
      <w:r>
        <w:rPr>
          <w:rFonts w:ascii="Arial" w:cs="Arial" w:eastAsia="Arial" w:hAnsi="Arial"/>
          <w:sz w:val="17"/>
          <w:szCs w:val="17"/>
          <w:i w:val="1"/>
          <w:iCs w:val="1"/>
          <w:color w:val="auto"/>
        </w:rPr>
        <w:t>registered shareholder</w:t>
      </w:r>
      <w:r>
        <w:rPr>
          <w:rFonts w:ascii="Arial" w:cs="Arial" w:eastAsia="Arial" w:hAnsi="Arial"/>
          <w:sz w:val="17"/>
          <w:szCs w:val="17"/>
          <w:color w:val="auto"/>
        </w:rPr>
        <w:t>, our transfer agent sends the proxy materials to you and your vote instructs the proxies how to vote your shares.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443" w:right="2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 xml:space="preserve">If you hold your shares in street name as a </w:t>
      </w:r>
      <w:r>
        <w:rPr>
          <w:rFonts w:ascii="Arial" w:cs="Arial" w:eastAsia="Arial" w:hAnsi="Arial"/>
          <w:sz w:val="16"/>
          <w:szCs w:val="16"/>
          <w:i w:val="1"/>
          <w:iCs w:val="1"/>
          <w:color w:val="auto"/>
        </w:rPr>
        <w:t>beneficial shareholder</w:t>
      </w:r>
      <w:r>
        <w:rPr>
          <w:rFonts w:ascii="Arial" w:cs="Arial" w:eastAsia="Arial" w:hAnsi="Arial"/>
          <w:sz w:val="16"/>
          <w:szCs w:val="16"/>
          <w:color w:val="auto"/>
        </w:rPr>
        <w:t>, your broker, bank or other nominee delivers the proxy materials to you. Your vote instructs your nominee how to vote your shares, and that nominee in turn instructs the proxies how to vote your shares. If you hold your shares beneficially in an employee benefit plan, your shares are voted by the trustee of the plan in accordance with the plan’s governing documents and applicable law.</w:t>
      </w:r>
    </w:p>
    <w:p>
      <w:pPr>
        <w:spacing w:after="0" w:line="140" w:lineRule="exact"/>
        <w:rPr>
          <w:sz w:val="20"/>
          <w:szCs w:val="20"/>
          <w:color w:val="auto"/>
        </w:rPr>
      </w:pPr>
    </w:p>
    <w:p>
      <w:pPr>
        <w:ind w:left="460" w:hanging="458"/>
        <w:spacing w:after="0"/>
        <w:tabs>
          <w:tab w:leader="none" w:pos="460"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color w:val="auto"/>
        </w:rPr>
        <w:t>How is Kraft Foods distributing proxy materials?</w:t>
      </w:r>
    </w:p>
    <w:p>
      <w:pPr>
        <w:spacing w:after="0" w:line="17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We are furnishing proxy materials to our shareholders primarily via the Internet instead of mailing printed copies of proxy materials to each shareholder. On or about April 5, 2012, we mailed to our shareholders (other than those who previously requested electronic or paper delivery) a Notice of Internet Availability of Proxy Materials (the “Notice”) containing instructions on how to access the proxy materials via the Internet.</w:t>
      </w:r>
    </w:p>
    <w:p>
      <w:pPr>
        <w:spacing w:after="0" w:line="145"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If you receive a Notice by mail, you will not receive a printed copy of the proxy materials in the mail. Instead, the Notice instructs you on how to access the proxy materials via the Internet. The Notice also instructs you on how you may submit your proxy vote via the Internet. If you received a Notice by mail and would like to receive a paper copy of our proxy materials on a one-time or ongoing basis, follow the instructions contained in the Notice for making this request. The Notice also contains instructions on how you may request to receive an electronic copy of our proxy materials by email on a one-time or ongoing basis.</w:t>
      </w:r>
    </w:p>
    <w:p>
      <w:pPr>
        <w:spacing w:after="0" w:line="166" w:lineRule="exact"/>
        <w:rPr>
          <w:sz w:val="20"/>
          <w:szCs w:val="20"/>
          <w:color w:val="auto"/>
        </w:rPr>
      </w:pPr>
    </w:p>
    <w:p>
      <w:pPr>
        <w:ind w:left="460" w:hanging="458"/>
        <w:spacing w:after="0"/>
        <w:tabs>
          <w:tab w:leader="none" w:pos="460"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How may I request printed copies of the proxy materials?</w:t>
      </w:r>
    </w:p>
    <w:p>
      <w:pPr>
        <w:spacing w:after="0" w:line="150"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color w:val="auto"/>
        </w:rPr>
        <w:t>We will send printed, paper copies of proxy materials, including our Form 10-K, free of charge to any shareholder who requests copies in writing to: Wells Fargo Shareowner Services, For Kraft Foods Inc., P.O. Box 64874, St. Paul, Minnesota 55164-0874.</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Shareholders may also request copies of these materials using one of the following methods:</w:t>
      </w:r>
    </w:p>
    <w:p>
      <w:pPr>
        <w:spacing w:after="0" w:line="73" w:lineRule="exact"/>
        <w:rPr>
          <w:sz w:val="20"/>
          <w:szCs w:val="20"/>
          <w:color w:val="auto"/>
        </w:rPr>
      </w:pPr>
    </w:p>
    <w:p>
      <w:pPr>
        <w:ind w:left="880" w:right="400" w:hanging="315"/>
        <w:spacing w:after="0" w:line="241" w:lineRule="auto"/>
        <w:tabs>
          <w:tab w:leader="none" w:pos="8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By telephone: Call free of charge 1-866-697-9377 in the United States and Canada or 1-651-450-4064 from outside the United States and Canada;</w:t>
      </w:r>
    </w:p>
    <w:p>
      <w:pPr>
        <w:spacing w:after="0" w:line="49" w:lineRule="exact"/>
        <w:rPr>
          <w:rFonts w:ascii="Arial" w:cs="Arial" w:eastAsia="Arial" w:hAnsi="Arial"/>
          <w:sz w:val="17"/>
          <w:szCs w:val="17"/>
          <w:color w:val="auto"/>
        </w:rPr>
      </w:pPr>
    </w:p>
    <w:p>
      <w:pPr>
        <w:ind w:left="880" w:hanging="315"/>
        <w:spacing w:after="0"/>
        <w:tabs>
          <w:tab w:leader="none" w:pos="8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Via the Internet: Access the Internet and go to </w:t>
      </w:r>
      <w:r>
        <w:rPr>
          <w:rFonts w:ascii="Arial" w:cs="Arial" w:eastAsia="Arial" w:hAnsi="Arial"/>
          <w:sz w:val="17"/>
          <w:szCs w:val="17"/>
          <w:i w:val="1"/>
          <w:iCs w:val="1"/>
          <w:u w:val="single" w:color="auto"/>
          <w:color w:val="auto"/>
        </w:rPr>
        <w:t>www.ematerials.com/kft</w:t>
      </w:r>
      <w:r>
        <w:rPr>
          <w:rFonts w:ascii="Arial" w:cs="Arial" w:eastAsia="Arial" w:hAnsi="Arial"/>
          <w:sz w:val="17"/>
          <w:szCs w:val="17"/>
          <w:color w:val="auto"/>
        </w:rPr>
        <w:t xml:space="preserve"> and follow the instructions to login and order copies; or</w:t>
      </w:r>
    </w:p>
    <w:p>
      <w:pPr>
        <w:spacing w:after="0" w:line="91" w:lineRule="exact"/>
        <w:rPr>
          <w:rFonts w:ascii="Arial" w:cs="Arial" w:eastAsia="Arial" w:hAnsi="Arial"/>
          <w:sz w:val="17"/>
          <w:szCs w:val="17"/>
          <w:color w:val="auto"/>
        </w:rPr>
      </w:pPr>
    </w:p>
    <w:p>
      <w:pPr>
        <w:ind w:left="880" w:right="240" w:hanging="315"/>
        <w:spacing w:after="0" w:line="241" w:lineRule="auto"/>
        <w:tabs>
          <w:tab w:leader="none" w:pos="8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Via e-mail: Send us an e-mail at </w:t>
      </w:r>
      <w:r>
        <w:rPr>
          <w:rFonts w:ascii="Arial" w:cs="Arial" w:eastAsia="Arial" w:hAnsi="Arial"/>
          <w:sz w:val="17"/>
          <w:szCs w:val="17"/>
          <w:u w:val="single" w:color="auto"/>
          <w:color w:val="auto"/>
        </w:rPr>
        <w:t>ep@ematerials.com</w:t>
      </w:r>
      <w:r>
        <w:rPr>
          <w:rFonts w:ascii="Arial" w:cs="Arial" w:eastAsia="Arial" w:hAnsi="Arial"/>
          <w:sz w:val="17"/>
          <w:szCs w:val="17"/>
          <w:color w:val="auto"/>
        </w:rPr>
        <w:t xml:space="preserve"> with “KFT Materials Request” in the subject line. Your e-mail must include the following information:</w:t>
      </w:r>
    </w:p>
    <w:p>
      <w:pPr>
        <w:spacing w:after="0" w:line="67" w:lineRule="exact"/>
        <w:rPr>
          <w:rFonts w:ascii="Arial" w:cs="Arial" w:eastAsia="Arial" w:hAnsi="Arial"/>
          <w:sz w:val="17"/>
          <w:szCs w:val="17"/>
          <w:color w:val="auto"/>
        </w:rPr>
      </w:pPr>
    </w:p>
    <w:p>
      <w:pPr>
        <w:ind w:left="1460" w:hanging="434"/>
        <w:spacing w:after="0"/>
        <w:tabs>
          <w:tab w:leader="none" w:pos="146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the 3-digit company number and the 11-digit control number located in the box in the upper right-hand corner of your Notice;</w:t>
      </w:r>
    </w:p>
    <w:p>
      <w:pPr>
        <w:spacing w:after="0" w:line="73" w:lineRule="exact"/>
        <w:rPr>
          <w:rFonts w:ascii="Arial" w:cs="Arial" w:eastAsia="Arial" w:hAnsi="Arial"/>
          <w:sz w:val="17"/>
          <w:szCs w:val="17"/>
          <w:color w:val="auto"/>
        </w:rPr>
      </w:pPr>
    </w:p>
    <w:p>
      <w:pPr>
        <w:ind w:left="1460" w:hanging="434"/>
        <w:spacing w:after="0"/>
        <w:tabs>
          <w:tab w:leader="none" w:pos="146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your preference to receive (a) printed materials via mail or (b) an e-mail with links to the electronic materials;</w:t>
      </w:r>
    </w:p>
    <w:p>
      <w:pPr>
        <w:spacing w:after="0" w:line="73" w:lineRule="exact"/>
        <w:rPr>
          <w:rFonts w:ascii="Arial" w:cs="Arial" w:eastAsia="Arial" w:hAnsi="Arial"/>
          <w:sz w:val="17"/>
          <w:szCs w:val="17"/>
          <w:color w:val="auto"/>
        </w:rPr>
      </w:pPr>
    </w:p>
    <w:p>
      <w:pPr>
        <w:ind w:left="1460" w:hanging="434"/>
        <w:spacing w:after="0"/>
        <w:tabs>
          <w:tab w:leader="none" w:pos="146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if you choose e-mail delivery, an e-mail address; and</w:t>
      </w:r>
    </w:p>
    <w:p>
      <w:pPr>
        <w:spacing w:after="0" w:line="73" w:lineRule="exact"/>
        <w:rPr>
          <w:rFonts w:ascii="Arial" w:cs="Arial" w:eastAsia="Arial" w:hAnsi="Arial"/>
          <w:sz w:val="17"/>
          <w:szCs w:val="17"/>
          <w:color w:val="auto"/>
        </w:rPr>
      </w:pPr>
    </w:p>
    <w:p>
      <w:pPr>
        <w:ind w:left="1460" w:right="240" w:hanging="434"/>
        <w:spacing w:after="0" w:line="241" w:lineRule="auto"/>
        <w:tabs>
          <w:tab w:leader="none" w:pos="146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if you would like this election to apply to the delivery of materials for all future meetings, the word “Permanent” and the last 4 digits of your tax identification number in the e-mail.</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These materials, including our Form 10-K, are also available at </w:t>
      </w:r>
      <w:r>
        <w:rPr>
          <w:rFonts w:ascii="Arial" w:cs="Arial" w:eastAsia="Arial" w:hAnsi="Arial"/>
          <w:sz w:val="17"/>
          <w:szCs w:val="17"/>
          <w:b w:val="1"/>
          <w:bCs w:val="1"/>
          <w:i w:val="1"/>
          <w:iCs w:val="1"/>
          <w:u w:val="single" w:color="auto"/>
          <w:color w:val="auto"/>
        </w:rPr>
        <w:t>http://materials.proxyvote.com/50075N</w:t>
      </w:r>
      <w:r>
        <w:rPr>
          <w:rFonts w:ascii="Arial" w:cs="Arial" w:eastAsia="Arial" w:hAnsi="Arial"/>
          <w:sz w:val="17"/>
          <w:szCs w:val="17"/>
          <w:b w:val="1"/>
          <w:bCs w:val="1"/>
          <w:color w:val="auto"/>
        </w:rPr>
        <w:t>.</w:t>
      </w:r>
    </w:p>
    <w:p>
      <w:pPr>
        <w:spacing w:after="0" w:line="188" w:lineRule="exact"/>
        <w:rPr>
          <w:sz w:val="20"/>
          <w:szCs w:val="20"/>
          <w:color w:val="auto"/>
        </w:rPr>
      </w:pPr>
    </w:p>
    <w:p>
      <w:pPr>
        <w:ind w:left="460" w:hanging="458"/>
        <w:spacing w:after="0"/>
        <w:tabs>
          <w:tab w:leader="none" w:pos="460" w:val="left"/>
        </w:tabs>
        <w:numPr>
          <w:ilvl w:val="0"/>
          <w:numId w:val="109"/>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quorum requirement?</w:t>
      </w:r>
    </w:p>
    <w:p>
      <w:pPr>
        <w:spacing w:after="0" w:line="170"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A quorum of shareholders is necessary to validly hold the Annual Meeting. A quorum will be present if a majority of the outstanding shares of our common stock entitled to vote as of the Record Date is represented at the Annual Meeting, either in person or by proxy.</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443" w:right="23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Abstentions and broker non-votes will be counted for the purpose of determining whether a quorum is present for the Annual Meeting.</w:t>
      </w:r>
    </w:p>
    <w:p>
      <w:pPr>
        <w:spacing w:after="0" w:line="168" w:lineRule="exact"/>
        <w:rPr>
          <w:sz w:val="20"/>
          <w:szCs w:val="20"/>
          <w:color w:val="auto"/>
        </w:rPr>
      </w:pPr>
    </w:p>
    <w:p>
      <w:pPr>
        <w:ind w:left="460" w:hanging="458"/>
        <w:spacing w:after="0"/>
        <w:tabs>
          <w:tab w:leader="none" w:pos="460" w:val="left"/>
        </w:tabs>
        <w:numPr>
          <w:ilvl w:val="0"/>
          <w:numId w:val="110"/>
        </w:numPr>
        <w:rPr>
          <w:rFonts w:ascii="Arial" w:cs="Arial" w:eastAsia="Arial" w:hAnsi="Arial"/>
          <w:sz w:val="17"/>
          <w:szCs w:val="17"/>
          <w:b w:val="1"/>
          <w:bCs w:val="1"/>
          <w:color w:val="auto"/>
        </w:rPr>
      </w:pPr>
      <w:r>
        <w:rPr>
          <w:rFonts w:ascii="Arial" w:cs="Arial" w:eastAsia="Arial" w:hAnsi="Arial"/>
          <w:sz w:val="17"/>
          <w:szCs w:val="17"/>
          <w:b w:val="1"/>
          <w:bCs w:val="1"/>
          <w:color w:val="auto"/>
        </w:rPr>
        <w:t>What are the items to be voted on at the Annual Meeting, and how does the Board recommend that I vote?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60" w:type="dxa"/>
            <w:vAlign w:val="bottom"/>
            <w:gridSpan w:val="2"/>
          </w:tcPr>
          <w:p>
            <w:pPr>
              <w:ind w:left="1180"/>
              <w:spacing w:after="0"/>
              <w:rPr>
                <w:sz w:val="20"/>
                <w:szCs w:val="20"/>
                <w:color w:val="auto"/>
              </w:rPr>
            </w:pPr>
            <w:r>
              <w:rPr>
                <w:rFonts w:ascii="Arial" w:cs="Arial" w:eastAsia="Arial" w:hAnsi="Arial"/>
                <w:sz w:val="13"/>
                <w:szCs w:val="13"/>
                <w:b w:val="1"/>
                <w:bCs w:val="1"/>
                <w:color w:val="auto"/>
              </w:rPr>
              <w:t>Voting</w:t>
            </w:r>
          </w:p>
        </w:tc>
        <w:tc>
          <w:tcPr>
            <w:tcW w:w="1820" w:type="dxa"/>
            <w:vAlign w:val="bottom"/>
          </w:tcPr>
          <w:p>
            <w:pPr>
              <w:ind w:left="740"/>
              <w:spacing w:after="0"/>
              <w:rPr>
                <w:sz w:val="20"/>
                <w:szCs w:val="20"/>
                <w:color w:val="auto"/>
              </w:rPr>
            </w:pPr>
            <w:r>
              <w:rPr>
                <w:rFonts w:ascii="Arial" w:cs="Arial" w:eastAsia="Arial" w:hAnsi="Arial"/>
                <w:sz w:val="13"/>
                <w:szCs w:val="13"/>
                <w:b w:val="1"/>
                <w:bCs w:val="1"/>
                <w:color w:val="auto"/>
              </w:rPr>
              <w:t>Board</w:t>
            </w:r>
          </w:p>
        </w:tc>
      </w:tr>
      <w:tr>
        <w:trPr>
          <w:trHeight w:val="177"/>
        </w:trPr>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Item</w:t>
            </w:r>
          </w:p>
        </w:tc>
        <w:tc>
          <w:tcPr>
            <w:tcW w:w="6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tcBorders>
              <w:bottom w:val="single" w:sz="8" w:color="auto"/>
            </w:tcBorders>
          </w:tcPr>
          <w:p>
            <w:pPr>
              <w:ind w:left="1140"/>
              <w:spacing w:after="0"/>
              <w:rPr>
                <w:sz w:val="20"/>
                <w:szCs w:val="20"/>
                <w:color w:val="auto"/>
              </w:rPr>
            </w:pPr>
            <w:r>
              <w:rPr>
                <w:rFonts w:ascii="Arial" w:cs="Arial" w:eastAsia="Arial" w:hAnsi="Arial"/>
                <w:sz w:val="13"/>
                <w:szCs w:val="13"/>
                <w:b w:val="1"/>
                <w:bCs w:val="1"/>
                <w:color w:val="auto"/>
              </w:rPr>
              <w:t>Choices</w:t>
            </w:r>
          </w:p>
        </w:tc>
        <w:tc>
          <w:tcPr>
            <w:tcW w:w="100" w:type="dxa"/>
            <w:vAlign w:val="bottom"/>
          </w:tcPr>
          <w:p>
            <w:pPr>
              <w:spacing w:after="0"/>
              <w:rPr>
                <w:sz w:val="15"/>
                <w:szCs w:val="15"/>
                <w:color w:val="auto"/>
              </w:rPr>
            </w:pPr>
          </w:p>
        </w:tc>
        <w:tc>
          <w:tcPr>
            <w:tcW w:w="182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Recommendation</w:t>
            </w:r>
          </w:p>
        </w:tc>
      </w:tr>
      <w:tr>
        <w:trPr>
          <w:trHeight w:val="180"/>
        </w:trPr>
        <w:tc>
          <w:tcPr>
            <w:tcW w:w="6620" w:type="dxa"/>
            <w:vAlign w:val="bottom"/>
            <w:gridSpan w:val="2"/>
          </w:tcPr>
          <w:p>
            <w:pPr>
              <w:spacing w:after="0" w:line="180" w:lineRule="exact"/>
              <w:rPr>
                <w:sz w:val="20"/>
                <w:szCs w:val="20"/>
                <w:color w:val="auto"/>
              </w:rPr>
            </w:pPr>
            <w:r>
              <w:rPr>
                <w:rFonts w:ascii="Arial" w:cs="Arial" w:eastAsia="Arial" w:hAnsi="Arial"/>
                <w:sz w:val="17"/>
                <w:szCs w:val="17"/>
                <w:color w:val="auto"/>
              </w:rPr>
              <w:t>Item 1 – Election of 11 Directors</w:t>
            </w:r>
          </w:p>
        </w:tc>
        <w:tc>
          <w:tcPr>
            <w:tcW w:w="120" w:type="dxa"/>
            <w:vAlign w:val="bottom"/>
          </w:tcPr>
          <w:p>
            <w:pPr>
              <w:spacing w:after="0"/>
              <w:rPr>
                <w:sz w:val="15"/>
                <w:szCs w:val="15"/>
                <w:color w:val="auto"/>
              </w:rPr>
            </w:pPr>
          </w:p>
        </w:tc>
        <w:tc>
          <w:tcPr>
            <w:tcW w:w="2860" w:type="dxa"/>
            <w:vAlign w:val="bottom"/>
            <w:gridSpan w:val="2"/>
          </w:tcPr>
          <w:p>
            <w:pPr>
              <w:spacing w:after="0" w:line="180" w:lineRule="exact"/>
              <w:rPr>
                <w:sz w:val="20"/>
                <w:szCs w:val="20"/>
                <w:color w:val="auto"/>
              </w:rPr>
            </w:pPr>
            <w:r>
              <w:rPr>
                <w:rFonts w:ascii="Arial" w:cs="Arial" w:eastAsia="Arial" w:hAnsi="Arial"/>
                <w:sz w:val="17"/>
                <w:szCs w:val="17"/>
                <w:color w:val="auto"/>
              </w:rPr>
              <w:t>With respect to each</w:t>
            </w:r>
          </w:p>
        </w:tc>
        <w:tc>
          <w:tcPr>
            <w:tcW w:w="1820" w:type="dxa"/>
            <w:vAlign w:val="bottom"/>
          </w:tcPr>
          <w:p>
            <w:pPr>
              <w:spacing w:after="0" w:line="180" w:lineRule="exact"/>
              <w:rPr>
                <w:sz w:val="20"/>
                <w:szCs w:val="20"/>
                <w:color w:val="auto"/>
              </w:rPr>
            </w:pPr>
            <w:r>
              <w:rPr>
                <w:rFonts w:ascii="Arial" w:cs="Arial" w:eastAsia="Arial" w:hAnsi="Arial"/>
                <w:sz w:val="17"/>
                <w:szCs w:val="17"/>
                <w:color w:val="auto"/>
              </w:rPr>
              <w:t>For all nominees</w:t>
            </w:r>
          </w:p>
        </w:tc>
      </w:tr>
      <w:tr>
        <w:trPr>
          <w:trHeight w:val="189"/>
        </w:trPr>
        <w:tc>
          <w:tcPr>
            <w:tcW w:w="36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2"/>
          </w:tcPr>
          <w:p>
            <w:pPr>
              <w:spacing w:after="0" w:line="189" w:lineRule="exact"/>
              <w:rPr>
                <w:sz w:val="20"/>
                <w:szCs w:val="20"/>
                <w:color w:val="auto"/>
              </w:rPr>
            </w:pPr>
            <w:r>
              <w:rPr>
                <w:rFonts w:ascii="Arial" w:cs="Arial" w:eastAsia="Arial" w:hAnsi="Arial"/>
                <w:sz w:val="17"/>
                <w:szCs w:val="17"/>
                <w:color w:val="auto"/>
              </w:rPr>
              <w:t>nominee: For, Against or Abstain</w:t>
            </w:r>
          </w:p>
        </w:tc>
        <w:tc>
          <w:tcPr>
            <w:tcW w:w="1820" w:type="dxa"/>
            <w:vAlign w:val="bottom"/>
          </w:tcPr>
          <w:p>
            <w:pPr>
              <w:spacing w:after="0"/>
              <w:rPr>
                <w:sz w:val="16"/>
                <w:szCs w:val="16"/>
                <w:color w:val="auto"/>
              </w:rPr>
            </w:pPr>
          </w:p>
        </w:tc>
      </w:tr>
      <w:tr>
        <w:trPr>
          <w:trHeight w:val="297"/>
        </w:trPr>
        <w:tc>
          <w:tcPr>
            <w:tcW w:w="662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Item 2 – Advisory Vote to Approve Executive Compensation</w:t>
            </w:r>
          </w:p>
        </w:tc>
        <w:tc>
          <w:tcPr>
            <w:tcW w:w="120" w:type="dxa"/>
            <w:vAlign w:val="bottom"/>
            <w:shd w:val="clear" w:color="auto" w:fill="D8D8D8"/>
          </w:tcPr>
          <w:p>
            <w:pPr>
              <w:spacing w:after="0"/>
              <w:rPr>
                <w:sz w:val="24"/>
                <w:szCs w:val="24"/>
                <w:color w:val="auto"/>
              </w:rPr>
            </w:pPr>
          </w:p>
        </w:tc>
        <w:tc>
          <w:tcPr>
            <w:tcW w:w="286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For</w:t>
            </w:r>
          </w:p>
        </w:tc>
        <w:tc>
          <w:tcPr>
            <w:tcW w:w="1820" w:type="dxa"/>
            <w:vAlign w:val="bottom"/>
            <w:shd w:val="clear" w:color="auto" w:fill="D8D8D8"/>
          </w:tcPr>
          <w:p>
            <w:pPr>
              <w:spacing w:after="0"/>
              <w:rPr>
                <w:sz w:val="20"/>
                <w:szCs w:val="20"/>
                <w:color w:val="auto"/>
              </w:rPr>
            </w:pPr>
            <w:r>
              <w:rPr>
                <w:rFonts w:ascii="Arial" w:cs="Arial" w:eastAsia="Arial" w:hAnsi="Arial"/>
                <w:sz w:val="17"/>
                <w:szCs w:val="17"/>
                <w:color w:val="auto"/>
              </w:rPr>
              <w:t>For</w:t>
            </w:r>
          </w:p>
        </w:tc>
      </w:tr>
      <w:tr>
        <w:trPr>
          <w:trHeight w:val="192"/>
        </w:trPr>
        <w:tc>
          <w:tcPr>
            <w:tcW w:w="360" w:type="dxa"/>
            <w:vAlign w:val="bottom"/>
            <w:shd w:val="clear" w:color="auto" w:fill="D8D8D8"/>
          </w:tcPr>
          <w:p>
            <w:pPr>
              <w:spacing w:after="0"/>
              <w:rPr>
                <w:sz w:val="16"/>
                <w:szCs w:val="16"/>
                <w:color w:val="auto"/>
              </w:rPr>
            </w:pPr>
          </w:p>
        </w:tc>
        <w:tc>
          <w:tcPr>
            <w:tcW w:w="6260" w:type="dxa"/>
            <w:vAlign w:val="bottom"/>
            <w:shd w:val="clear" w:color="auto" w:fill="D8D8D8"/>
          </w:tcPr>
          <w:p>
            <w:pPr>
              <w:spacing w:after="0"/>
              <w:rPr>
                <w:sz w:val="16"/>
                <w:szCs w:val="16"/>
                <w:color w:val="auto"/>
              </w:rPr>
            </w:pPr>
          </w:p>
        </w:tc>
        <w:tc>
          <w:tcPr>
            <w:tcW w:w="120" w:type="dxa"/>
            <w:vAlign w:val="bottom"/>
            <w:shd w:val="clear" w:color="auto" w:fill="D8D8D8"/>
          </w:tcPr>
          <w:p>
            <w:pPr>
              <w:spacing w:after="0"/>
              <w:rPr>
                <w:sz w:val="16"/>
                <w:szCs w:val="16"/>
                <w:color w:val="auto"/>
              </w:rPr>
            </w:pPr>
          </w:p>
        </w:tc>
        <w:tc>
          <w:tcPr>
            <w:tcW w:w="28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Against</w:t>
            </w:r>
          </w:p>
        </w:tc>
        <w:tc>
          <w:tcPr>
            <w:tcW w:w="1820" w:type="dxa"/>
            <w:vAlign w:val="bottom"/>
            <w:shd w:val="clear" w:color="auto" w:fill="D8D8D8"/>
          </w:tcPr>
          <w:p>
            <w:pPr>
              <w:spacing w:after="0"/>
              <w:rPr>
                <w:sz w:val="16"/>
                <w:szCs w:val="16"/>
                <w:color w:val="auto"/>
              </w:rPr>
            </w:pPr>
          </w:p>
        </w:tc>
      </w:tr>
      <w:tr>
        <w:trPr>
          <w:trHeight w:val="202"/>
        </w:trPr>
        <w:tc>
          <w:tcPr>
            <w:tcW w:w="360" w:type="dxa"/>
            <w:vAlign w:val="bottom"/>
            <w:shd w:val="clear" w:color="auto" w:fill="D8D8D8"/>
          </w:tcPr>
          <w:p>
            <w:pPr>
              <w:spacing w:after="0"/>
              <w:rPr>
                <w:sz w:val="17"/>
                <w:szCs w:val="17"/>
                <w:color w:val="auto"/>
              </w:rPr>
            </w:pPr>
          </w:p>
        </w:tc>
        <w:tc>
          <w:tcPr>
            <w:tcW w:w="626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286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Abstain</w:t>
            </w:r>
          </w:p>
        </w:tc>
        <w:tc>
          <w:tcPr>
            <w:tcW w:w="1820" w:type="dxa"/>
            <w:vAlign w:val="bottom"/>
            <w:shd w:val="clear" w:color="auto" w:fill="D8D8D8"/>
          </w:tcPr>
          <w:p>
            <w:pPr>
              <w:spacing w:after="0"/>
              <w:rPr>
                <w:sz w:val="17"/>
                <w:szCs w:val="17"/>
                <w:color w:val="auto"/>
              </w:rPr>
            </w:pPr>
          </w:p>
        </w:tc>
      </w:tr>
      <w:tr>
        <w:trPr>
          <w:trHeight w:val="297"/>
        </w:trPr>
        <w:tc>
          <w:tcPr>
            <w:tcW w:w="6620" w:type="dxa"/>
            <w:vAlign w:val="bottom"/>
            <w:gridSpan w:val="2"/>
          </w:tcPr>
          <w:p>
            <w:pPr>
              <w:spacing w:after="0"/>
              <w:rPr>
                <w:sz w:val="20"/>
                <w:szCs w:val="20"/>
                <w:color w:val="auto"/>
              </w:rPr>
            </w:pPr>
            <w:r>
              <w:rPr>
                <w:rFonts w:ascii="Arial" w:cs="Arial" w:eastAsia="Arial" w:hAnsi="Arial"/>
                <w:sz w:val="17"/>
                <w:szCs w:val="17"/>
                <w:color w:val="auto"/>
              </w:rPr>
              <w:t>Item 3 – Approval of Amendment to Amended and Restated Articles of Incorporation to</w:t>
            </w:r>
          </w:p>
        </w:tc>
        <w:tc>
          <w:tcPr>
            <w:tcW w:w="12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7"/>
                <w:szCs w:val="17"/>
                <w:color w:val="auto"/>
              </w:rPr>
              <w:t>For</w:t>
            </w:r>
          </w:p>
        </w:tc>
        <w:tc>
          <w:tcPr>
            <w:tcW w:w="1820" w:type="dxa"/>
            <w:vAlign w:val="bottom"/>
          </w:tcPr>
          <w:p>
            <w:pPr>
              <w:spacing w:after="0"/>
              <w:rPr>
                <w:sz w:val="20"/>
                <w:szCs w:val="20"/>
                <w:color w:val="auto"/>
              </w:rPr>
            </w:pPr>
            <w:r>
              <w:rPr>
                <w:rFonts w:ascii="Arial" w:cs="Arial" w:eastAsia="Arial" w:hAnsi="Arial"/>
                <w:sz w:val="17"/>
                <w:szCs w:val="17"/>
                <w:color w:val="auto"/>
              </w:rPr>
              <w:t>For</w:t>
            </w:r>
          </w:p>
        </w:tc>
      </w:tr>
      <w:tr>
        <w:trPr>
          <w:trHeight w:val="192"/>
        </w:trPr>
        <w:tc>
          <w:tcPr>
            <w:tcW w:w="6620" w:type="dxa"/>
            <w:vAlign w:val="bottom"/>
            <w:gridSpan w:val="2"/>
          </w:tcPr>
          <w:p>
            <w:pPr>
              <w:spacing w:after="0" w:line="192" w:lineRule="exact"/>
              <w:rPr>
                <w:sz w:val="20"/>
                <w:szCs w:val="20"/>
                <w:color w:val="auto"/>
              </w:rPr>
            </w:pPr>
            <w:r>
              <w:rPr>
                <w:rFonts w:ascii="Arial" w:cs="Arial" w:eastAsia="Arial" w:hAnsi="Arial"/>
                <w:sz w:val="17"/>
                <w:szCs w:val="17"/>
                <w:color w:val="auto"/>
              </w:rPr>
              <w:t>Change Company Name</w:t>
            </w:r>
          </w:p>
        </w:tc>
        <w:tc>
          <w:tcPr>
            <w:tcW w:w="120" w:type="dxa"/>
            <w:vAlign w:val="bottom"/>
          </w:tcPr>
          <w:p>
            <w:pPr>
              <w:spacing w:after="0"/>
              <w:rPr>
                <w:sz w:val="16"/>
                <w:szCs w:val="16"/>
                <w:color w:val="auto"/>
              </w:rPr>
            </w:pPr>
          </w:p>
        </w:tc>
        <w:tc>
          <w:tcPr>
            <w:tcW w:w="2860" w:type="dxa"/>
            <w:vAlign w:val="bottom"/>
            <w:gridSpan w:val="2"/>
          </w:tcPr>
          <w:p>
            <w:pPr>
              <w:spacing w:after="0" w:line="192" w:lineRule="exact"/>
              <w:rPr>
                <w:sz w:val="20"/>
                <w:szCs w:val="20"/>
                <w:color w:val="auto"/>
              </w:rPr>
            </w:pPr>
            <w:r>
              <w:rPr>
                <w:rFonts w:ascii="Arial" w:cs="Arial" w:eastAsia="Arial" w:hAnsi="Arial"/>
                <w:sz w:val="17"/>
                <w:szCs w:val="17"/>
                <w:color w:val="auto"/>
              </w:rPr>
              <w:t>Against</w:t>
            </w:r>
          </w:p>
        </w:tc>
        <w:tc>
          <w:tcPr>
            <w:tcW w:w="1820" w:type="dxa"/>
            <w:vAlign w:val="bottom"/>
          </w:tcPr>
          <w:p>
            <w:pPr>
              <w:spacing w:after="0"/>
              <w:rPr>
                <w:sz w:val="16"/>
                <w:szCs w:val="16"/>
                <w:color w:val="auto"/>
              </w:rPr>
            </w:pPr>
          </w:p>
        </w:tc>
      </w:tr>
      <w:tr>
        <w:trPr>
          <w:trHeight w:val="201"/>
        </w:trPr>
        <w:tc>
          <w:tcPr>
            <w:tcW w:w="3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Arial" w:cs="Arial" w:eastAsia="Arial" w:hAnsi="Arial"/>
                <w:sz w:val="17"/>
                <w:szCs w:val="17"/>
                <w:color w:val="auto"/>
              </w:rPr>
              <w:t>Abstain</w:t>
            </w:r>
          </w:p>
        </w:tc>
        <w:tc>
          <w:tcPr>
            <w:tcW w:w="1820" w:type="dxa"/>
            <w:vAlign w:val="bottom"/>
          </w:tcPr>
          <w:p>
            <w:pPr>
              <w:spacing w:after="0"/>
              <w:rPr>
                <w:sz w:val="17"/>
                <w:szCs w:val="17"/>
                <w:color w:val="auto"/>
              </w:rPr>
            </w:pPr>
          </w:p>
        </w:tc>
      </w:tr>
      <w:tr>
        <w:trPr>
          <w:trHeight w:val="298"/>
        </w:trPr>
        <w:tc>
          <w:tcPr>
            <w:tcW w:w="6620" w:type="dxa"/>
            <w:vAlign w:val="bottom"/>
            <w:gridSpan w:val="2"/>
            <w:shd w:val="clear" w:color="auto" w:fill="D8D8D8"/>
          </w:tcPr>
          <w:p>
            <w:pPr>
              <w:spacing w:after="0"/>
              <w:rPr>
                <w:sz w:val="20"/>
                <w:szCs w:val="20"/>
                <w:color w:val="auto"/>
              </w:rPr>
            </w:pPr>
            <w:r>
              <w:rPr>
                <w:rFonts w:ascii="Arial" w:cs="Arial" w:eastAsia="Arial" w:hAnsi="Arial"/>
                <w:sz w:val="17"/>
                <w:szCs w:val="17"/>
                <w:color w:val="auto"/>
                <w:w w:val="98"/>
              </w:rPr>
              <w:t>Item 4 – Ratification of the Selection of PricewaterhouseCoopers LLP as our Independent</w:t>
            </w:r>
          </w:p>
        </w:tc>
        <w:tc>
          <w:tcPr>
            <w:tcW w:w="120" w:type="dxa"/>
            <w:vAlign w:val="bottom"/>
            <w:shd w:val="clear" w:color="auto" w:fill="D8D8D8"/>
          </w:tcPr>
          <w:p>
            <w:pPr>
              <w:spacing w:after="0"/>
              <w:rPr>
                <w:sz w:val="24"/>
                <w:szCs w:val="24"/>
                <w:color w:val="auto"/>
              </w:rPr>
            </w:pPr>
          </w:p>
        </w:tc>
        <w:tc>
          <w:tcPr>
            <w:tcW w:w="286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For</w:t>
            </w:r>
          </w:p>
        </w:tc>
        <w:tc>
          <w:tcPr>
            <w:tcW w:w="1820" w:type="dxa"/>
            <w:vAlign w:val="bottom"/>
            <w:shd w:val="clear" w:color="auto" w:fill="D8D8D8"/>
          </w:tcPr>
          <w:p>
            <w:pPr>
              <w:spacing w:after="0"/>
              <w:rPr>
                <w:sz w:val="20"/>
                <w:szCs w:val="20"/>
                <w:color w:val="auto"/>
              </w:rPr>
            </w:pPr>
            <w:r>
              <w:rPr>
                <w:rFonts w:ascii="Arial" w:cs="Arial" w:eastAsia="Arial" w:hAnsi="Arial"/>
                <w:sz w:val="17"/>
                <w:szCs w:val="17"/>
                <w:color w:val="auto"/>
              </w:rPr>
              <w:t>For</w:t>
            </w:r>
          </w:p>
        </w:tc>
      </w:tr>
      <w:tr>
        <w:trPr>
          <w:trHeight w:val="192"/>
        </w:trPr>
        <w:tc>
          <w:tcPr>
            <w:tcW w:w="662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Auditors for 2012</w:t>
            </w:r>
          </w:p>
        </w:tc>
        <w:tc>
          <w:tcPr>
            <w:tcW w:w="120" w:type="dxa"/>
            <w:vAlign w:val="bottom"/>
            <w:shd w:val="clear" w:color="auto" w:fill="D8D8D8"/>
          </w:tcPr>
          <w:p>
            <w:pPr>
              <w:spacing w:after="0"/>
              <w:rPr>
                <w:sz w:val="16"/>
                <w:szCs w:val="16"/>
                <w:color w:val="auto"/>
              </w:rPr>
            </w:pPr>
          </w:p>
        </w:tc>
        <w:tc>
          <w:tcPr>
            <w:tcW w:w="28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Against</w:t>
            </w:r>
          </w:p>
        </w:tc>
        <w:tc>
          <w:tcPr>
            <w:tcW w:w="1820" w:type="dxa"/>
            <w:vAlign w:val="bottom"/>
            <w:shd w:val="clear" w:color="auto" w:fill="D8D8D8"/>
          </w:tcPr>
          <w:p>
            <w:pPr>
              <w:spacing w:after="0"/>
              <w:rPr>
                <w:sz w:val="16"/>
                <w:szCs w:val="16"/>
                <w:color w:val="auto"/>
              </w:rPr>
            </w:pPr>
          </w:p>
        </w:tc>
      </w:tr>
      <w:tr>
        <w:trPr>
          <w:trHeight w:val="202"/>
        </w:trPr>
        <w:tc>
          <w:tcPr>
            <w:tcW w:w="360" w:type="dxa"/>
            <w:vAlign w:val="bottom"/>
            <w:shd w:val="clear" w:color="auto" w:fill="D8D8D8"/>
          </w:tcPr>
          <w:p>
            <w:pPr>
              <w:spacing w:after="0"/>
              <w:rPr>
                <w:sz w:val="17"/>
                <w:szCs w:val="17"/>
                <w:color w:val="auto"/>
              </w:rPr>
            </w:pPr>
          </w:p>
        </w:tc>
        <w:tc>
          <w:tcPr>
            <w:tcW w:w="626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286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Abstain</w:t>
            </w:r>
          </w:p>
        </w:tc>
        <w:tc>
          <w:tcPr>
            <w:tcW w:w="1820" w:type="dxa"/>
            <w:vAlign w:val="bottom"/>
            <w:shd w:val="clear" w:color="auto" w:fill="D8D8D8"/>
          </w:tcPr>
          <w:p>
            <w:pPr>
              <w:spacing w:after="0"/>
              <w:rPr>
                <w:sz w:val="17"/>
                <w:szCs w:val="17"/>
                <w:color w:val="auto"/>
              </w:rPr>
            </w:pPr>
          </w:p>
        </w:tc>
      </w:tr>
      <w:tr>
        <w:trPr>
          <w:trHeight w:val="297"/>
        </w:trPr>
        <w:tc>
          <w:tcPr>
            <w:tcW w:w="6620" w:type="dxa"/>
            <w:vAlign w:val="bottom"/>
            <w:gridSpan w:val="2"/>
          </w:tcPr>
          <w:p>
            <w:pPr>
              <w:spacing w:after="0"/>
              <w:rPr>
                <w:sz w:val="20"/>
                <w:szCs w:val="20"/>
                <w:color w:val="auto"/>
              </w:rPr>
            </w:pPr>
            <w:r>
              <w:rPr>
                <w:rFonts w:ascii="Arial" w:cs="Arial" w:eastAsia="Arial" w:hAnsi="Arial"/>
                <w:sz w:val="17"/>
                <w:szCs w:val="17"/>
                <w:color w:val="auto"/>
              </w:rPr>
              <w:t>Item 5 – Shareholder Proposal: Sustainable Forestry Report</w:t>
            </w:r>
          </w:p>
        </w:tc>
        <w:tc>
          <w:tcPr>
            <w:tcW w:w="12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7"/>
                <w:szCs w:val="17"/>
                <w:color w:val="auto"/>
              </w:rPr>
              <w:t>For</w:t>
            </w:r>
          </w:p>
        </w:tc>
        <w:tc>
          <w:tcPr>
            <w:tcW w:w="1820" w:type="dxa"/>
            <w:vAlign w:val="bottom"/>
          </w:tcPr>
          <w:p>
            <w:pPr>
              <w:spacing w:after="0"/>
              <w:rPr>
                <w:sz w:val="20"/>
                <w:szCs w:val="20"/>
                <w:color w:val="auto"/>
              </w:rPr>
            </w:pPr>
            <w:r>
              <w:rPr>
                <w:rFonts w:ascii="Arial" w:cs="Arial" w:eastAsia="Arial" w:hAnsi="Arial"/>
                <w:sz w:val="17"/>
                <w:szCs w:val="17"/>
                <w:color w:val="auto"/>
              </w:rPr>
              <w:t>Against</w:t>
            </w:r>
          </w:p>
        </w:tc>
      </w:tr>
      <w:tr>
        <w:trPr>
          <w:trHeight w:val="192"/>
        </w:trPr>
        <w:tc>
          <w:tcPr>
            <w:tcW w:w="36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2"/>
          </w:tcPr>
          <w:p>
            <w:pPr>
              <w:spacing w:after="0" w:line="192" w:lineRule="exact"/>
              <w:rPr>
                <w:sz w:val="20"/>
                <w:szCs w:val="20"/>
                <w:color w:val="auto"/>
              </w:rPr>
            </w:pPr>
            <w:r>
              <w:rPr>
                <w:rFonts w:ascii="Arial" w:cs="Arial" w:eastAsia="Arial" w:hAnsi="Arial"/>
                <w:sz w:val="17"/>
                <w:szCs w:val="17"/>
                <w:color w:val="auto"/>
              </w:rPr>
              <w:t>Against</w:t>
            </w:r>
          </w:p>
        </w:tc>
        <w:tc>
          <w:tcPr>
            <w:tcW w:w="1820" w:type="dxa"/>
            <w:vAlign w:val="bottom"/>
          </w:tcPr>
          <w:p>
            <w:pPr>
              <w:spacing w:after="0"/>
              <w:rPr>
                <w:sz w:val="16"/>
                <w:szCs w:val="16"/>
                <w:color w:val="auto"/>
              </w:rPr>
            </w:pPr>
          </w:p>
        </w:tc>
      </w:tr>
      <w:tr>
        <w:trPr>
          <w:trHeight w:val="201"/>
        </w:trPr>
        <w:tc>
          <w:tcPr>
            <w:tcW w:w="3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Arial" w:cs="Arial" w:eastAsia="Arial" w:hAnsi="Arial"/>
                <w:sz w:val="17"/>
                <w:szCs w:val="17"/>
                <w:color w:val="auto"/>
              </w:rPr>
              <w:t>Abstain</w:t>
            </w:r>
          </w:p>
        </w:tc>
        <w:tc>
          <w:tcPr>
            <w:tcW w:w="1820" w:type="dxa"/>
            <w:vAlign w:val="bottom"/>
          </w:tcPr>
          <w:p>
            <w:pPr>
              <w:spacing w:after="0"/>
              <w:rPr>
                <w:sz w:val="17"/>
                <w:szCs w:val="17"/>
                <w:color w:val="auto"/>
              </w:rPr>
            </w:pPr>
          </w:p>
        </w:tc>
      </w:tr>
      <w:tr>
        <w:trPr>
          <w:trHeight w:val="298"/>
        </w:trPr>
        <w:tc>
          <w:tcPr>
            <w:tcW w:w="662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Item 6 – Shareholder Proposal: Extended Producer Responsibility</w:t>
            </w:r>
          </w:p>
        </w:tc>
        <w:tc>
          <w:tcPr>
            <w:tcW w:w="120" w:type="dxa"/>
            <w:vAlign w:val="bottom"/>
            <w:shd w:val="clear" w:color="auto" w:fill="D8D8D8"/>
          </w:tcPr>
          <w:p>
            <w:pPr>
              <w:spacing w:after="0"/>
              <w:rPr>
                <w:sz w:val="24"/>
                <w:szCs w:val="24"/>
                <w:color w:val="auto"/>
              </w:rPr>
            </w:pPr>
          </w:p>
        </w:tc>
        <w:tc>
          <w:tcPr>
            <w:tcW w:w="286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For</w:t>
            </w:r>
          </w:p>
        </w:tc>
        <w:tc>
          <w:tcPr>
            <w:tcW w:w="1820" w:type="dxa"/>
            <w:vAlign w:val="bottom"/>
            <w:shd w:val="clear" w:color="auto" w:fill="D8D8D8"/>
          </w:tcPr>
          <w:p>
            <w:pPr>
              <w:spacing w:after="0"/>
              <w:rPr>
                <w:sz w:val="20"/>
                <w:szCs w:val="20"/>
                <w:color w:val="auto"/>
              </w:rPr>
            </w:pPr>
            <w:r>
              <w:rPr>
                <w:rFonts w:ascii="Arial" w:cs="Arial" w:eastAsia="Arial" w:hAnsi="Arial"/>
                <w:sz w:val="17"/>
                <w:szCs w:val="17"/>
                <w:color w:val="auto"/>
              </w:rPr>
              <w:t>Against</w:t>
            </w:r>
          </w:p>
        </w:tc>
      </w:tr>
      <w:tr>
        <w:trPr>
          <w:trHeight w:val="192"/>
        </w:trPr>
        <w:tc>
          <w:tcPr>
            <w:tcW w:w="360" w:type="dxa"/>
            <w:vAlign w:val="bottom"/>
            <w:shd w:val="clear" w:color="auto" w:fill="D8D8D8"/>
          </w:tcPr>
          <w:p>
            <w:pPr>
              <w:spacing w:after="0"/>
              <w:rPr>
                <w:sz w:val="16"/>
                <w:szCs w:val="16"/>
                <w:color w:val="auto"/>
              </w:rPr>
            </w:pPr>
          </w:p>
        </w:tc>
        <w:tc>
          <w:tcPr>
            <w:tcW w:w="6260" w:type="dxa"/>
            <w:vAlign w:val="bottom"/>
            <w:shd w:val="clear" w:color="auto" w:fill="D8D8D8"/>
          </w:tcPr>
          <w:p>
            <w:pPr>
              <w:spacing w:after="0"/>
              <w:rPr>
                <w:sz w:val="16"/>
                <w:szCs w:val="16"/>
                <w:color w:val="auto"/>
              </w:rPr>
            </w:pPr>
          </w:p>
        </w:tc>
        <w:tc>
          <w:tcPr>
            <w:tcW w:w="120" w:type="dxa"/>
            <w:vAlign w:val="bottom"/>
            <w:shd w:val="clear" w:color="auto" w:fill="D8D8D8"/>
          </w:tcPr>
          <w:p>
            <w:pPr>
              <w:spacing w:after="0"/>
              <w:rPr>
                <w:sz w:val="16"/>
                <w:szCs w:val="16"/>
                <w:color w:val="auto"/>
              </w:rPr>
            </w:pPr>
          </w:p>
        </w:tc>
        <w:tc>
          <w:tcPr>
            <w:tcW w:w="2860" w:type="dxa"/>
            <w:vAlign w:val="bottom"/>
            <w:gridSpan w:val="2"/>
            <w:shd w:val="clear" w:color="auto" w:fill="D8D8D8"/>
          </w:tcPr>
          <w:p>
            <w:pPr>
              <w:spacing w:after="0" w:line="192" w:lineRule="exact"/>
              <w:rPr>
                <w:sz w:val="20"/>
                <w:szCs w:val="20"/>
                <w:color w:val="auto"/>
              </w:rPr>
            </w:pPr>
            <w:r>
              <w:rPr>
                <w:rFonts w:ascii="Arial" w:cs="Arial" w:eastAsia="Arial" w:hAnsi="Arial"/>
                <w:sz w:val="17"/>
                <w:szCs w:val="17"/>
                <w:color w:val="auto"/>
              </w:rPr>
              <w:t>Against</w:t>
            </w:r>
          </w:p>
        </w:tc>
        <w:tc>
          <w:tcPr>
            <w:tcW w:w="1820" w:type="dxa"/>
            <w:vAlign w:val="bottom"/>
            <w:shd w:val="clear" w:color="auto" w:fill="D8D8D8"/>
          </w:tcPr>
          <w:p>
            <w:pPr>
              <w:spacing w:after="0"/>
              <w:rPr>
                <w:sz w:val="16"/>
                <w:szCs w:val="16"/>
                <w:color w:val="auto"/>
              </w:rPr>
            </w:pPr>
          </w:p>
        </w:tc>
      </w:tr>
      <w:tr>
        <w:trPr>
          <w:trHeight w:val="202"/>
        </w:trPr>
        <w:tc>
          <w:tcPr>
            <w:tcW w:w="360" w:type="dxa"/>
            <w:vAlign w:val="bottom"/>
            <w:shd w:val="clear" w:color="auto" w:fill="D8D8D8"/>
          </w:tcPr>
          <w:p>
            <w:pPr>
              <w:spacing w:after="0"/>
              <w:rPr>
                <w:sz w:val="17"/>
                <w:szCs w:val="17"/>
                <w:color w:val="auto"/>
              </w:rPr>
            </w:pPr>
          </w:p>
        </w:tc>
        <w:tc>
          <w:tcPr>
            <w:tcW w:w="626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2860" w:type="dxa"/>
            <w:vAlign w:val="bottom"/>
            <w:gridSpan w:val="2"/>
            <w:shd w:val="clear" w:color="auto" w:fill="D8D8D8"/>
          </w:tcPr>
          <w:p>
            <w:pPr>
              <w:spacing w:after="0"/>
              <w:rPr>
                <w:sz w:val="20"/>
                <w:szCs w:val="20"/>
                <w:color w:val="auto"/>
              </w:rPr>
            </w:pPr>
            <w:r>
              <w:rPr>
                <w:rFonts w:ascii="Arial" w:cs="Arial" w:eastAsia="Arial" w:hAnsi="Arial"/>
                <w:sz w:val="17"/>
                <w:szCs w:val="17"/>
                <w:color w:val="auto"/>
              </w:rPr>
              <w:t>Abstain</w:t>
            </w:r>
          </w:p>
        </w:tc>
        <w:tc>
          <w:tcPr>
            <w:tcW w:w="1820" w:type="dxa"/>
            <w:vAlign w:val="bottom"/>
            <w:shd w:val="clear" w:color="auto" w:fill="D8D8D8"/>
          </w:tcPr>
          <w:p>
            <w:pPr>
              <w:spacing w:after="0"/>
              <w:rPr>
                <w:sz w:val="17"/>
                <w:szCs w:val="17"/>
                <w:color w:val="auto"/>
              </w:rPr>
            </w:pPr>
          </w:p>
        </w:tc>
      </w:tr>
      <w:tr>
        <w:trPr>
          <w:trHeight w:val="297"/>
        </w:trPr>
        <w:tc>
          <w:tcPr>
            <w:tcW w:w="6620" w:type="dxa"/>
            <w:vAlign w:val="bottom"/>
            <w:gridSpan w:val="2"/>
          </w:tcPr>
          <w:p>
            <w:pPr>
              <w:spacing w:after="0"/>
              <w:rPr>
                <w:sz w:val="20"/>
                <w:szCs w:val="20"/>
                <w:color w:val="auto"/>
              </w:rPr>
            </w:pPr>
            <w:r>
              <w:rPr>
                <w:rFonts w:ascii="Arial" w:cs="Arial" w:eastAsia="Arial" w:hAnsi="Arial"/>
                <w:sz w:val="17"/>
                <w:szCs w:val="17"/>
                <w:color w:val="auto"/>
              </w:rPr>
              <w:t>Item 7 – Shareholder Proposal: Report on Lobbying</w:t>
            </w:r>
          </w:p>
        </w:tc>
        <w:tc>
          <w:tcPr>
            <w:tcW w:w="12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7"/>
                <w:szCs w:val="17"/>
                <w:color w:val="auto"/>
              </w:rPr>
              <w:t>For</w:t>
            </w:r>
          </w:p>
        </w:tc>
        <w:tc>
          <w:tcPr>
            <w:tcW w:w="1820" w:type="dxa"/>
            <w:vAlign w:val="bottom"/>
          </w:tcPr>
          <w:p>
            <w:pPr>
              <w:spacing w:after="0"/>
              <w:rPr>
                <w:sz w:val="20"/>
                <w:szCs w:val="20"/>
                <w:color w:val="auto"/>
              </w:rPr>
            </w:pPr>
            <w:r>
              <w:rPr>
                <w:rFonts w:ascii="Arial" w:cs="Arial" w:eastAsia="Arial" w:hAnsi="Arial"/>
                <w:sz w:val="17"/>
                <w:szCs w:val="17"/>
                <w:color w:val="auto"/>
              </w:rPr>
              <w:t>Against</w:t>
            </w:r>
          </w:p>
        </w:tc>
      </w:tr>
      <w:tr>
        <w:trPr>
          <w:trHeight w:val="192"/>
        </w:trPr>
        <w:tc>
          <w:tcPr>
            <w:tcW w:w="36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2"/>
          </w:tcPr>
          <w:p>
            <w:pPr>
              <w:spacing w:after="0" w:line="192" w:lineRule="exact"/>
              <w:rPr>
                <w:sz w:val="20"/>
                <w:szCs w:val="20"/>
                <w:color w:val="auto"/>
              </w:rPr>
            </w:pPr>
            <w:r>
              <w:rPr>
                <w:rFonts w:ascii="Arial" w:cs="Arial" w:eastAsia="Arial" w:hAnsi="Arial"/>
                <w:sz w:val="17"/>
                <w:szCs w:val="17"/>
                <w:color w:val="auto"/>
              </w:rPr>
              <w:t>Against</w:t>
            </w:r>
          </w:p>
        </w:tc>
        <w:tc>
          <w:tcPr>
            <w:tcW w:w="1820" w:type="dxa"/>
            <w:vAlign w:val="bottom"/>
          </w:tcPr>
          <w:p>
            <w:pPr>
              <w:spacing w:after="0"/>
              <w:rPr>
                <w:sz w:val="16"/>
                <w:szCs w:val="16"/>
                <w:color w:val="auto"/>
              </w:rPr>
            </w:pPr>
          </w:p>
        </w:tc>
      </w:tr>
      <w:tr>
        <w:trPr>
          <w:trHeight w:val="200"/>
        </w:trPr>
        <w:tc>
          <w:tcPr>
            <w:tcW w:w="3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Arial" w:cs="Arial" w:eastAsia="Arial" w:hAnsi="Arial"/>
                <w:sz w:val="17"/>
                <w:szCs w:val="17"/>
                <w:color w:val="auto"/>
              </w:rPr>
              <w:t>Abstain</w:t>
            </w:r>
          </w:p>
        </w:tc>
        <w:tc>
          <w:tcPr>
            <w:tcW w:w="1820" w:type="dxa"/>
            <w:vAlign w:val="bottom"/>
          </w:tcPr>
          <w:p>
            <w:pPr>
              <w:spacing w:after="0"/>
              <w:rPr>
                <w:sz w:val="17"/>
                <w:szCs w:val="17"/>
                <w:color w:val="auto"/>
              </w:rPr>
            </w:pPr>
          </w:p>
        </w:tc>
      </w:tr>
    </w:tbl>
    <w:p>
      <w:pPr>
        <w:spacing w:after="0" w:line="176" w:lineRule="exact"/>
        <w:rPr>
          <w:sz w:val="20"/>
          <w:szCs w:val="20"/>
          <w:color w:val="auto"/>
        </w:rPr>
      </w:pPr>
    </w:p>
    <w:p>
      <w:pPr>
        <w:ind w:left="460" w:hanging="458"/>
        <w:spacing w:after="0"/>
        <w:tabs>
          <w:tab w:leader="none" w:pos="460" w:val="left"/>
        </w:tabs>
        <w:numPr>
          <w:ilvl w:val="0"/>
          <w:numId w:val="111"/>
        </w:numPr>
        <w:rPr>
          <w:rFonts w:ascii="Arial" w:cs="Arial" w:eastAsia="Arial" w:hAnsi="Arial"/>
          <w:sz w:val="17"/>
          <w:szCs w:val="17"/>
          <w:b w:val="1"/>
          <w:bCs w:val="1"/>
          <w:color w:val="auto"/>
        </w:rPr>
      </w:pPr>
      <w:r>
        <w:rPr>
          <w:rFonts w:ascii="Arial" w:cs="Arial" w:eastAsia="Arial" w:hAnsi="Arial"/>
          <w:sz w:val="17"/>
          <w:szCs w:val="17"/>
          <w:b w:val="1"/>
          <w:bCs w:val="1"/>
          <w:color w:val="auto"/>
        </w:rPr>
        <w:t>What other matters may arise at the Annual Meeting?</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Other than Items 1 through 7 described in this Proxy Statement, we do not expect any matters to be presented for action at the Annual Meeting. The Chairman of the Annual Meeting may refuse to allow the presentation of a proposal or a nomination for the Board at the Annual Meeting if it is not properly submitted. The requirements for shareholders to properly submit proposals and nominations at the Annual Meeting were described in our 2011 Proxy Statement. They are similar to those described under “2013 Annual Meeting of Shareholders” in this Proxy Statement. If any other matters properly come before the Annual Meeting, your proxy gives authority to the designated proxies to vote on such matters in accordance with their best judgment.</w:t>
      </w:r>
    </w:p>
    <w:p>
      <w:pPr>
        <w:spacing w:after="0" w:line="154" w:lineRule="exact"/>
        <w:rPr>
          <w:sz w:val="20"/>
          <w:szCs w:val="20"/>
          <w:color w:val="auto"/>
        </w:rPr>
      </w:pPr>
    </w:p>
    <w:p>
      <w:pPr>
        <w:ind w:left="560" w:hanging="558"/>
        <w:spacing w:after="0"/>
        <w:tabs>
          <w:tab w:leader="none" w:pos="56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What vote is needed to elect directors?</w:t>
      </w:r>
    </w:p>
    <w:p>
      <w:pPr>
        <w:spacing w:after="0" w:line="170"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Our By-Laws provide that, to be elected at this Annual Meeting, a director nominee must receive more votes FOR than votes AGAINST. Abstentions and broker non-votes are not considered as votes FOR or votes AGAINST the nominees and will have no effect on the election of directors.</w:t>
      </w:r>
    </w:p>
    <w:p>
      <w:pPr>
        <w:spacing w:after="0" w:line="145" w:lineRule="exact"/>
        <w:rPr>
          <w:sz w:val="20"/>
          <w:szCs w:val="20"/>
          <w:color w:val="auto"/>
        </w:rPr>
      </w:pPr>
    </w:p>
    <w:p>
      <w:pPr>
        <w:ind w:right="480"/>
        <w:spacing w:after="0" w:line="241" w:lineRule="auto"/>
        <w:rPr>
          <w:sz w:val="20"/>
          <w:szCs w:val="20"/>
          <w:color w:val="auto"/>
        </w:rPr>
      </w:pPr>
      <w:r>
        <w:rPr>
          <w:rFonts w:ascii="Arial" w:cs="Arial" w:eastAsia="Arial" w:hAnsi="Arial"/>
          <w:sz w:val="17"/>
          <w:szCs w:val="17"/>
          <w:color w:val="auto"/>
        </w:rPr>
        <w:t>Under our By-Laws and Guidelines and in accordance with Virginia law, in an uncontested election, if an incumbent director nominated for re-election receives a greater number of votes AGAINST than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444" w:right="2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votes FOR, the director must tender his or her resignation to the Governance, Membership and Public Affairs Committee for its consideration following certification of the election results. The Governance, Membership and Public Affairs Committee then recommends to the Board whether to accept the resignation. The director will continue to serve until the Board decides whether to accept the resignation, but will not participate in the Committee’s recommendation or the Board’s action regarding whether to accept the resignation offer. The Board will publicly disclose its decision and rationale within 90 days after certification of the election results. If the Board does not accept the director’s resignation, the director will continue to serve until the next annual meeting of shareholders or until the director’s successor is duly elected and qualified.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In contested elections, the voting standard is a plurality of votes cast.</w:t>
      </w:r>
    </w:p>
    <w:p>
      <w:pPr>
        <w:spacing w:after="0" w:line="168" w:lineRule="exact"/>
        <w:rPr>
          <w:sz w:val="20"/>
          <w:szCs w:val="20"/>
          <w:color w:val="auto"/>
        </w:rPr>
      </w:pPr>
    </w:p>
    <w:p>
      <w:pPr>
        <w:ind w:left="680" w:hanging="678"/>
        <w:spacing w:after="0"/>
        <w:tabs>
          <w:tab w:leader="none" w:pos="680"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color w:val="auto"/>
        </w:rPr>
        <w:t>What vote is needed to approve the other items?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Item 3 – Amendment to Amended and Restated Articles of Incorporation</w:t>
      </w:r>
    </w:p>
    <w:p>
      <w:pPr>
        <w:spacing w:after="0" w:line="16" w:lineRule="exact"/>
        <w:rPr>
          <w:sz w:val="20"/>
          <w:szCs w:val="20"/>
          <w:color w:val="auto"/>
        </w:rPr>
      </w:pPr>
    </w:p>
    <w:p>
      <w:pPr>
        <w:jc w:val="both"/>
        <w:ind w:right="120"/>
        <w:spacing w:after="0" w:line="239" w:lineRule="auto"/>
        <w:rPr>
          <w:sz w:val="20"/>
          <w:szCs w:val="20"/>
          <w:color w:val="auto"/>
        </w:rPr>
      </w:pPr>
      <w:r>
        <w:rPr>
          <w:rFonts w:ascii="Arial" w:cs="Arial" w:eastAsia="Arial" w:hAnsi="Arial"/>
          <w:sz w:val="17"/>
          <w:szCs w:val="17"/>
          <w:color w:val="auto"/>
        </w:rPr>
        <w:t xml:space="preserve">Approval of the amendment to the Amended and Restated Articles of Incorporation to change the name of the corporation requires the favorable vote of </w:t>
      </w:r>
      <w:r>
        <w:rPr>
          <w:rFonts w:ascii="Arial" w:cs="Arial" w:eastAsia="Arial" w:hAnsi="Arial"/>
          <w:sz w:val="17"/>
          <w:szCs w:val="17"/>
          <w:u w:val="single" w:color="auto"/>
          <w:color w:val="auto"/>
        </w:rPr>
        <w:t>a</w:t>
      </w:r>
      <w:r>
        <w:rPr>
          <w:rFonts w:ascii="Arial" w:cs="Arial" w:eastAsia="Arial" w:hAnsi="Arial"/>
          <w:sz w:val="17"/>
          <w:szCs w:val="17"/>
          <w:color w:val="auto"/>
        </w:rPr>
        <w:t xml:space="preserve"> </w:t>
      </w:r>
      <w:r>
        <w:rPr>
          <w:rFonts w:ascii="Arial" w:cs="Arial" w:eastAsia="Arial" w:hAnsi="Arial"/>
          <w:sz w:val="17"/>
          <w:szCs w:val="17"/>
          <w:u w:val="single" w:color="auto"/>
          <w:color w:val="auto"/>
        </w:rPr>
        <w:t>majority of shares outstanding and entitled to vote</w:t>
      </w:r>
      <w:r>
        <w:rPr>
          <w:rFonts w:ascii="Arial" w:cs="Arial" w:eastAsia="Arial" w:hAnsi="Arial"/>
          <w:sz w:val="17"/>
          <w:szCs w:val="17"/>
          <w:color w:val="auto"/>
        </w:rPr>
        <w:t xml:space="preserve">. If you do not vote your shares, or you vote but abstain from voting on this item, this has the effect of a vote </w:t>
      </w:r>
      <w:r>
        <w:rPr>
          <w:rFonts w:ascii="Arial" w:cs="Arial" w:eastAsia="Arial" w:hAnsi="Arial"/>
          <w:sz w:val="17"/>
          <w:szCs w:val="17"/>
          <w:i w:val="1"/>
          <w:iCs w:val="1"/>
          <w:color w:val="auto"/>
        </w:rPr>
        <w:t>against</w:t>
      </w:r>
      <w:r>
        <w:rPr>
          <w:rFonts w:ascii="Arial" w:cs="Arial" w:eastAsia="Arial" w:hAnsi="Arial"/>
          <w:sz w:val="17"/>
          <w:szCs w:val="17"/>
          <w:color w:val="auto"/>
        </w:rPr>
        <w:t xml:space="preserve">. Broker non-votes also have the effect of votes </w:t>
      </w:r>
      <w:r>
        <w:rPr>
          <w:rFonts w:ascii="Arial" w:cs="Arial" w:eastAsia="Arial" w:hAnsi="Arial"/>
          <w:sz w:val="17"/>
          <w:szCs w:val="17"/>
          <w:i w:val="1"/>
          <w:iCs w:val="1"/>
          <w:color w:val="auto"/>
        </w:rPr>
        <w:t>against</w:t>
      </w:r>
      <w:r>
        <w:rPr>
          <w:rFonts w:ascii="Arial" w:cs="Arial" w:eastAsia="Arial" w:hAnsi="Arial"/>
          <w:sz w:val="17"/>
          <w:szCs w:val="17"/>
          <w:color w:val="auto"/>
        </w:rPr>
        <w:t>. See Question 13 below for an explanation of “broker non-votes.”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Items</w:t>
      </w:r>
    </w:p>
    <w:p>
      <w:pPr>
        <w:spacing w:after="0" w:line="16"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 xml:space="preserve">Approval of each of Item 2 (Advisory Vote on Executive Compensation), Item 4 (Ratification of the Selection of the Independent Auditors) and Items 5, 6 and 7 (Shareholder Proposals), requires the favorable vote of </w:t>
      </w:r>
      <w:r>
        <w:rPr>
          <w:rFonts w:ascii="Arial" w:cs="Arial" w:eastAsia="Arial" w:hAnsi="Arial"/>
          <w:sz w:val="17"/>
          <w:szCs w:val="17"/>
          <w:u w:val="single" w:color="auto"/>
          <w:color w:val="auto"/>
        </w:rPr>
        <w:t>a majority of votes cast</w:t>
      </w:r>
      <w:r>
        <w:rPr>
          <w:rFonts w:ascii="Arial" w:cs="Arial" w:eastAsia="Arial" w:hAnsi="Arial"/>
          <w:sz w:val="17"/>
          <w:szCs w:val="17"/>
          <w:color w:val="auto"/>
        </w:rPr>
        <w:t>. Abstentions and broker non-votes are not considered as votes cast and will have no effect on the matter.</w:t>
      </w:r>
    </w:p>
    <w:p>
      <w:pPr>
        <w:spacing w:after="0" w:line="164" w:lineRule="exact"/>
        <w:rPr>
          <w:sz w:val="20"/>
          <w:szCs w:val="20"/>
          <w:color w:val="auto"/>
        </w:rPr>
      </w:pPr>
    </w:p>
    <w:p>
      <w:pPr>
        <w:ind w:left="680" w:hanging="678"/>
        <w:spacing w:after="0"/>
        <w:tabs>
          <w:tab w:leader="none" w:pos="680"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How do I vote my shares?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If you are a </w:t>
      </w:r>
      <w:r>
        <w:rPr>
          <w:rFonts w:ascii="Arial" w:cs="Arial" w:eastAsia="Arial" w:hAnsi="Arial"/>
          <w:sz w:val="17"/>
          <w:szCs w:val="17"/>
          <w:i w:val="1"/>
          <w:iCs w:val="1"/>
          <w:color w:val="auto"/>
        </w:rPr>
        <w:t>registered shareholder</w:t>
      </w:r>
      <w:r>
        <w:rPr>
          <w:rFonts w:ascii="Arial" w:cs="Arial" w:eastAsia="Arial" w:hAnsi="Arial"/>
          <w:sz w:val="17"/>
          <w:szCs w:val="17"/>
          <w:color w:val="auto"/>
        </w:rPr>
        <w:t>, you may vote:</w:t>
      </w:r>
    </w:p>
    <w:p>
      <w:pPr>
        <w:spacing w:after="0" w:line="73" w:lineRule="exact"/>
        <w:rPr>
          <w:sz w:val="20"/>
          <w:szCs w:val="20"/>
          <w:color w:val="auto"/>
        </w:rPr>
      </w:pPr>
    </w:p>
    <w:p>
      <w:pPr>
        <w:ind w:left="880" w:right="160" w:hanging="315"/>
        <w:spacing w:after="0" w:line="263" w:lineRule="auto"/>
        <w:tabs>
          <w:tab w:leader="none" w:pos="8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via the Internet at </w:t>
      </w:r>
      <w:r>
        <w:rPr>
          <w:rFonts w:ascii="Arial" w:cs="Arial" w:eastAsia="Arial" w:hAnsi="Arial"/>
          <w:sz w:val="17"/>
          <w:szCs w:val="17"/>
          <w:i w:val="1"/>
          <w:iCs w:val="1"/>
          <w:u w:val="single" w:color="auto"/>
          <w:color w:val="auto"/>
        </w:rPr>
        <w:t>www.eproxy.com/kft</w:t>
      </w:r>
      <w:r>
        <w:rPr>
          <w:rFonts w:ascii="Arial" w:cs="Arial" w:eastAsia="Arial" w:hAnsi="Arial"/>
          <w:sz w:val="17"/>
          <w:szCs w:val="17"/>
          <w:color w:val="auto"/>
        </w:rPr>
        <w:t>. The Internet voting system will be available 24 hours a day until 11:59 p.m. CDT on Tuesday, May 22, 2012;</w:t>
      </w:r>
    </w:p>
    <w:p>
      <w:pPr>
        <w:spacing w:after="0" w:line="50" w:lineRule="exact"/>
        <w:rPr>
          <w:rFonts w:ascii="Arial" w:cs="Arial" w:eastAsia="Arial" w:hAnsi="Arial"/>
          <w:sz w:val="17"/>
          <w:szCs w:val="17"/>
          <w:color w:val="auto"/>
        </w:rPr>
      </w:pPr>
    </w:p>
    <w:p>
      <w:pPr>
        <w:ind w:left="880" w:right="640" w:hanging="315"/>
        <w:spacing w:after="0" w:line="241" w:lineRule="auto"/>
        <w:tabs>
          <w:tab w:leader="none" w:pos="8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by telephone, if you are located within the United States and Canada. Call 1-800-560-1965 (toll-free) from a touch-tone telephone. The telephone voting system will be available 24 hours a day until 11:59 p.m. CDT on Tuesday, May 22, 2012;</w:t>
      </w:r>
    </w:p>
    <w:p>
      <w:pPr>
        <w:spacing w:after="0" w:line="67" w:lineRule="exact"/>
        <w:rPr>
          <w:rFonts w:ascii="Arial" w:cs="Arial" w:eastAsia="Arial" w:hAnsi="Arial"/>
          <w:sz w:val="17"/>
          <w:szCs w:val="17"/>
          <w:color w:val="auto"/>
        </w:rPr>
      </w:pPr>
    </w:p>
    <w:p>
      <w:pPr>
        <w:ind w:left="880" w:right="320" w:hanging="315"/>
        <w:spacing w:after="0" w:line="241" w:lineRule="auto"/>
        <w:tabs>
          <w:tab w:leader="none" w:pos="8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by returning a properly executed proxy card. We must receive your proxy card before the polls close at the Annual Meeting on Wednesday, May 23, 2012; or</w:t>
      </w:r>
    </w:p>
    <w:p>
      <w:pPr>
        <w:spacing w:after="0" w:line="67" w:lineRule="exact"/>
        <w:rPr>
          <w:rFonts w:ascii="Arial" w:cs="Arial" w:eastAsia="Arial" w:hAnsi="Arial"/>
          <w:sz w:val="17"/>
          <w:szCs w:val="17"/>
          <w:color w:val="auto"/>
        </w:rPr>
      </w:pPr>
    </w:p>
    <w:p>
      <w:pPr>
        <w:ind w:left="880" w:right="320" w:hanging="315"/>
        <w:spacing w:after="0" w:line="241" w:lineRule="auto"/>
        <w:tabs>
          <w:tab w:leader="none" w:pos="8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 person at the Annual Meeting. Please pre-register to attend the Annual Meeting by following the pre-registration instructions described in Question 24 below.</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If you hold your shares in </w:t>
      </w:r>
      <w:r>
        <w:rPr>
          <w:rFonts w:ascii="Arial" w:cs="Arial" w:eastAsia="Arial" w:hAnsi="Arial"/>
          <w:sz w:val="17"/>
          <w:szCs w:val="17"/>
          <w:i w:val="1"/>
          <w:iCs w:val="1"/>
          <w:color w:val="auto"/>
        </w:rPr>
        <w:t>street name</w:t>
      </w:r>
      <w:r>
        <w:rPr>
          <w:rFonts w:ascii="Arial" w:cs="Arial" w:eastAsia="Arial" w:hAnsi="Arial"/>
          <w:sz w:val="17"/>
          <w:szCs w:val="17"/>
          <w:color w:val="auto"/>
        </w:rPr>
        <w:t>, you may vote:</w:t>
      </w:r>
    </w:p>
    <w:p>
      <w:pPr>
        <w:spacing w:after="0" w:line="73" w:lineRule="exact"/>
        <w:rPr>
          <w:sz w:val="20"/>
          <w:szCs w:val="20"/>
          <w:color w:val="auto"/>
        </w:rPr>
      </w:pPr>
    </w:p>
    <w:p>
      <w:pPr>
        <w:ind w:left="880" w:right="60" w:hanging="315"/>
        <w:spacing w:after="0" w:line="263" w:lineRule="auto"/>
        <w:tabs>
          <w:tab w:leader="none" w:pos="88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via the Internet at </w:t>
      </w:r>
      <w:r>
        <w:rPr>
          <w:rFonts w:ascii="Arial" w:cs="Arial" w:eastAsia="Arial" w:hAnsi="Arial"/>
          <w:sz w:val="17"/>
          <w:szCs w:val="17"/>
          <w:i w:val="1"/>
          <w:iCs w:val="1"/>
          <w:u w:val="single" w:color="auto"/>
          <w:color w:val="auto"/>
        </w:rPr>
        <w:t>www.proxyvote.com</w:t>
      </w:r>
      <w:r>
        <w:rPr>
          <w:rFonts w:ascii="Arial" w:cs="Arial" w:eastAsia="Arial" w:hAnsi="Arial"/>
          <w:sz w:val="17"/>
          <w:szCs w:val="17"/>
          <w:color w:val="auto"/>
        </w:rPr>
        <w:t xml:space="preserve"> (12-digit control number is required), by telephone or by returning a properly executed voting instruction form by mail, depending upon the method(s) your broker, bank or other nominee makes available; or</w:t>
      </w:r>
    </w:p>
    <w:p>
      <w:pPr>
        <w:spacing w:after="0" w:line="50" w:lineRule="exact"/>
        <w:rPr>
          <w:rFonts w:ascii="Arial" w:cs="Arial" w:eastAsia="Arial" w:hAnsi="Arial"/>
          <w:sz w:val="17"/>
          <w:szCs w:val="17"/>
          <w:color w:val="auto"/>
        </w:rPr>
      </w:pPr>
    </w:p>
    <w:p>
      <w:pPr>
        <w:ind w:left="880" w:hanging="315"/>
        <w:spacing w:after="0" w:line="271" w:lineRule="auto"/>
        <w:tabs>
          <w:tab w:leader="none" w:pos="88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in person at the Annual Meeting. To do so, you must request a legal proxy from your broker, bank or other nominee and present it at the Annual Meeting. Please pre-register to attend the Annual Meeting by following the pre-registration instructions described in Question 24 below.</w:t>
      </w:r>
    </w:p>
    <w:p>
      <w:pPr>
        <w:spacing w:after="0" w:line="140" w:lineRule="exact"/>
        <w:rPr>
          <w:rFonts w:ascii="Arial" w:cs="Arial" w:eastAsia="Arial" w:hAnsi="Arial"/>
          <w:sz w:val="16"/>
          <w:szCs w:val="16"/>
          <w:color w:val="auto"/>
        </w:rPr>
      </w:pPr>
    </w:p>
    <w:p>
      <w:pPr>
        <w:ind w:left="680" w:hanging="678"/>
        <w:spacing w:after="0"/>
        <w:tabs>
          <w:tab w:leader="none" w:pos="680"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What are broker non-votes?</w:t>
      </w:r>
    </w:p>
    <w:p>
      <w:pPr>
        <w:spacing w:after="0" w:line="170"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As described above in Question 4, if you hold your shares beneficially in street name, your vote instructs your broker, bank or other nominee, as the holder of record, how to vote your shares. Under</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00"/>
          </w:cols>
          <w:pgMar w:left="240" w:top="443" w:right="25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NYSE rules, if you do not provide voting instructions to your broker, bank or other nominee, your nominee has discretion to vote your shares on “routine” matters. The ratification of the selection of the independent auditors (Item 4) is the only item on the agenda for the Annual Meeting that is considered routine. If you do not provide voting instructions and your nominee votes your shares, your shares will be counted toward the quorum for the Annual Meeting and voted on Item 4, but they will not be voted on the other items on the agenda, resulting in “broker non-votes” with respect to those other items.</w:t>
      </w:r>
    </w:p>
    <w:p>
      <w:pPr>
        <w:spacing w:after="0" w:line="151" w:lineRule="exact"/>
        <w:rPr>
          <w:sz w:val="20"/>
          <w:szCs w:val="20"/>
          <w:color w:val="auto"/>
        </w:rPr>
      </w:pPr>
    </w:p>
    <w:p>
      <w:pPr>
        <w:ind w:left="680" w:right="260" w:hanging="678"/>
        <w:spacing w:after="0" w:line="297" w:lineRule="auto"/>
        <w:tabs>
          <w:tab w:leader="none" w:pos="68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I am a current/former Kraft Foods employee and have investments in the Kraft Foods Stock Fund(s) of the Kraft Foods Inc. Thrift/TIP 401(k) Plans(s) and/or the Kraft Foods Canada Optional Pension Plan(s)/Employee Savings Plan. Can I vote? If so, how do I vote?</w:t>
      </w:r>
    </w:p>
    <w:p>
      <w:pPr>
        <w:spacing w:after="0" w:line="102"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Yes, you are entitled to vote, and your proxy card, or control number for voting electronically, includes all shares allocated to your Kraft Foods Stock Fund account(s). Your vote directs the plan(s) trustee(s) how to vote the shares allocated to your Kraft Foods Stock Fund account(s).</w:t>
      </w:r>
    </w:p>
    <w:p>
      <w:pPr>
        <w:spacing w:after="0" w:line="14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 xml:space="preserve">In order to direct the plan(s) trustee(s) how to vote the shares held in your Kraft Foods Stock Fund account(s), </w:t>
      </w:r>
      <w:r>
        <w:rPr>
          <w:rFonts w:ascii="Arial" w:cs="Arial" w:eastAsia="Arial" w:hAnsi="Arial"/>
          <w:sz w:val="17"/>
          <w:szCs w:val="17"/>
          <w:u w:val="single" w:color="auto"/>
          <w:color w:val="auto"/>
        </w:rPr>
        <w:t>you must vote these plan shares (whether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by Internet, telephone or mailed proxy card) by 11:59 p.m. CDT on Friday, May 18, 2012</w:t>
      </w:r>
      <w:r>
        <w:rPr>
          <w:rFonts w:ascii="Arial" w:cs="Arial" w:eastAsia="Arial" w:hAnsi="Arial"/>
          <w:sz w:val="17"/>
          <w:szCs w:val="17"/>
          <w:color w:val="auto"/>
        </w:rPr>
        <w:t>. If your voting instructions or proxy card are not received by that time, the trustee(s) will vote the shares allocated to your account(s) in the same proportion as the respective plan shares for which voting instructions have been timely received, unless contrary to the Employee Retirement Income Security Act of 1974 (“ERISA”). Please follow the instructions for registered shareholders described in Question 12 above to cast your vote. Note, however, that although you may attend the Annual Meeting, you may not vote shares held in your Kraft Foods Stock Fund account(s) at the meeting.</w:t>
      </w:r>
    </w:p>
    <w:p>
      <w:pPr>
        <w:spacing w:after="0" w:line="165" w:lineRule="exact"/>
        <w:rPr>
          <w:sz w:val="20"/>
          <w:szCs w:val="20"/>
          <w:color w:val="auto"/>
        </w:rPr>
      </w:pPr>
    </w:p>
    <w:p>
      <w:pPr>
        <w:ind w:left="680" w:right="400" w:hanging="678"/>
        <w:spacing w:after="0" w:line="266" w:lineRule="auto"/>
        <w:tabs>
          <w:tab w:leader="none" w:pos="680"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I am a Kraft Foods employee and hold shares of restricted stock. Can I vote my restricted stock holding? If so, how do I vote those shares?</w:t>
      </w:r>
    </w:p>
    <w:p>
      <w:pPr>
        <w:spacing w:after="0" w:line="124"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 xml:space="preserve">Yes, you are entitled to vote, and your proxy card, or control number for voting electronically, includes any shares of restricted stock you may hold. If you hold shares of restricted stock, you should follow the instructions for registered shareholders described in Question 12 above to vote your restricted shares. </w:t>
      </w:r>
      <w:r>
        <w:rPr>
          <w:rFonts w:ascii="Arial" w:cs="Arial" w:eastAsia="Arial" w:hAnsi="Arial"/>
          <w:sz w:val="17"/>
          <w:szCs w:val="17"/>
          <w:u w:val="single" w:color="auto"/>
          <w:color w:val="auto"/>
        </w:rPr>
        <w:t>If you do not vote these shares, they will not be voted, so please vote</w:t>
      </w:r>
      <w:r>
        <w:rPr>
          <w:rFonts w:ascii="Arial" w:cs="Arial" w:eastAsia="Arial" w:hAnsi="Arial"/>
          <w:sz w:val="17"/>
          <w:szCs w:val="17"/>
          <w:color w:val="auto"/>
        </w:rPr>
        <w:t>.</w:t>
      </w:r>
    </w:p>
    <w:p>
      <w:pPr>
        <w:spacing w:after="0" w:line="164" w:lineRule="exact"/>
        <w:rPr>
          <w:sz w:val="20"/>
          <w:szCs w:val="20"/>
          <w:color w:val="auto"/>
        </w:rPr>
      </w:pPr>
    </w:p>
    <w:p>
      <w:pPr>
        <w:ind w:left="680" w:hanging="678"/>
        <w:spacing w:after="0"/>
        <w:tabs>
          <w:tab w:leader="none" w:pos="68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How do I vote if I participate in Kraft Foods’ Direct Purchase Plan?</w:t>
      </w:r>
    </w:p>
    <w:p>
      <w:pPr>
        <w:spacing w:after="0" w:line="170"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 xml:space="preserve">If you hold shares in the Direct Purchase Plan, you should follow the instructions for registered shareholders described in Question 12 above to vote your shares. When you vote those shares, you will be voting all the shares you hold at our transfer agent as a registered shareholder. </w:t>
      </w:r>
      <w:r>
        <w:rPr>
          <w:rFonts w:ascii="Arial" w:cs="Arial" w:eastAsia="Arial" w:hAnsi="Arial"/>
          <w:sz w:val="17"/>
          <w:szCs w:val="17"/>
          <w:u w:val="single" w:color="auto"/>
          <w:color w:val="auto"/>
        </w:rPr>
        <w:t>If you do not vote your</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shares, they will not be voted, so please vote</w:t>
      </w:r>
      <w:r>
        <w:rPr>
          <w:rFonts w:ascii="Arial" w:cs="Arial" w:eastAsia="Arial" w:hAnsi="Arial"/>
          <w:sz w:val="17"/>
          <w:szCs w:val="17"/>
          <w:color w:val="auto"/>
        </w:rPr>
        <w:t>.</w:t>
      </w:r>
    </w:p>
    <w:p>
      <w:pPr>
        <w:spacing w:after="0" w:line="164" w:lineRule="exact"/>
        <w:rPr>
          <w:sz w:val="20"/>
          <w:szCs w:val="20"/>
          <w:color w:val="auto"/>
        </w:rPr>
      </w:pPr>
    </w:p>
    <w:p>
      <w:pPr>
        <w:ind w:left="680" w:right="580" w:hanging="678"/>
        <w:spacing w:after="0" w:line="297" w:lineRule="auto"/>
        <w:tabs>
          <w:tab w:leader="none" w:pos="680"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I hold Depository Interests (“DIs”) that represent entitlements to shares of Kraft Foods common stock as a result of Kraft Foods’ acquisition of Cadbury in 2010. Can I vote the shares of Kraft Foods common stock underlying my DIs? If so, how do I vote?</w:t>
      </w:r>
    </w:p>
    <w:p>
      <w:pPr>
        <w:spacing w:after="0" w:line="10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Yes, you can vote these shares through the CREST electronic settlement system or by completing and sending a Form of Instruction, instructing the custodian for the Depositary Interest Service “Computershare Company Nominees Limited” to vote the shares of Kraft Foods common stock at the Annual Meeting. Computershare will send all CREST participants (including nominee companies and sponsored individuals) that hold DIs a notice and Form of Instruction that allow these participants to attend and vote at the Annual Meeting. If you are a CREST participant, you should either vote through the CREST system as shown on the Form of Instruction or by returning the Form of Instruction to Computershare by following the accompanying instructions. Computershare will then arrange to vote your underlying shares of Kraft Foods common stock according to your instructions.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00"/>
          </w:cols>
          <w:pgMar w:left="240" w:top="443" w:right="25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i w:val="1"/>
          <w:iCs w:val="1"/>
          <w:color w:val="auto"/>
        </w:rPr>
        <w:t>If Computershare holds your DIs on your behalf within Kraft Foods Corporate Sponsored Nominee Service</w:t>
      </w:r>
      <w:r>
        <w:rPr>
          <w:rFonts w:ascii="Arial" w:cs="Arial" w:eastAsia="Arial" w:hAnsi="Arial"/>
          <w:sz w:val="16"/>
          <w:szCs w:val="16"/>
          <w:color w:val="auto"/>
        </w:rPr>
        <w:t>, Computershare, as the international nominee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your DIs, will send you a notice and Form of Direction. You may direct Computershare how to vote your underlying shares via the Internet or by returning your Form of Direction according to the instructions in the notice and Form of Direction </w:t>
      </w:r>
      <w:r>
        <w:rPr>
          <w:rFonts w:ascii="Arial" w:cs="Arial" w:eastAsia="Arial" w:hAnsi="Arial"/>
          <w:sz w:val="16"/>
          <w:szCs w:val="16"/>
          <w:u w:val="single" w:color="auto"/>
          <w:color w:val="auto"/>
        </w:rPr>
        <w:t>by 11:59 p.m., London time, on Thursday, May 17, 2012</w:t>
      </w:r>
      <w:r>
        <w:rPr>
          <w:rFonts w:ascii="Arial" w:cs="Arial" w:eastAsia="Arial" w:hAnsi="Arial"/>
          <w:sz w:val="16"/>
          <w:szCs w:val="16"/>
          <w:color w:val="auto"/>
        </w:rPr>
        <w:t>, which is earlier than the voting deadlines listed above in Question 12. Computershare will then arrange to vote your underlying shares according to your instructions. If you would like to attend and vote in person at the Annual Meeting, please inform Computershare, which will provide you with a letter of representation with respect to your DIs that will enable you to attend and vote your underlying shares at the Annual Meeting on Computershare’s behalf.</w:t>
      </w:r>
    </w:p>
    <w:p>
      <w:pPr>
        <w:spacing w:after="0" w:line="113"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i w:val="1"/>
          <w:iCs w:val="1"/>
          <w:color w:val="auto"/>
        </w:rPr>
        <w:t>If another international nominee holds your DIs on your behalf</w:t>
      </w:r>
      <w:r>
        <w:rPr>
          <w:rFonts w:ascii="Arial" w:cs="Arial" w:eastAsia="Arial" w:hAnsi="Arial"/>
          <w:sz w:val="17"/>
          <w:szCs w:val="17"/>
          <w:color w:val="auto"/>
        </w:rPr>
        <w:t>, your nominee may have its own arrangements in place to provide you with a separate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of the Annual Meeting and proxy voting card with respect to your underlying shares. In that case, please follow your nominee’s voting instructions in that notice and proxy voting card to direct your nominee how to vote your underlying shares. Please vote by the deadline stated on the nominee’s notice and proxy voting card, which is earlier than the voting deadlines listed above in Question 12.</w:t>
      </w:r>
    </w:p>
    <w:p>
      <w:pPr>
        <w:spacing w:after="0" w:line="141"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If you hold DIs and have questions about voting your shares of Kraft Foods common stock underlying your CDIs, please contact Computershare at +44 (0)844 472 6005.</w:t>
      </w:r>
    </w:p>
    <w:p>
      <w:pPr>
        <w:spacing w:after="0" w:line="163" w:lineRule="exact"/>
        <w:rPr>
          <w:sz w:val="20"/>
          <w:szCs w:val="20"/>
          <w:color w:val="auto"/>
        </w:rPr>
      </w:pPr>
    </w:p>
    <w:p>
      <w:pPr>
        <w:ind w:left="680" w:hanging="678"/>
        <w:spacing w:after="0"/>
        <w:tabs>
          <w:tab w:leader="none" w:pos="68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May I change or revoke my vote?</w:t>
      </w:r>
    </w:p>
    <w:p>
      <w:pPr>
        <w:spacing w:after="0" w:line="170" w:lineRule="exact"/>
        <w:rPr>
          <w:sz w:val="20"/>
          <w:szCs w:val="20"/>
          <w:color w:val="auto"/>
        </w:rPr>
      </w:pPr>
    </w:p>
    <w:p>
      <w:pPr>
        <w:jc w:val="both"/>
        <w:ind w:right="20"/>
        <w:spacing w:after="0" w:line="239" w:lineRule="auto"/>
        <w:rPr>
          <w:sz w:val="20"/>
          <w:szCs w:val="20"/>
          <w:color w:val="auto"/>
        </w:rPr>
      </w:pPr>
      <w:r>
        <w:rPr>
          <w:rFonts w:ascii="Arial" w:cs="Arial" w:eastAsia="Arial" w:hAnsi="Arial"/>
          <w:sz w:val="17"/>
          <w:szCs w:val="17"/>
          <w:color w:val="auto"/>
        </w:rPr>
        <w:t>Yes. If you are a registered shareholder, any subsequent vote you cast will replace your earlier vote. This applies whether you vote by mailing a proxy card or by telephone or the Internet. You may also revoke an earlier vote by voting in person at the Annual Meeting. Alternatively, you may revoke your proxy by submitting a written revocation to our Corporate Secretary at Kraft Foods Inc., Three Lakes Drive, Northfield, Illinois 60093.</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If you hold your shares in street name, you must contact your broker, bank or other nominee for specific instructions on how to change or revoke your vote.</w:t>
      </w:r>
    </w:p>
    <w:p>
      <w:pPr>
        <w:spacing w:after="0" w:line="180" w:lineRule="exact"/>
        <w:rPr>
          <w:sz w:val="20"/>
          <w:szCs w:val="20"/>
          <w:color w:val="auto"/>
        </w:rPr>
      </w:pPr>
    </w:p>
    <w:p>
      <w:pPr>
        <w:ind w:left="680" w:hanging="678"/>
        <w:spacing w:after="0"/>
        <w:tabs>
          <w:tab w:leader="none" w:pos="68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Who bears the cost of soliciting votes for the Annual Meeting?</w:t>
      </w:r>
    </w:p>
    <w:p>
      <w:pPr>
        <w:spacing w:after="0" w:line="170" w:lineRule="exact"/>
        <w:rPr>
          <w:sz w:val="20"/>
          <w:szCs w:val="20"/>
          <w:color w:val="auto"/>
        </w:rPr>
      </w:pPr>
    </w:p>
    <w:p>
      <w:pPr>
        <w:ind w:right="820"/>
        <w:spacing w:after="0" w:line="241" w:lineRule="auto"/>
        <w:rPr>
          <w:sz w:val="20"/>
          <w:szCs w:val="20"/>
          <w:color w:val="auto"/>
        </w:rPr>
      </w:pPr>
      <w:r>
        <w:rPr>
          <w:rFonts w:ascii="Arial" w:cs="Arial" w:eastAsia="Arial" w:hAnsi="Arial"/>
          <w:sz w:val="17"/>
          <w:szCs w:val="17"/>
          <w:color w:val="auto"/>
        </w:rPr>
        <w:t>We bear the cost of soliciting your vote. Our directors, officers or employees may solicit proxies or votes in person, by telephone or by electronic communication. They will not receive any additional compensation for these solicitation activities.</w:t>
      </w:r>
    </w:p>
    <w:p>
      <w:pPr>
        <w:spacing w:after="0" w:line="145" w:lineRule="exact"/>
        <w:rPr>
          <w:sz w:val="20"/>
          <w:szCs w:val="20"/>
          <w:color w:val="auto"/>
        </w:rPr>
      </w:pPr>
    </w:p>
    <w:p>
      <w:pPr>
        <w:ind w:right="600"/>
        <w:spacing w:after="0" w:line="241" w:lineRule="auto"/>
        <w:rPr>
          <w:sz w:val="20"/>
          <w:szCs w:val="20"/>
          <w:color w:val="auto"/>
        </w:rPr>
      </w:pPr>
      <w:r>
        <w:rPr>
          <w:rFonts w:ascii="Arial" w:cs="Arial" w:eastAsia="Arial" w:hAnsi="Arial"/>
          <w:sz w:val="17"/>
          <w:szCs w:val="17"/>
          <w:color w:val="auto"/>
        </w:rPr>
        <w:t>We will enlist the help of banks, brokers and other nominee holders in soliciting proxies for the Annual Meeting from their customers (i.e., beneficial shareholders) and reimburse those firms for related out-of-pocket expenses.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We retained Georgeson Inc. to aid in soliciting votes for the Annual Meeting for a total fee of $14,000 plus reasonable expenses.</w:t>
      </w:r>
    </w:p>
    <w:p>
      <w:pPr>
        <w:spacing w:after="0" w:line="168" w:lineRule="exact"/>
        <w:rPr>
          <w:sz w:val="20"/>
          <w:szCs w:val="20"/>
          <w:color w:val="auto"/>
        </w:rPr>
      </w:pPr>
    </w:p>
    <w:p>
      <w:pPr>
        <w:ind w:left="680" w:hanging="678"/>
        <w:spacing w:after="0"/>
        <w:tabs>
          <w:tab w:leader="none" w:pos="68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What is “Householding”?</w:t>
      </w:r>
    </w:p>
    <w:p>
      <w:pPr>
        <w:spacing w:after="0" w:line="170" w:lineRule="exact"/>
        <w:rPr>
          <w:sz w:val="20"/>
          <w:szCs w:val="20"/>
          <w:color w:val="auto"/>
        </w:rPr>
      </w:pPr>
    </w:p>
    <w:p>
      <w:pPr>
        <w:jc w:val="both"/>
        <w:ind w:right="100"/>
        <w:spacing w:after="0" w:line="237" w:lineRule="auto"/>
        <w:rPr>
          <w:sz w:val="20"/>
          <w:szCs w:val="20"/>
          <w:color w:val="auto"/>
        </w:rPr>
      </w:pPr>
      <w:r>
        <w:rPr>
          <w:rFonts w:ascii="Arial" w:cs="Arial" w:eastAsia="Arial" w:hAnsi="Arial"/>
          <w:sz w:val="17"/>
          <w:szCs w:val="17"/>
          <w:color w:val="auto"/>
        </w:rPr>
        <w:t>Unless you advised otherwise, if you hold your shares in street name and you and other residents at your mailing address share the same last name and also own shares of Kraft Foods common stock in an account at the same broker, bank or other nominee, your nominee delivered a single Notice or set of proxy materials to your address. This method of delivery is known as householding. Householding reduces the number of mailings you receive, saves on printing and postage costs and helps the environment. Shareholders who participate in householding continue to receive separate voting instruction cards and control numbers for voting electronically.</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380"/>
          </w:cols>
          <w:pgMar w:left="240" w:top="443" w:right="27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A shareholder who received a single Notice or set of proxy materials to a shared address may request a separate copy of the Notice or proxy materials be sent to him or her by contacting Broadridge Financial Solutions, Inc. in writing to its Householding Department at 51 Mercedes Way, Edgewood, New York, 11717, or calling 1-800-542-1061. If you would like to opt out of householding for future deliveries of proxy materials, please contact your broker, bank or other nominee.</w:t>
      </w:r>
    </w:p>
    <w:p>
      <w:pPr>
        <w:spacing w:after="0" w:line="146" w:lineRule="exact"/>
        <w:rPr>
          <w:sz w:val="20"/>
          <w:szCs w:val="20"/>
          <w:color w:val="auto"/>
        </w:rPr>
      </w:pPr>
    </w:p>
    <w:p>
      <w:pPr>
        <w:ind w:right="220"/>
        <w:spacing w:after="0" w:line="241" w:lineRule="auto"/>
        <w:rPr>
          <w:sz w:val="20"/>
          <w:szCs w:val="20"/>
          <w:color w:val="auto"/>
        </w:rPr>
      </w:pPr>
      <w:r>
        <w:rPr>
          <w:rFonts w:ascii="Arial" w:cs="Arial" w:eastAsia="Arial" w:hAnsi="Arial"/>
          <w:sz w:val="17"/>
          <w:szCs w:val="17"/>
          <w:color w:val="auto"/>
        </w:rPr>
        <w:t>Beneficial owners sharing an address who are receiving multiple copies of the proxy materials and wish to receive a single copy of these materials in the future should contact their broker, bank or other nominee to make this request.</w:t>
      </w:r>
    </w:p>
    <w:p>
      <w:pPr>
        <w:spacing w:after="0" w:line="145"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If you are a registered shareholder or hold your share in an employee benefit plan, we sent you and each registered or plan shareholder at your address separate Notices or sets of proxy materials.</w:t>
      </w:r>
    </w:p>
    <w:p>
      <w:pPr>
        <w:spacing w:after="0" w:line="163" w:lineRule="exact"/>
        <w:rPr>
          <w:sz w:val="20"/>
          <w:szCs w:val="20"/>
          <w:color w:val="auto"/>
        </w:rPr>
      </w:pPr>
    </w:p>
    <w:p>
      <w:pPr>
        <w:ind w:left="680" w:hanging="678"/>
        <w:spacing w:after="0"/>
        <w:tabs>
          <w:tab w:leader="none" w:pos="68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Are my votes confidential?</w:t>
      </w:r>
    </w:p>
    <w:p>
      <w:pPr>
        <w:spacing w:after="0" w:line="170"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Yes. Your votes will not be disclosed to our directors, officers or employees, except (a) as necessary to meet applicable legal requirements and to assert or defend claims for or against us, (b) in the case of a contested proxy solicitation, (c) if you provide a comment with your proxy or otherwise communicate your vote to us outside of the normal procedures or (d) as necessary to allow the inspector of election to certify the results.</w:t>
      </w:r>
    </w:p>
    <w:p>
      <w:pPr>
        <w:spacing w:after="0" w:line="164" w:lineRule="exact"/>
        <w:rPr>
          <w:sz w:val="20"/>
          <w:szCs w:val="20"/>
          <w:color w:val="auto"/>
        </w:rPr>
      </w:pPr>
    </w:p>
    <w:p>
      <w:pPr>
        <w:ind w:left="680" w:hanging="678"/>
        <w:spacing w:after="0"/>
        <w:tabs>
          <w:tab w:leader="none" w:pos="68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Who counts the votes?</w:t>
      </w:r>
    </w:p>
    <w:p>
      <w:pPr>
        <w:spacing w:after="0" w:line="170"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Wells Fargo Bank, N.A. will receive and tabulate the proxies, and representatives of Wells Fargo Bank, N.A. will act as the inspectors of election and will certify the results.</w:t>
      </w:r>
    </w:p>
    <w:p>
      <w:pPr>
        <w:spacing w:after="0" w:line="163" w:lineRule="exact"/>
        <w:rPr>
          <w:sz w:val="20"/>
          <w:szCs w:val="20"/>
          <w:color w:val="auto"/>
        </w:rPr>
      </w:pPr>
    </w:p>
    <w:p>
      <w:pPr>
        <w:ind w:left="680" w:hanging="678"/>
        <w:spacing w:after="0"/>
        <w:tabs>
          <w:tab w:leader="none" w:pos="68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How do I find out the voting results?</w:t>
      </w:r>
    </w:p>
    <w:p>
      <w:pPr>
        <w:spacing w:after="0" w:line="17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 xml:space="preserve">We expect to announce preliminary voting results at the Annual Meeting. We will disclose the final voting results in a Current Report on Form 8-K to be filed with the SEC on or before May 30, 2012. The Form 8-K will be available at </w:t>
      </w:r>
      <w:r>
        <w:rPr>
          <w:rFonts w:ascii="Arial" w:cs="Arial" w:eastAsia="Arial" w:hAnsi="Arial"/>
          <w:sz w:val="17"/>
          <w:szCs w:val="17"/>
          <w:i w:val="1"/>
          <w:iCs w:val="1"/>
          <w:u w:val="single" w:color="auto"/>
          <w:color w:val="auto"/>
        </w:rPr>
        <w:t>www.kraftfoodscompany.com/investor/sec-filings-annual-report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and on the SEC’s website at </w:t>
      </w:r>
      <w:r>
        <w:rPr>
          <w:rFonts w:ascii="Arial" w:cs="Arial" w:eastAsia="Arial" w:hAnsi="Arial"/>
          <w:sz w:val="17"/>
          <w:szCs w:val="17"/>
          <w:i w:val="1"/>
          <w:iCs w:val="1"/>
          <w:u w:val="single" w:color="auto"/>
          <w:color w:val="auto"/>
        </w:rPr>
        <w:t>www.sec.gov</w:t>
      </w:r>
      <w:r>
        <w:rPr>
          <w:rFonts w:ascii="Arial" w:cs="Arial" w:eastAsia="Arial" w:hAnsi="Arial"/>
          <w:sz w:val="17"/>
          <w:szCs w:val="17"/>
          <w:i w:val="1"/>
          <w:iCs w:val="1"/>
          <w:color w:val="auto"/>
        </w:rPr>
        <w:t>.</w:t>
      </w:r>
    </w:p>
    <w:p>
      <w:pPr>
        <w:spacing w:after="0" w:line="168" w:lineRule="exact"/>
        <w:rPr>
          <w:sz w:val="20"/>
          <w:szCs w:val="20"/>
          <w:color w:val="auto"/>
        </w:rPr>
      </w:pPr>
    </w:p>
    <w:p>
      <w:pPr>
        <w:ind w:left="680" w:hanging="678"/>
        <w:spacing w:after="0"/>
        <w:tabs>
          <w:tab w:leader="none" w:pos="680"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What do I need to do if I would like to attend the Annual Meeting?</w:t>
      </w:r>
    </w:p>
    <w:p>
      <w:pPr>
        <w:spacing w:after="0" w:line="170" w:lineRule="exact"/>
        <w:rPr>
          <w:sz w:val="20"/>
          <w:szCs w:val="20"/>
          <w:color w:val="auto"/>
        </w:rPr>
      </w:pPr>
    </w:p>
    <w:p>
      <w:pPr>
        <w:jc w:val="both"/>
        <w:ind w:right="140"/>
        <w:spacing w:after="0" w:line="239" w:lineRule="auto"/>
        <w:rPr>
          <w:sz w:val="20"/>
          <w:szCs w:val="20"/>
          <w:color w:val="auto"/>
        </w:rPr>
      </w:pPr>
      <w:r>
        <w:rPr>
          <w:rFonts w:ascii="Arial" w:cs="Arial" w:eastAsia="Arial" w:hAnsi="Arial"/>
          <w:sz w:val="17"/>
          <w:szCs w:val="17"/>
          <w:color w:val="auto"/>
        </w:rPr>
        <w:t xml:space="preserve">If you would like to attend the Annual Meeting, please pre-register by 11:59 p.m. CDT on Sunday, May 20, 2012. Due to space limitations, you may bring only one guest. If you wish to bring a guest, you must indicate that when you pre-register. </w:t>
      </w:r>
      <w:r>
        <w:rPr>
          <w:rFonts w:ascii="Arial" w:cs="Arial" w:eastAsia="Arial" w:hAnsi="Arial"/>
          <w:sz w:val="17"/>
          <w:szCs w:val="17"/>
          <w:b w:val="1"/>
          <w:bCs w:val="1"/>
          <w:color w:val="auto"/>
        </w:rPr>
        <w:t>You and your guest, if any, must present valid government-issued photographic identification, such as a driver’s license, to be admitted into the Annual Meeting</w:t>
      </w:r>
      <w:r>
        <w:rPr>
          <w:rFonts w:ascii="Arial" w:cs="Arial" w:eastAsia="Arial" w:hAnsi="Arial"/>
          <w:sz w:val="17"/>
          <w:szCs w:val="17"/>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If you are a registered shareholder, please indicate that you intend to attend the Annual Meeting by:</w:t>
      </w:r>
    </w:p>
    <w:p>
      <w:pPr>
        <w:spacing w:after="0" w:line="188" w:lineRule="exact"/>
        <w:rPr>
          <w:sz w:val="20"/>
          <w:szCs w:val="20"/>
          <w:color w:val="auto"/>
        </w:rPr>
      </w:pPr>
    </w:p>
    <w:p>
      <w:pPr>
        <w:ind w:left="880" w:hanging="315"/>
        <w:spacing w:after="0"/>
        <w:tabs>
          <w:tab w:leader="none" w:pos="8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checking the appropriate box(es) on the Internet voting site;</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following the prompts on the telephone voting site; or</w:t>
      </w:r>
    </w:p>
    <w:p>
      <w:pPr>
        <w:spacing w:after="0" w:line="73" w:lineRule="exact"/>
        <w:rPr>
          <w:rFonts w:ascii="Arial" w:cs="Arial" w:eastAsia="Arial" w:hAnsi="Arial"/>
          <w:sz w:val="17"/>
          <w:szCs w:val="17"/>
          <w:color w:val="auto"/>
        </w:rPr>
      </w:pPr>
    </w:p>
    <w:p>
      <w:pPr>
        <w:ind w:left="880" w:hanging="315"/>
        <w:spacing w:after="0"/>
        <w:tabs>
          <w:tab w:leader="none" w:pos="8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checking the appropriate box(es) on your proxy card.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443" w:right="2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If you hold your shares beneficially in street name, please notify us in writing that you will attend and whether you intend to bring a guest. In your written notification, please include a proof of ownership of our common stock (such as a letter from your broker, bank or other nominee, a photocopy of your current account statement or a copy of your voting instruction form); please also provide contact information where we can reach you if we have a question about your notification. Send your notification by mail, fax or e-mail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0" w:type="dxa"/>
            <w:vAlign w:val="bottom"/>
          </w:tcPr>
          <w:p>
            <w:pPr>
              <w:spacing w:after="0"/>
              <w:rPr>
                <w:sz w:val="20"/>
                <w:szCs w:val="20"/>
                <w:color w:val="auto"/>
              </w:rPr>
            </w:pPr>
            <w:r>
              <w:rPr>
                <w:rFonts w:ascii="Arial" w:cs="Arial" w:eastAsia="Arial" w:hAnsi="Arial"/>
                <w:sz w:val="17"/>
                <w:szCs w:val="17"/>
                <w:color w:val="auto"/>
              </w:rPr>
              <w:t>By mail:</w:t>
            </w:r>
          </w:p>
        </w:tc>
        <w:tc>
          <w:tcPr>
            <w:tcW w:w="2040" w:type="dxa"/>
            <w:vAlign w:val="bottom"/>
          </w:tcPr>
          <w:p>
            <w:pPr>
              <w:spacing w:after="0"/>
              <w:rPr>
                <w:sz w:val="16"/>
                <w:szCs w:val="16"/>
                <w:color w:val="auto"/>
              </w:rPr>
            </w:pPr>
          </w:p>
        </w:tc>
        <w:tc>
          <w:tcPr>
            <w:tcW w:w="1820" w:type="dxa"/>
            <w:vAlign w:val="bottom"/>
            <w:gridSpan w:val="3"/>
          </w:tcPr>
          <w:p>
            <w:pPr>
              <w:ind w:left="660"/>
              <w:spacing w:after="0"/>
              <w:rPr>
                <w:sz w:val="20"/>
                <w:szCs w:val="20"/>
                <w:color w:val="auto"/>
              </w:rPr>
            </w:pPr>
            <w:r>
              <w:rPr>
                <w:rFonts w:ascii="Arial" w:cs="Arial" w:eastAsia="Arial" w:hAnsi="Arial"/>
                <w:sz w:val="17"/>
                <w:szCs w:val="17"/>
                <w:color w:val="auto"/>
              </w:rPr>
              <w:t>By fax:</w:t>
            </w:r>
          </w:p>
        </w:tc>
        <w:tc>
          <w:tcPr>
            <w:tcW w:w="4060" w:type="dxa"/>
            <w:vAlign w:val="bottom"/>
          </w:tcPr>
          <w:p>
            <w:pPr>
              <w:spacing w:after="0"/>
              <w:rPr>
                <w:sz w:val="16"/>
                <w:szCs w:val="16"/>
                <w:color w:val="auto"/>
              </w:rPr>
            </w:pPr>
          </w:p>
        </w:tc>
        <w:tc>
          <w:tcPr>
            <w:tcW w:w="2020" w:type="dxa"/>
            <w:vAlign w:val="bottom"/>
            <w:gridSpan w:val="3"/>
          </w:tcPr>
          <w:p>
            <w:pPr>
              <w:ind w:left="240"/>
              <w:spacing w:after="0"/>
              <w:rPr>
                <w:sz w:val="20"/>
                <w:szCs w:val="20"/>
                <w:color w:val="auto"/>
              </w:rPr>
            </w:pPr>
            <w:r>
              <w:rPr>
                <w:rFonts w:ascii="Arial" w:cs="Arial" w:eastAsia="Arial" w:hAnsi="Arial"/>
                <w:sz w:val="17"/>
                <w:szCs w:val="17"/>
                <w:color w:val="auto"/>
              </w:rPr>
              <w:t>By e-mail:</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60" w:type="dxa"/>
            <w:vAlign w:val="bottom"/>
            <w:vMerge w:val="restart"/>
          </w:tcPr>
          <w:p>
            <w:pPr>
              <w:ind w:left="20"/>
              <w:spacing w:after="0"/>
              <w:rPr>
                <w:sz w:val="20"/>
                <w:szCs w:val="20"/>
                <w:color w:val="auto"/>
              </w:rPr>
            </w:pPr>
            <w:r>
              <w:rPr>
                <w:rFonts w:ascii="Arial" w:cs="Arial" w:eastAsia="Arial" w:hAnsi="Arial"/>
                <w:sz w:val="17"/>
                <w:szCs w:val="17"/>
                <w:color w:val="auto"/>
              </w:rPr>
              <w:t>(toll-free within the U.S.)</w:t>
            </w: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760" w:type="dxa"/>
            <w:vAlign w:val="bottom"/>
            <w:gridSpan w:val="2"/>
          </w:tcPr>
          <w:p>
            <w:pPr>
              <w:spacing w:after="0" w:line="188" w:lineRule="exact"/>
              <w:rPr>
                <w:sz w:val="20"/>
                <w:szCs w:val="20"/>
                <w:color w:val="auto"/>
              </w:rPr>
            </w:pPr>
            <w:r>
              <w:rPr>
                <w:rFonts w:ascii="Arial" w:cs="Arial" w:eastAsia="Arial" w:hAnsi="Arial"/>
                <w:sz w:val="17"/>
                <w:szCs w:val="17"/>
                <w:color w:val="auto"/>
              </w:rPr>
              <w:t>Kraft Foods Inc.</w:t>
            </w:r>
          </w:p>
        </w:tc>
        <w:tc>
          <w:tcPr>
            <w:tcW w:w="1820" w:type="dxa"/>
            <w:vAlign w:val="bottom"/>
            <w:gridSpan w:val="3"/>
          </w:tcPr>
          <w:p>
            <w:pPr>
              <w:ind w:left="660"/>
              <w:spacing w:after="0" w:line="188" w:lineRule="exact"/>
              <w:rPr>
                <w:sz w:val="20"/>
                <w:szCs w:val="20"/>
                <w:color w:val="auto"/>
              </w:rPr>
            </w:pPr>
            <w:r>
              <w:rPr>
                <w:rFonts w:ascii="Arial" w:cs="Arial" w:eastAsia="Arial" w:hAnsi="Arial"/>
                <w:sz w:val="17"/>
                <w:szCs w:val="17"/>
                <w:color w:val="auto"/>
                <w:w w:val="98"/>
              </w:rPr>
              <w:t>(888) 663-8893</w:t>
            </w:r>
          </w:p>
        </w:tc>
        <w:tc>
          <w:tcPr>
            <w:tcW w:w="4060" w:type="dxa"/>
            <w:vAlign w:val="bottom"/>
            <w:vMerge w:val="continue"/>
          </w:tcPr>
          <w:p>
            <w:pPr>
              <w:spacing w:after="0"/>
              <w:rPr>
                <w:sz w:val="16"/>
                <w:szCs w:val="16"/>
                <w:color w:val="auto"/>
              </w:rPr>
            </w:pPr>
          </w:p>
        </w:tc>
        <w:tc>
          <w:tcPr>
            <w:tcW w:w="2020" w:type="dxa"/>
            <w:vAlign w:val="bottom"/>
            <w:gridSpan w:val="3"/>
          </w:tcPr>
          <w:p>
            <w:pPr>
              <w:ind w:left="240"/>
              <w:spacing w:after="0" w:line="188" w:lineRule="exact"/>
              <w:rPr>
                <w:sz w:val="20"/>
                <w:szCs w:val="20"/>
                <w:color w:val="auto"/>
              </w:rPr>
            </w:pPr>
            <w:r>
              <w:rPr>
                <w:rFonts w:ascii="Arial" w:cs="Arial" w:eastAsia="Arial" w:hAnsi="Arial"/>
                <w:sz w:val="17"/>
                <w:szCs w:val="17"/>
                <w:color w:val="auto"/>
                <w:w w:val="96"/>
              </w:rPr>
              <w:t>ccinek@georgeson.com</w:t>
            </w:r>
          </w:p>
        </w:tc>
        <w:tc>
          <w:tcPr>
            <w:tcW w:w="0" w:type="dxa"/>
            <w:vAlign w:val="bottom"/>
          </w:tcPr>
          <w:p>
            <w:pPr>
              <w:spacing w:after="0"/>
              <w:rPr>
                <w:sz w:val="1"/>
                <w:szCs w:val="1"/>
                <w:color w:val="auto"/>
              </w:rPr>
            </w:pPr>
          </w:p>
        </w:tc>
      </w:tr>
      <w:tr>
        <w:trPr>
          <w:trHeight w:val="192"/>
        </w:trPr>
        <w:tc>
          <w:tcPr>
            <w:tcW w:w="2760" w:type="dxa"/>
            <w:vAlign w:val="bottom"/>
            <w:gridSpan w:val="2"/>
          </w:tcPr>
          <w:p>
            <w:pPr>
              <w:spacing w:after="0" w:line="192" w:lineRule="exact"/>
              <w:rPr>
                <w:sz w:val="20"/>
                <w:szCs w:val="20"/>
                <w:color w:val="auto"/>
              </w:rPr>
            </w:pPr>
            <w:r>
              <w:rPr>
                <w:rFonts w:ascii="Arial" w:cs="Arial" w:eastAsia="Arial" w:hAnsi="Arial"/>
                <w:sz w:val="17"/>
                <w:szCs w:val="17"/>
                <w:color w:val="auto"/>
              </w:rPr>
              <w:t>c/o Georgeson Inc.</w:t>
            </w:r>
          </w:p>
        </w:tc>
        <w:tc>
          <w:tcPr>
            <w:tcW w:w="1820" w:type="dxa"/>
            <w:vAlign w:val="bottom"/>
            <w:gridSpan w:val="3"/>
          </w:tcPr>
          <w:p>
            <w:pPr>
              <w:ind w:left="660"/>
              <w:spacing w:after="0" w:line="192" w:lineRule="exact"/>
              <w:rPr>
                <w:sz w:val="20"/>
                <w:szCs w:val="20"/>
                <w:color w:val="auto"/>
              </w:rPr>
            </w:pPr>
            <w:r>
              <w:rPr>
                <w:rFonts w:ascii="Arial" w:cs="Arial" w:eastAsia="Arial" w:hAnsi="Arial"/>
                <w:sz w:val="17"/>
                <w:szCs w:val="17"/>
                <w:color w:val="auto"/>
                <w:w w:val="98"/>
              </w:rPr>
              <w:t>(212) 440-9009</w:t>
            </w:r>
          </w:p>
        </w:tc>
        <w:tc>
          <w:tcPr>
            <w:tcW w:w="4060" w:type="dxa"/>
            <w:vAlign w:val="bottom"/>
          </w:tcPr>
          <w:p>
            <w:pPr>
              <w:ind w:left="20"/>
              <w:spacing w:after="0" w:line="192" w:lineRule="exact"/>
              <w:rPr>
                <w:sz w:val="20"/>
                <w:szCs w:val="20"/>
                <w:color w:val="auto"/>
              </w:rPr>
            </w:pPr>
            <w:r>
              <w:rPr>
                <w:rFonts w:ascii="Arial" w:cs="Arial" w:eastAsia="Arial" w:hAnsi="Arial"/>
                <w:sz w:val="17"/>
                <w:szCs w:val="17"/>
                <w:color w:val="auto"/>
              </w:rPr>
              <w:t>(from outside the U.S.) Attention: Christopher Cinek</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60" w:type="dxa"/>
            <w:vAlign w:val="bottom"/>
            <w:gridSpan w:val="2"/>
          </w:tcPr>
          <w:p>
            <w:pPr>
              <w:spacing w:after="0" w:line="192" w:lineRule="exact"/>
              <w:rPr>
                <w:sz w:val="20"/>
                <w:szCs w:val="20"/>
                <w:color w:val="auto"/>
              </w:rPr>
            </w:pPr>
            <w:r>
              <w:rPr>
                <w:rFonts w:ascii="Arial" w:cs="Arial" w:eastAsia="Arial" w:hAnsi="Arial"/>
                <w:sz w:val="17"/>
                <w:szCs w:val="17"/>
                <w:color w:val="auto"/>
              </w:rPr>
              <w:t>Attention: Christopher Cinek</w:t>
            </w: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60" w:type="dxa"/>
            <w:vAlign w:val="bottom"/>
            <w:gridSpan w:val="2"/>
          </w:tcPr>
          <w:p>
            <w:pPr>
              <w:spacing w:after="0" w:line="192" w:lineRule="exact"/>
              <w:rPr>
                <w:sz w:val="20"/>
                <w:szCs w:val="20"/>
                <w:color w:val="auto"/>
              </w:rPr>
            </w:pPr>
            <w:r>
              <w:rPr>
                <w:rFonts w:ascii="Arial" w:cs="Arial" w:eastAsia="Arial" w:hAnsi="Arial"/>
                <w:sz w:val="17"/>
                <w:szCs w:val="17"/>
                <w:color w:val="auto"/>
              </w:rPr>
              <w:t>199 Water Street, 26</w:t>
            </w:r>
            <w:r>
              <w:rPr>
                <w:rFonts w:ascii="Arial" w:cs="Arial" w:eastAsia="Arial" w:hAnsi="Arial"/>
                <w:sz w:val="10"/>
                <w:szCs w:val="10"/>
                <w:color w:val="auto"/>
              </w:rPr>
              <w:t>th</w:t>
            </w:r>
            <w:r>
              <w:rPr>
                <w:rFonts w:ascii="Arial" w:cs="Arial" w:eastAsia="Arial" w:hAnsi="Arial"/>
                <w:sz w:val="17"/>
                <w:szCs w:val="17"/>
                <w:color w:val="auto"/>
              </w:rPr>
              <w:t xml:space="preserve"> Floor</w:t>
            </w: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760" w:type="dxa"/>
            <w:vAlign w:val="bottom"/>
            <w:gridSpan w:val="2"/>
          </w:tcPr>
          <w:p>
            <w:pPr>
              <w:spacing w:after="0"/>
              <w:rPr>
                <w:sz w:val="20"/>
                <w:szCs w:val="20"/>
                <w:color w:val="auto"/>
              </w:rPr>
            </w:pPr>
            <w:r>
              <w:rPr>
                <w:rFonts w:ascii="Arial" w:cs="Arial" w:eastAsia="Arial" w:hAnsi="Arial"/>
                <w:sz w:val="17"/>
                <w:szCs w:val="17"/>
                <w:color w:val="auto"/>
              </w:rPr>
              <w:t>New York, NY 10038</w:t>
            </w: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line="245" w:lineRule="auto"/>
        <w:rPr>
          <w:sz w:val="20"/>
          <w:szCs w:val="20"/>
          <w:color w:val="auto"/>
        </w:rPr>
      </w:pPr>
      <w:r>
        <w:rPr>
          <w:rFonts w:ascii="Arial" w:cs="Arial" w:eastAsia="Arial" w:hAnsi="Arial"/>
          <w:sz w:val="17"/>
          <w:szCs w:val="17"/>
          <w:b w:val="1"/>
          <w:bCs w:val="1"/>
          <w:color w:val="auto"/>
        </w:rPr>
        <w:t>For your comfort, security and safety, we will not allow any large bags, briefcases, packages or backpacks into the Annual Meeting site. All bags will be subject to search. We also will not allow cameras, audio and video recorders and similar electronic recording devices into the Annual Meeting. We will request that all cellular phones, laptops and pagers be turned off. We welcome assistance animals for the disabled, but do not allow pets.</w:t>
      </w:r>
    </w:p>
    <w:p>
      <w:pPr>
        <w:spacing w:after="0" w:line="161" w:lineRule="exact"/>
        <w:rPr>
          <w:sz w:val="20"/>
          <w:szCs w:val="20"/>
          <w:color w:val="auto"/>
        </w:rPr>
      </w:pPr>
    </w:p>
    <w:p>
      <w:pPr>
        <w:ind w:left="680" w:hanging="678"/>
        <w:spacing w:after="0"/>
        <w:tabs>
          <w:tab w:leader="none" w:pos="68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May I ask questions at the Annual Meeting?</w:t>
      </w:r>
    </w:p>
    <w:p>
      <w:pPr>
        <w:spacing w:after="0" w:line="170"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Yes. Shareholders may ask questions and make remarks related to the matters being voted on as those matters are presented. The Chairman will address shareholders’ questions and comments of a more general nature after the vote has been taken on all items to be voted on at the meeting.</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443" w:right="2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2013 ANNUAL MEETING OF SHAREHOLDERS</w:t>
      </w:r>
    </w:p>
    <w:p>
      <w:pPr>
        <w:spacing w:after="0" w:line="192" w:lineRule="exact"/>
        <w:rPr>
          <w:sz w:val="20"/>
          <w:szCs w:val="20"/>
          <w:color w:val="auto"/>
        </w:rPr>
      </w:pPr>
    </w:p>
    <w:p>
      <w:pPr>
        <w:ind w:right="700"/>
        <w:spacing w:after="0" w:line="424" w:lineRule="auto"/>
        <w:rPr>
          <w:sz w:val="20"/>
          <w:szCs w:val="20"/>
          <w:color w:val="auto"/>
        </w:rPr>
      </w:pPr>
      <w:r>
        <w:rPr>
          <w:rFonts w:ascii="Arial" w:cs="Arial" w:eastAsia="Arial" w:hAnsi="Arial"/>
          <w:sz w:val="17"/>
          <w:szCs w:val="17"/>
          <w:color w:val="auto"/>
        </w:rPr>
        <w:t xml:space="preserve">We presently anticipate that the 2013 Annual Meeting of Shareholders will be held on approximately the same date as this year’s Annual Meeting. </w:t>
      </w:r>
      <w:r>
        <w:rPr>
          <w:rFonts w:ascii="Arial" w:cs="Arial" w:eastAsia="Arial" w:hAnsi="Arial"/>
          <w:sz w:val="17"/>
          <w:szCs w:val="17"/>
          <w:b w:val="1"/>
          <w:bCs w:val="1"/>
          <w:color w:val="auto"/>
        </w:rPr>
        <w:t>Shareholder Nominations and Proposals for the 2013 Annual Meeting</w:t>
      </w:r>
    </w:p>
    <w:p>
      <w:pPr>
        <w:ind w:right="60"/>
        <w:spacing w:after="0" w:line="237" w:lineRule="auto"/>
        <w:rPr>
          <w:sz w:val="20"/>
          <w:szCs w:val="20"/>
          <w:color w:val="auto"/>
        </w:rPr>
      </w:pPr>
      <w:r>
        <w:rPr>
          <w:rFonts w:ascii="Arial" w:cs="Arial" w:eastAsia="Arial" w:hAnsi="Arial"/>
          <w:sz w:val="17"/>
          <w:szCs w:val="17"/>
          <w:color w:val="auto"/>
        </w:rPr>
        <w:t>Under our By-Laws, a shareholder may nominate a candidate for election as a director or propose business for consideration at an annual meeting of shareholders by delivering written notice that contains certain required information to our Corporate Secretary. We must receive this written notice no later than 120 days, and no earlier than 150 days, before the first anniversary of the preceding year’s annual meeting. Accordingly, to be considered at the 2013 Annual Meeting of Shareholders, our Corporate Secretary must receive a shareholder’s written notice of nomination or proposal on or after December 24, 2012 and on or before January 23, 2013. If we change the date of an annual meeting by more than 30 days from the date of the previous year’s annual meeting, then we must receive this written notice no later than 60 days before the date of the Annual Meeting.</w:t>
      </w:r>
    </w:p>
    <w:p>
      <w:pPr>
        <w:spacing w:after="0" w:line="147"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Under SEC Rule 14a-8, a shareholder may submit a proposal for possible inclusion in a proxy statement for an annual meeting of shareholders by submitting the proposal and other required information to our principal executive offices. We must receive the proposal no later than 120 calendar days before the one-year anniversary date of our Proxy Statement for the previous year’s annual meeting. Accordingly, to be considered for inclusion in our 2013 Proxy Statement, we must receive a shareholder’s submission of a proposal on or before the close of business on December 3, 2012. If we did not hold an annual meeting the previous year, or if we change the date of an annual meeting by more than 30 days from the date of the previous year’s annual meeting, then the deadline is a reasonable time before we print and send our proxy materials for the annual meeting.</w:t>
      </w:r>
    </w:p>
    <w:p>
      <w:pPr>
        <w:spacing w:after="0" w:line="147"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 xml:space="preserve">Shareholders should mail all nominations and proposals to our Corporate Secretary at Kraft Foods Inc., Three Lakes Drive, Northfield, Illinois 60093. You may obtain a copy of our By-Laws from our Corporate Secretary by written request to the same address. Our By-Laws are also available on our website at </w:t>
      </w:r>
      <w:r>
        <w:rPr>
          <w:rFonts w:ascii="Arial" w:cs="Arial" w:eastAsia="Arial" w:hAnsi="Arial"/>
          <w:sz w:val="17"/>
          <w:szCs w:val="17"/>
          <w:i w:val="1"/>
          <w:iCs w:val="1"/>
          <w:u w:val="single" w:color="auto"/>
          <w:color w:val="auto"/>
        </w:rPr>
        <w:t>www.kraftfoodscompany.com/investor/corporate-governance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163195</wp:posOffset>
            </wp:positionV>
            <wp:extent cx="2444750" cy="3657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44750" cy="365760"/>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April 2,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Carol J. Ward</w:t>
      </w:r>
    </w:p>
    <w:p>
      <w:pPr>
        <w:spacing w:after="0"/>
        <w:rPr>
          <w:sz w:val="20"/>
          <w:szCs w:val="20"/>
          <w:color w:val="auto"/>
        </w:rPr>
      </w:pPr>
      <w:r>
        <w:rPr>
          <w:rFonts w:ascii="Arial" w:cs="Arial" w:eastAsia="Arial" w:hAnsi="Arial"/>
          <w:sz w:val="16"/>
          <w:szCs w:val="16"/>
          <w:color w:val="auto"/>
        </w:rPr>
        <w:t>Vice President and Corporate Secretary</w:t>
      </w:r>
    </w:p>
    <w:p>
      <w:pPr>
        <w:spacing w:after="0" w:line="149" w:lineRule="exact"/>
        <w:rPr>
          <w:sz w:val="20"/>
          <w:szCs w:val="20"/>
          <w:color w:val="auto"/>
        </w:rPr>
      </w:pPr>
    </w:p>
    <w:p>
      <w:pPr>
        <w:sectPr>
          <w:pgSz w:w="11900" w:h="16838" w:orient="portrait"/>
          <w:cols w:equalWidth="0" w:num="2">
            <w:col w:w="5340" w:space="720"/>
            <w:col w:w="5360"/>
          </w:cols>
          <w:pgMar w:left="240" w:top="443"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443" w:right="239" w:bottom="1440" w:gutter="0" w:footer="0" w:header="0"/>
          <w:type w:val="continuous"/>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15"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Kraft Foods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GAAP to Non-GAAP Information</w:t>
      </w:r>
    </w:p>
    <w:p>
      <w:pPr>
        <w:jc w:val="center"/>
        <w:spacing w:after="0"/>
        <w:rPr>
          <w:sz w:val="20"/>
          <w:szCs w:val="20"/>
          <w:color w:val="auto"/>
        </w:rPr>
      </w:pPr>
      <w:r>
        <w:rPr>
          <w:rFonts w:ascii="Arial" w:cs="Arial" w:eastAsia="Arial" w:hAnsi="Arial"/>
          <w:sz w:val="17"/>
          <w:szCs w:val="17"/>
          <w:b w:val="1"/>
          <w:bCs w:val="1"/>
          <w:color w:val="auto"/>
        </w:rPr>
        <w:t>($ in millions, unaudited)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Operating Income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Twelve Months Ended December 31, 2011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Impact of</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rPr>
              <w:t>Impact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6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96"/>
              </w:rPr>
              <w:t>As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Integration</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40"/>
              <w:spacing w:after="0" w:line="141" w:lineRule="exact"/>
              <w:rPr>
                <w:sz w:val="20"/>
                <w:szCs w:val="20"/>
                <w:color w:val="auto"/>
              </w:rPr>
            </w:pPr>
            <w:r>
              <w:rPr>
                <w:rFonts w:ascii="Arial" w:cs="Arial" w:eastAsia="Arial" w:hAnsi="Arial"/>
                <w:sz w:val="13"/>
                <w:szCs w:val="13"/>
                <w:b w:val="1"/>
                <w:bCs w:val="1"/>
                <w:color w:val="auto"/>
              </w:rPr>
              <w:t>of</w:t>
            </w:r>
          </w:p>
        </w:tc>
        <w:tc>
          <w:tcPr>
            <w:tcW w:w="100" w:type="dxa"/>
            <w:vAlign w:val="bottom"/>
          </w:tcPr>
          <w:p>
            <w:pPr>
              <w:spacing w:after="0"/>
              <w:rPr>
                <w:sz w:val="12"/>
                <w:szCs w:val="12"/>
                <w:color w:val="auto"/>
              </w:rPr>
            </w:pPr>
          </w:p>
        </w:tc>
        <w:tc>
          <w:tcPr>
            <w:tcW w:w="720" w:type="dxa"/>
            <w:vAlign w:val="bottom"/>
            <w:gridSpan w:val="2"/>
          </w:tcPr>
          <w:p>
            <w:pPr>
              <w:jc w:val="right"/>
              <w:ind w:right="360"/>
              <w:spacing w:after="0" w:line="141" w:lineRule="exact"/>
              <w:rPr>
                <w:sz w:val="20"/>
                <w:szCs w:val="20"/>
                <w:color w:val="auto"/>
              </w:rPr>
            </w:pPr>
            <w:r>
              <w:rPr>
                <w:rFonts w:ascii="Arial" w:cs="Arial" w:eastAsia="Arial" w:hAnsi="Arial"/>
                <w:sz w:val="13"/>
                <w:szCs w:val="13"/>
                <w:b w:val="1"/>
                <w:bCs w:val="1"/>
                <w:color w:val="auto"/>
              </w:rPr>
              <w:t>As</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60" w:type="dxa"/>
            <w:vAlign w:val="bottom"/>
            <w:gridSpan w:val="2"/>
          </w:tcPr>
          <w:p>
            <w:pPr>
              <w:jc w:val="center"/>
              <w:ind w:right="300"/>
              <w:spacing w:after="0" w:line="132" w:lineRule="exact"/>
              <w:rPr>
                <w:sz w:val="20"/>
                <w:szCs w:val="20"/>
                <w:color w:val="auto"/>
              </w:rPr>
            </w:pPr>
            <w:r>
              <w:rPr>
                <w:rFonts w:ascii="Arial" w:cs="Arial" w:eastAsia="Arial" w:hAnsi="Arial"/>
                <w:sz w:val="13"/>
                <w:szCs w:val="13"/>
                <w:b w:val="1"/>
                <w:bCs w:val="1"/>
                <w:color w:val="auto"/>
                <w:w w:val="98"/>
              </w:rPr>
              <w:t>Reported</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ind w:left="40"/>
              <w:spacing w:after="0" w:line="132" w:lineRule="exact"/>
              <w:rPr>
                <w:sz w:val="20"/>
                <w:szCs w:val="20"/>
                <w:color w:val="auto"/>
              </w:rPr>
            </w:pPr>
            <w:r>
              <w:rPr>
                <w:rFonts w:ascii="Arial" w:cs="Arial" w:eastAsia="Arial" w:hAnsi="Arial"/>
                <w:sz w:val="13"/>
                <w:szCs w:val="13"/>
                <w:b w:val="1"/>
                <w:bCs w:val="1"/>
                <w:color w:val="auto"/>
              </w:rPr>
              <w:t>Impact of</w:t>
            </w:r>
          </w:p>
        </w:tc>
        <w:tc>
          <w:tcPr>
            <w:tcW w:w="940" w:type="dxa"/>
            <w:vAlign w:val="bottom"/>
            <w:gridSpan w:val="3"/>
          </w:tcPr>
          <w:p>
            <w:pPr>
              <w:jc w:val="right"/>
              <w:ind w:right="340"/>
              <w:spacing w:after="0" w:line="132" w:lineRule="exact"/>
              <w:rPr>
                <w:sz w:val="20"/>
                <w:szCs w:val="20"/>
                <w:color w:val="auto"/>
              </w:rPr>
            </w:pPr>
            <w:r>
              <w:rPr>
                <w:rFonts w:ascii="Arial" w:cs="Arial" w:eastAsia="Arial" w:hAnsi="Arial"/>
                <w:sz w:val="13"/>
                <w:szCs w:val="13"/>
                <w:b w:val="1"/>
                <w:bCs w:val="1"/>
                <w:color w:val="auto"/>
              </w:rPr>
              <w:t>Program</w:t>
            </w:r>
          </w:p>
        </w:tc>
        <w:tc>
          <w:tcPr>
            <w:tcW w:w="280" w:type="dxa"/>
            <w:vAlign w:val="bottom"/>
          </w:tcPr>
          <w:p>
            <w:pPr>
              <w:spacing w:after="0"/>
              <w:rPr>
                <w:sz w:val="11"/>
                <w:szCs w:val="11"/>
                <w:color w:val="auto"/>
              </w:rPr>
            </w:pPr>
          </w:p>
        </w:tc>
        <w:tc>
          <w:tcPr>
            <w:tcW w:w="980" w:type="dxa"/>
            <w:vAlign w:val="bottom"/>
            <w:gridSpan w:val="3"/>
          </w:tcPr>
          <w:p>
            <w:pPr>
              <w:jc w:val="right"/>
              <w:ind w:right="320"/>
              <w:spacing w:after="0" w:line="132" w:lineRule="exact"/>
              <w:rPr>
                <w:sz w:val="20"/>
                <w:szCs w:val="20"/>
                <w:color w:val="auto"/>
              </w:rPr>
            </w:pPr>
            <w:r>
              <w:rPr>
                <w:rFonts w:ascii="Arial" w:cs="Arial" w:eastAsia="Arial" w:hAnsi="Arial"/>
                <w:sz w:val="13"/>
                <w:szCs w:val="13"/>
                <w:b w:val="1"/>
                <w:bCs w:val="1"/>
                <w:color w:val="auto"/>
              </w:rPr>
              <w:t>Impact of</w:t>
            </w:r>
          </w:p>
        </w:tc>
        <w:tc>
          <w:tcPr>
            <w:tcW w:w="280" w:type="dxa"/>
            <w:vAlign w:val="bottom"/>
          </w:tcPr>
          <w:p>
            <w:pPr>
              <w:spacing w:after="0"/>
              <w:rPr>
                <w:sz w:val="11"/>
                <w:szCs w:val="11"/>
                <w:color w:val="auto"/>
              </w:rPr>
            </w:pPr>
          </w:p>
        </w:tc>
        <w:tc>
          <w:tcPr>
            <w:tcW w:w="1020" w:type="dxa"/>
            <w:vAlign w:val="bottom"/>
            <w:gridSpan w:val="3"/>
          </w:tcPr>
          <w:p>
            <w:pPr>
              <w:jc w:val="right"/>
              <w:ind w:right="540"/>
              <w:spacing w:after="0" w:line="132" w:lineRule="exact"/>
              <w:rPr>
                <w:sz w:val="20"/>
                <w:szCs w:val="20"/>
                <w:color w:val="auto"/>
              </w:rPr>
            </w:pPr>
            <w:r>
              <w:rPr>
                <w:rFonts w:ascii="Arial" w:cs="Arial" w:eastAsia="Arial" w:hAnsi="Arial"/>
                <w:sz w:val="13"/>
                <w:szCs w:val="13"/>
                <w:b w:val="1"/>
                <w:bCs w:val="1"/>
                <w:color w:val="auto"/>
                <w:w w:val="93"/>
              </w:rPr>
              <w:t>Spin-off</w:t>
            </w:r>
          </w:p>
        </w:tc>
        <w:tc>
          <w:tcPr>
            <w:tcW w:w="100" w:type="dxa"/>
            <w:vAlign w:val="bottom"/>
          </w:tcPr>
          <w:p>
            <w:pPr>
              <w:spacing w:after="0"/>
              <w:rPr>
                <w:sz w:val="11"/>
                <w:szCs w:val="11"/>
                <w:color w:val="auto"/>
              </w:rPr>
            </w:pPr>
          </w:p>
        </w:tc>
        <w:tc>
          <w:tcPr>
            <w:tcW w:w="720" w:type="dxa"/>
            <w:vAlign w:val="bottom"/>
            <w:gridSpan w:val="2"/>
          </w:tcPr>
          <w:p>
            <w:pPr>
              <w:jc w:val="right"/>
              <w:ind w:right="160"/>
              <w:spacing w:after="0" w:line="132" w:lineRule="exact"/>
              <w:rPr>
                <w:sz w:val="20"/>
                <w:szCs w:val="20"/>
                <w:color w:val="auto"/>
              </w:rPr>
            </w:pPr>
            <w:r>
              <w:rPr>
                <w:rFonts w:ascii="Arial" w:cs="Arial" w:eastAsia="Arial" w:hAnsi="Arial"/>
                <w:sz w:val="13"/>
                <w:szCs w:val="13"/>
                <w:b w:val="1"/>
                <w:bCs w:val="1"/>
                <w:color w:val="auto"/>
                <w:w w:val="97"/>
              </w:rPr>
              <w:t>Adjusted</w:t>
            </w:r>
          </w:p>
        </w:tc>
        <w:tc>
          <w:tcPr>
            <w:tcW w:w="0" w:type="dxa"/>
            <w:vAlign w:val="bottom"/>
          </w:tcPr>
          <w:p>
            <w:pPr>
              <w:spacing w:after="0"/>
              <w:rPr>
                <w:sz w:val="1"/>
                <w:szCs w:val="1"/>
                <w:color w:val="auto"/>
              </w:rPr>
            </w:pPr>
          </w:p>
        </w:tc>
      </w:tr>
      <w:tr>
        <w:trPr>
          <w:trHeight w:val="166"/>
        </w:trPr>
        <w:tc>
          <w:tcPr>
            <w:tcW w:w="4540" w:type="dxa"/>
            <w:vAlign w:val="bottom"/>
            <w:gridSpan w:val="3"/>
            <w:vMerge w:val="restart"/>
          </w:tcPr>
          <w:p>
            <w:pPr>
              <w:spacing w:after="0"/>
              <w:rPr>
                <w:sz w:val="20"/>
                <w:szCs w:val="20"/>
                <w:color w:val="auto"/>
              </w:rPr>
            </w:pPr>
            <w:r>
              <w:rPr>
                <w:rFonts w:ascii="Arial" w:cs="Arial" w:eastAsia="Arial" w:hAnsi="Arial"/>
                <w:sz w:val="17"/>
                <w:szCs w:val="17"/>
                <w:color w:val="auto"/>
              </w:rPr>
              <w:t>Segment Operating Income:</w:t>
            </w:r>
          </w:p>
        </w:tc>
        <w:tc>
          <w:tcPr>
            <w:tcW w:w="8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(GAAP)</w:t>
            </w:r>
          </w:p>
        </w:tc>
        <w:tc>
          <w:tcPr>
            <w:tcW w:w="240" w:type="dxa"/>
            <w:vAlign w:val="bottom"/>
          </w:tcPr>
          <w:p>
            <w:pPr>
              <w:spacing w:after="0"/>
              <w:rPr>
                <w:sz w:val="14"/>
                <w:szCs w:val="14"/>
                <w:color w:val="auto"/>
              </w:rPr>
            </w:pPr>
          </w:p>
        </w:tc>
        <w:tc>
          <w:tcPr>
            <w:tcW w:w="1420" w:type="dxa"/>
            <w:vAlign w:val="bottom"/>
            <w:gridSpan w:val="3"/>
          </w:tcPr>
          <w:p>
            <w:pPr>
              <w:spacing w:after="0" w:line="166" w:lineRule="exact"/>
              <w:rPr>
                <w:sz w:val="20"/>
                <w:szCs w:val="20"/>
                <w:color w:val="auto"/>
              </w:rPr>
            </w:pPr>
            <w:r>
              <w:rPr>
                <w:rFonts w:ascii="Arial" w:cs="Arial" w:eastAsia="Arial" w:hAnsi="Arial"/>
                <w:sz w:val="12"/>
                <w:szCs w:val="12"/>
                <w:b w:val="1"/>
                <w:bCs w:val="1"/>
                <w:color w:val="auto"/>
              </w:rPr>
              <w:t>Divestitures</w:t>
            </w:r>
            <w:r>
              <w:rPr>
                <w:rFonts w:ascii="Arial" w:cs="Arial" w:eastAsia="Arial" w:hAnsi="Arial"/>
                <w:sz w:val="19"/>
                <w:szCs w:val="19"/>
                <w:b w:val="1"/>
                <w:bCs w:val="1"/>
                <w:color w:val="auto"/>
                <w:vertAlign w:val="superscript"/>
              </w:rPr>
              <w:t>(1)</w:t>
            </w:r>
          </w:p>
        </w:tc>
        <w:tc>
          <w:tcPr>
            <w:tcW w:w="940" w:type="dxa"/>
            <w:vAlign w:val="bottom"/>
            <w:gridSpan w:val="3"/>
          </w:tcPr>
          <w:p>
            <w:pPr>
              <w:jc w:val="right"/>
              <w:ind w:right="360"/>
              <w:spacing w:after="0" w:line="166" w:lineRule="exact"/>
              <w:rPr>
                <w:sz w:val="20"/>
                <w:szCs w:val="20"/>
                <w:color w:val="auto"/>
              </w:rPr>
            </w:pPr>
            <w:r>
              <w:rPr>
                <w:rFonts w:ascii="Arial" w:cs="Arial" w:eastAsia="Arial" w:hAnsi="Arial"/>
                <w:sz w:val="12"/>
                <w:szCs w:val="12"/>
                <w:b w:val="1"/>
                <w:bCs w:val="1"/>
                <w:color w:val="auto"/>
              </w:rPr>
              <w:t>Costs</w:t>
            </w:r>
            <w:r>
              <w:rPr>
                <w:rFonts w:ascii="Arial" w:cs="Arial" w:eastAsia="Arial" w:hAnsi="Arial"/>
                <w:sz w:val="19"/>
                <w:szCs w:val="19"/>
                <w:b w:val="1"/>
                <w:bCs w:val="1"/>
                <w:color w:val="auto"/>
                <w:vertAlign w:val="superscript"/>
              </w:rPr>
              <w:t>(2)</w:t>
            </w:r>
          </w:p>
        </w:tc>
        <w:tc>
          <w:tcPr>
            <w:tcW w:w="280" w:type="dxa"/>
            <w:vAlign w:val="bottom"/>
          </w:tcPr>
          <w:p>
            <w:pPr>
              <w:spacing w:after="0"/>
              <w:rPr>
                <w:sz w:val="14"/>
                <w:szCs w:val="14"/>
                <w:color w:val="auto"/>
              </w:rPr>
            </w:pPr>
          </w:p>
        </w:tc>
        <w:tc>
          <w:tcPr>
            <w:tcW w:w="980" w:type="dxa"/>
            <w:vAlign w:val="bottom"/>
            <w:gridSpan w:val="3"/>
          </w:tcPr>
          <w:p>
            <w:pPr>
              <w:spacing w:after="0" w:line="166" w:lineRule="exact"/>
              <w:rPr>
                <w:sz w:val="20"/>
                <w:szCs w:val="20"/>
                <w:color w:val="auto"/>
              </w:rPr>
            </w:pPr>
            <w:r>
              <w:rPr>
                <w:rFonts w:ascii="Arial" w:cs="Arial" w:eastAsia="Arial" w:hAnsi="Arial"/>
                <w:sz w:val="12"/>
                <w:szCs w:val="12"/>
                <w:b w:val="1"/>
                <w:bCs w:val="1"/>
                <w:color w:val="auto"/>
              </w:rPr>
              <w:t>Currency</w:t>
            </w:r>
            <w:r>
              <w:rPr>
                <w:rFonts w:ascii="Arial" w:cs="Arial" w:eastAsia="Arial" w:hAnsi="Arial"/>
                <w:sz w:val="19"/>
                <w:szCs w:val="19"/>
                <w:b w:val="1"/>
                <w:bCs w:val="1"/>
                <w:color w:val="auto"/>
                <w:vertAlign w:val="superscript"/>
              </w:rPr>
              <w:t>(3)</w:t>
            </w:r>
          </w:p>
        </w:tc>
        <w:tc>
          <w:tcPr>
            <w:tcW w:w="280" w:type="dxa"/>
            <w:vAlign w:val="bottom"/>
          </w:tcPr>
          <w:p>
            <w:pPr>
              <w:spacing w:after="0"/>
              <w:rPr>
                <w:sz w:val="14"/>
                <w:szCs w:val="14"/>
                <w:color w:val="auto"/>
              </w:rPr>
            </w:pPr>
          </w:p>
        </w:tc>
        <w:tc>
          <w:tcPr>
            <w:tcW w:w="1020" w:type="dxa"/>
            <w:vAlign w:val="bottom"/>
            <w:gridSpan w:val="3"/>
          </w:tcPr>
          <w:p>
            <w:pPr>
              <w:jc w:val="right"/>
              <w:ind w:right="540"/>
              <w:spacing w:after="0" w:line="166" w:lineRule="exact"/>
              <w:rPr>
                <w:sz w:val="20"/>
                <w:szCs w:val="20"/>
                <w:color w:val="auto"/>
              </w:rPr>
            </w:pPr>
            <w:r>
              <w:rPr>
                <w:rFonts w:ascii="Arial" w:cs="Arial" w:eastAsia="Arial" w:hAnsi="Arial"/>
                <w:sz w:val="12"/>
                <w:szCs w:val="12"/>
                <w:b w:val="1"/>
                <w:bCs w:val="1"/>
                <w:color w:val="auto"/>
                <w:w w:val="94"/>
              </w:rPr>
              <w:t>Costs</w:t>
            </w:r>
            <w:r>
              <w:rPr>
                <w:rFonts w:ascii="Arial" w:cs="Arial" w:eastAsia="Arial" w:hAnsi="Arial"/>
                <w:sz w:val="19"/>
                <w:szCs w:val="19"/>
                <w:b w:val="1"/>
                <w:bCs w:val="1"/>
                <w:color w:val="auto"/>
                <w:w w:val="94"/>
                <w:vertAlign w:val="superscript"/>
              </w:rPr>
              <w:t>(4)</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rPr>
              <w:t>(Non-GAAP)</w:t>
            </w:r>
          </w:p>
        </w:tc>
        <w:tc>
          <w:tcPr>
            <w:tcW w:w="0" w:type="dxa"/>
            <w:vAlign w:val="bottom"/>
          </w:tcPr>
          <w:p>
            <w:pPr>
              <w:spacing w:after="0"/>
              <w:rPr>
                <w:sz w:val="1"/>
                <w:szCs w:val="1"/>
                <w:color w:val="auto"/>
              </w:rPr>
            </w:pPr>
          </w:p>
        </w:tc>
      </w:tr>
      <w:tr>
        <w:trPr>
          <w:trHeight w:val="155"/>
        </w:trPr>
        <w:tc>
          <w:tcPr>
            <w:tcW w:w="4540" w:type="dxa"/>
            <w:vAlign w:val="bottom"/>
            <w:gridSpan w:val="3"/>
            <w:vMerge w:val="continue"/>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540" w:type="dxa"/>
            <w:vAlign w:val="bottom"/>
            <w:gridSpan w:val="3"/>
          </w:tcPr>
          <w:p>
            <w:pPr>
              <w:ind w:left="420"/>
              <w:spacing w:after="0" w:line="192" w:lineRule="exact"/>
              <w:rPr>
                <w:sz w:val="20"/>
                <w:szCs w:val="20"/>
                <w:color w:val="auto"/>
              </w:rPr>
            </w:pPr>
            <w:r>
              <w:rPr>
                <w:rFonts w:ascii="Arial" w:cs="Arial" w:eastAsia="Arial" w:hAnsi="Arial"/>
                <w:sz w:val="17"/>
                <w:szCs w:val="17"/>
                <w:b w:val="1"/>
                <w:bCs w:val="1"/>
                <w:color w:val="auto"/>
              </w:rPr>
              <w:t>Kraft Foods North America</w:t>
            </w:r>
          </w:p>
        </w:tc>
        <w:tc>
          <w:tcPr>
            <w:tcW w:w="560" w:type="dxa"/>
            <w:vAlign w:val="bottom"/>
          </w:tcPr>
          <w:p>
            <w:pPr>
              <w:jc w:val="right"/>
              <w:spacing w:after="0" w:line="192" w:lineRule="exact"/>
              <w:rPr>
                <w:sz w:val="20"/>
                <w:szCs w:val="20"/>
                <w:color w:val="auto"/>
              </w:rPr>
            </w:pPr>
            <w:r>
              <w:rPr>
                <w:rFonts w:ascii="Arial" w:cs="Arial" w:eastAsia="Arial" w:hAnsi="Arial"/>
                <w:sz w:val="17"/>
                <w:szCs w:val="17"/>
                <w:b w:val="1"/>
                <w:bCs w:val="1"/>
                <w:color w:val="auto"/>
                <w:w w:val="95"/>
              </w:rPr>
              <w:t>$ 4,167</w:t>
            </w:r>
          </w:p>
        </w:tc>
        <w:tc>
          <w:tcPr>
            <w:tcW w:w="300" w:type="dxa"/>
            <w:vAlign w:val="bottom"/>
          </w:tcPr>
          <w:p>
            <w:pPr>
              <w:spacing w:after="0"/>
              <w:rPr>
                <w:sz w:val="16"/>
                <w:szCs w:val="16"/>
                <w:color w:val="auto"/>
              </w:rPr>
            </w:pPr>
          </w:p>
        </w:tc>
        <w:tc>
          <w:tcPr>
            <w:tcW w:w="360" w:type="dxa"/>
            <w:vAlign w:val="bottom"/>
            <w:gridSpan w:val="2"/>
          </w:tcPr>
          <w:p>
            <w:pPr>
              <w:ind w:left="240"/>
              <w:spacing w:after="0" w:line="192" w:lineRule="exact"/>
              <w:rPr>
                <w:sz w:val="20"/>
                <w:szCs w:val="20"/>
                <w:color w:val="auto"/>
              </w:rPr>
            </w:pPr>
            <w:r>
              <w:rPr>
                <w:rFonts w:ascii="Arial" w:cs="Arial" w:eastAsia="Arial" w:hAnsi="Arial"/>
                <w:sz w:val="17"/>
                <w:szCs w:val="17"/>
                <w:b w:val="1"/>
                <w:bCs w:val="1"/>
                <w:color w:val="auto"/>
              </w:rPr>
              <w:t>$</w:t>
            </w:r>
          </w:p>
        </w:tc>
        <w:tc>
          <w:tcPr>
            <w:tcW w:w="1300" w:type="dxa"/>
            <w:vAlign w:val="bottom"/>
            <w:gridSpan w:val="2"/>
          </w:tcPr>
          <w:p>
            <w:pPr>
              <w:ind w:left="460"/>
              <w:spacing w:after="0" w:line="192" w:lineRule="exact"/>
              <w:rPr>
                <w:sz w:val="20"/>
                <w:szCs w:val="20"/>
                <w:color w:val="auto"/>
              </w:rPr>
            </w:pPr>
            <w:r>
              <w:rPr>
                <w:rFonts w:ascii="Arial" w:cs="Arial" w:eastAsia="Arial" w:hAnsi="Arial"/>
                <w:sz w:val="17"/>
                <w:szCs w:val="17"/>
                <w:b w:val="1"/>
                <w:bCs w:val="1"/>
                <w:color w:val="auto"/>
              </w:rPr>
              <w:t>(15)</w:t>
            </w:r>
          </w:p>
        </w:tc>
        <w:tc>
          <w:tcPr>
            <w:tcW w:w="240" w:type="dxa"/>
            <w:vAlign w:val="bottom"/>
          </w:tcPr>
          <w:p>
            <w:pPr>
              <w:spacing w:after="0" w:line="192" w:lineRule="exact"/>
              <w:rPr>
                <w:sz w:val="20"/>
                <w:szCs w:val="20"/>
                <w:color w:val="auto"/>
              </w:rPr>
            </w:pPr>
            <w:r>
              <w:rPr>
                <w:rFonts w:ascii="Arial" w:cs="Arial" w:eastAsia="Arial" w:hAnsi="Arial"/>
                <w:sz w:val="17"/>
                <w:szCs w:val="17"/>
                <w:b w:val="1"/>
                <w:bCs w:val="1"/>
                <w:color w:val="auto"/>
              </w:rPr>
              <w:t>$</w:t>
            </w:r>
          </w:p>
        </w:tc>
        <w:tc>
          <w:tcPr>
            <w:tcW w:w="700" w:type="dxa"/>
            <w:vAlign w:val="bottom"/>
            <w:gridSpan w:val="2"/>
          </w:tcPr>
          <w:p>
            <w:pPr>
              <w:jc w:val="right"/>
              <w:ind w:right="280"/>
              <w:spacing w:after="0" w:line="192" w:lineRule="exact"/>
              <w:rPr>
                <w:sz w:val="20"/>
                <w:szCs w:val="20"/>
                <w:color w:val="auto"/>
              </w:rPr>
            </w:pPr>
            <w:r>
              <w:rPr>
                <w:rFonts w:ascii="Arial" w:cs="Arial" w:eastAsia="Arial" w:hAnsi="Arial"/>
                <w:sz w:val="17"/>
                <w:szCs w:val="17"/>
                <w:b w:val="1"/>
                <w:bCs w:val="1"/>
                <w:color w:val="auto"/>
              </w:rPr>
              <w:t>66</w:t>
            </w:r>
          </w:p>
        </w:tc>
        <w:tc>
          <w:tcPr>
            <w:tcW w:w="520" w:type="dxa"/>
            <w:vAlign w:val="bottom"/>
            <w:gridSpan w:val="2"/>
          </w:tcPr>
          <w:p>
            <w:pPr>
              <w:ind w:left="280"/>
              <w:spacing w:after="0" w:line="192" w:lineRule="exact"/>
              <w:rPr>
                <w:sz w:val="20"/>
                <w:szCs w:val="20"/>
                <w:color w:val="auto"/>
              </w:rPr>
            </w:pPr>
            <w:r>
              <w:rPr>
                <w:rFonts w:ascii="Arial" w:cs="Arial" w:eastAsia="Arial" w:hAnsi="Arial"/>
                <w:sz w:val="17"/>
                <w:szCs w:val="17"/>
                <w:b w:val="1"/>
                <w:bCs w:val="1"/>
                <w:color w:val="auto"/>
              </w:rPr>
              <w:t>$</w:t>
            </w:r>
          </w:p>
        </w:tc>
        <w:tc>
          <w:tcPr>
            <w:tcW w:w="740" w:type="dxa"/>
            <w:vAlign w:val="bottom"/>
            <w:gridSpan w:val="2"/>
          </w:tcPr>
          <w:p>
            <w:pPr>
              <w:ind w:left="160"/>
              <w:spacing w:after="0" w:line="192" w:lineRule="exact"/>
              <w:rPr>
                <w:sz w:val="20"/>
                <w:szCs w:val="20"/>
                <w:color w:val="auto"/>
              </w:rPr>
            </w:pPr>
            <w:r>
              <w:rPr>
                <w:rFonts w:ascii="Arial" w:cs="Arial" w:eastAsia="Arial" w:hAnsi="Arial"/>
                <w:sz w:val="17"/>
                <w:szCs w:val="17"/>
                <w:b w:val="1"/>
                <w:bCs w:val="1"/>
                <w:color w:val="auto"/>
              </w:rPr>
              <w:t>(16)</w:t>
            </w:r>
          </w:p>
        </w:tc>
        <w:tc>
          <w:tcPr>
            <w:tcW w:w="420" w:type="dxa"/>
            <w:vAlign w:val="bottom"/>
            <w:gridSpan w:val="2"/>
          </w:tcPr>
          <w:p>
            <w:pPr>
              <w:jc w:val="right"/>
              <w:spacing w:after="0" w:line="192" w:lineRule="exact"/>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80"/>
              <w:spacing w:after="0" w:line="192" w:lineRule="exact"/>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line="192" w:lineRule="exact"/>
              <w:rPr>
                <w:sz w:val="20"/>
                <w:szCs w:val="20"/>
                <w:color w:val="auto"/>
              </w:rPr>
            </w:pPr>
            <w:r>
              <w:rPr>
                <w:rFonts w:ascii="Arial" w:cs="Arial" w:eastAsia="Arial" w:hAnsi="Arial"/>
                <w:sz w:val="17"/>
                <w:szCs w:val="17"/>
                <w:b w:val="1"/>
                <w:bCs w:val="1"/>
                <w:color w:val="auto"/>
                <w:w w:val="84"/>
              </w:rPr>
              <w:t>$</w:t>
            </w:r>
          </w:p>
        </w:tc>
        <w:tc>
          <w:tcPr>
            <w:tcW w:w="66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4,202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40" w:type="dxa"/>
            <w:vAlign w:val="bottom"/>
            <w:gridSpan w:val="3"/>
          </w:tcPr>
          <w:p>
            <w:pPr>
              <w:ind w:left="420"/>
              <w:spacing w:after="0" w:line="192" w:lineRule="exact"/>
              <w:rPr>
                <w:sz w:val="20"/>
                <w:szCs w:val="20"/>
                <w:color w:val="auto"/>
              </w:rPr>
            </w:pPr>
            <w:r>
              <w:rPr>
                <w:rFonts w:ascii="Arial" w:cs="Arial" w:eastAsia="Arial" w:hAnsi="Arial"/>
                <w:sz w:val="17"/>
                <w:szCs w:val="17"/>
                <w:b w:val="1"/>
                <w:bCs w:val="1"/>
                <w:color w:val="auto"/>
              </w:rPr>
              <w:t>Kraft Foods Europe</w:t>
            </w:r>
          </w:p>
        </w:tc>
        <w:tc>
          <w:tcPr>
            <w:tcW w:w="56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1,406</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500"/>
              <w:spacing w:after="0" w:line="192" w:lineRule="exact"/>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6"/>
                <w:szCs w:val="16"/>
                <w:color w:val="auto"/>
              </w:rPr>
            </w:pPr>
          </w:p>
        </w:tc>
        <w:tc>
          <w:tcPr>
            <w:tcW w:w="700" w:type="dxa"/>
            <w:vAlign w:val="bottom"/>
            <w:gridSpan w:val="2"/>
          </w:tcPr>
          <w:p>
            <w:pPr>
              <w:jc w:val="right"/>
              <w:ind w:right="280"/>
              <w:spacing w:after="0" w:line="192" w:lineRule="exact"/>
              <w:rPr>
                <w:sz w:val="20"/>
                <w:szCs w:val="20"/>
                <w:color w:val="auto"/>
              </w:rPr>
            </w:pPr>
            <w:r>
              <w:rPr>
                <w:rFonts w:ascii="Arial" w:cs="Arial" w:eastAsia="Arial" w:hAnsi="Arial"/>
                <w:sz w:val="17"/>
                <w:szCs w:val="17"/>
                <w:b w:val="1"/>
                <w:bCs w:val="1"/>
                <w:color w:val="auto"/>
              </w:rPr>
              <w:t>256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ind w:left="160"/>
              <w:spacing w:after="0" w:line="192" w:lineRule="exact"/>
              <w:rPr>
                <w:sz w:val="20"/>
                <w:szCs w:val="20"/>
                <w:color w:val="auto"/>
              </w:rPr>
            </w:pPr>
            <w:r>
              <w:rPr>
                <w:rFonts w:ascii="Arial" w:cs="Arial" w:eastAsia="Arial" w:hAnsi="Arial"/>
                <w:sz w:val="17"/>
                <w:szCs w:val="17"/>
                <w:b w:val="1"/>
                <w:bCs w:val="1"/>
                <w:color w:val="auto"/>
              </w:rPr>
              <w:t>(43)</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80"/>
              <w:spacing w:after="0" w:line="192" w:lineRule="exact"/>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6"/>
                <w:szCs w:val="16"/>
                <w:color w:val="auto"/>
              </w:rPr>
            </w:pPr>
          </w:p>
        </w:tc>
        <w:tc>
          <w:tcPr>
            <w:tcW w:w="660" w:type="dxa"/>
            <w:vAlign w:val="bottom"/>
          </w:tcPr>
          <w:p>
            <w:pPr>
              <w:jc w:val="right"/>
              <w:spacing w:after="0" w:line="192" w:lineRule="exact"/>
              <w:rPr>
                <w:sz w:val="20"/>
                <w:szCs w:val="20"/>
                <w:color w:val="auto"/>
              </w:rPr>
            </w:pPr>
            <w:r>
              <w:rPr>
                <w:rFonts w:ascii="Arial" w:cs="Arial" w:eastAsia="Arial" w:hAnsi="Arial"/>
                <w:sz w:val="17"/>
                <w:szCs w:val="17"/>
                <w:b w:val="1"/>
                <w:bCs w:val="1"/>
                <w:color w:val="auto"/>
              </w:rPr>
              <w:t>1,619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540" w:type="dxa"/>
            <w:vAlign w:val="bottom"/>
            <w:gridSpan w:val="3"/>
          </w:tcPr>
          <w:p>
            <w:pPr>
              <w:ind w:left="420"/>
              <w:spacing w:after="0"/>
              <w:rPr>
                <w:sz w:val="20"/>
                <w:szCs w:val="20"/>
                <w:color w:val="auto"/>
              </w:rPr>
            </w:pPr>
            <w:r>
              <w:rPr>
                <w:rFonts w:ascii="Arial" w:cs="Arial" w:eastAsia="Arial" w:hAnsi="Arial"/>
                <w:sz w:val="17"/>
                <w:szCs w:val="17"/>
                <w:b w:val="1"/>
                <w:bCs w:val="1"/>
                <w:color w:val="auto"/>
              </w:rPr>
              <w:t>Kraft Foods Developing Markets</w:t>
            </w: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2,053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161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ind w:left="160"/>
              <w:spacing w:after="0"/>
              <w:rPr>
                <w:sz w:val="20"/>
                <w:szCs w:val="20"/>
                <w:color w:val="auto"/>
              </w:rPr>
            </w:pPr>
            <w:r>
              <w:rPr>
                <w:rFonts w:ascii="Arial" w:cs="Arial" w:eastAsia="Arial" w:hAnsi="Arial"/>
                <w:sz w:val="17"/>
                <w:szCs w:val="17"/>
                <w:b w:val="1"/>
                <w:bCs w:val="1"/>
                <w:color w:val="auto"/>
              </w:rPr>
              <w:t>(28)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80"/>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b w:val="1"/>
                <w:bCs w:val="1"/>
                <w:color w:val="auto"/>
              </w:rPr>
              <w:t>2,186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4540" w:type="dxa"/>
            <w:vAlign w:val="bottom"/>
            <w:gridSpan w:val="3"/>
          </w:tcPr>
          <w:p>
            <w:pPr>
              <w:spacing w:after="0"/>
              <w:rPr>
                <w:sz w:val="20"/>
                <w:szCs w:val="20"/>
                <w:color w:val="auto"/>
              </w:rPr>
            </w:pPr>
            <w:r>
              <w:rPr>
                <w:rFonts w:ascii="Arial" w:cs="Arial" w:eastAsia="Arial" w:hAnsi="Arial"/>
                <w:sz w:val="17"/>
                <w:szCs w:val="17"/>
                <w:color w:val="auto"/>
              </w:rPr>
              <w:t>Unrealized G/(L) on Hedging Activities</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(100)</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92"/>
        </w:trPr>
        <w:tc>
          <w:tcPr>
            <w:tcW w:w="4540" w:type="dxa"/>
            <w:vAlign w:val="bottom"/>
            <w:gridSpan w:val="3"/>
          </w:tcPr>
          <w:p>
            <w:pPr>
              <w:spacing w:after="0" w:line="192" w:lineRule="exact"/>
              <w:rPr>
                <w:sz w:val="20"/>
                <w:szCs w:val="20"/>
                <w:color w:val="auto"/>
              </w:rPr>
            </w:pPr>
            <w:r>
              <w:rPr>
                <w:rFonts w:ascii="Arial" w:cs="Arial" w:eastAsia="Arial" w:hAnsi="Arial"/>
                <w:sz w:val="17"/>
                <w:szCs w:val="17"/>
                <w:color w:val="auto"/>
              </w:rPr>
              <w:t>HQ Pension</w:t>
            </w:r>
          </w:p>
        </w:tc>
        <w:tc>
          <w:tcPr>
            <w:tcW w:w="860" w:type="dxa"/>
            <w:vAlign w:val="bottom"/>
            <w:gridSpan w:val="2"/>
          </w:tcPr>
          <w:p>
            <w:pPr>
              <w:jc w:val="right"/>
              <w:ind w:right="260"/>
              <w:spacing w:after="0" w:line="192" w:lineRule="exact"/>
              <w:rPr>
                <w:sz w:val="20"/>
                <w:szCs w:val="20"/>
                <w:color w:val="auto"/>
              </w:rPr>
            </w:pPr>
            <w:r>
              <w:rPr>
                <w:rFonts w:ascii="Arial" w:cs="Arial" w:eastAsia="Arial" w:hAnsi="Arial"/>
                <w:sz w:val="17"/>
                <w:szCs w:val="17"/>
                <w:color w:val="auto"/>
              </w:rPr>
              <w:t>(206)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500"/>
              <w:spacing w:after="0" w:line="192"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700" w:type="dxa"/>
            <w:vAlign w:val="bottom"/>
            <w:gridSpan w:val="2"/>
          </w:tcPr>
          <w:p>
            <w:pPr>
              <w:jc w:val="right"/>
              <w:ind w:right="360"/>
              <w:spacing w:after="0" w:line="192"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gridSpan w:val="2"/>
          </w:tcPr>
          <w:p>
            <w:pPr>
              <w:ind w:left="160"/>
              <w:spacing w:after="0" w:line="192"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80"/>
              <w:spacing w:after="0" w:line="192"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2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192"/>
        </w:trPr>
        <w:tc>
          <w:tcPr>
            <w:tcW w:w="4540" w:type="dxa"/>
            <w:vAlign w:val="bottom"/>
            <w:gridSpan w:val="3"/>
          </w:tcPr>
          <w:p>
            <w:pPr>
              <w:spacing w:after="0" w:line="192" w:lineRule="exact"/>
              <w:rPr>
                <w:sz w:val="20"/>
                <w:szCs w:val="20"/>
                <w:color w:val="auto"/>
              </w:rPr>
            </w:pPr>
            <w:r>
              <w:rPr>
                <w:rFonts w:ascii="Arial" w:cs="Arial" w:eastAsia="Arial" w:hAnsi="Arial"/>
                <w:sz w:val="17"/>
                <w:szCs w:val="17"/>
                <w:color w:val="auto"/>
              </w:rPr>
              <w:t>General Corporate Expenses</w:t>
            </w:r>
          </w:p>
        </w:tc>
        <w:tc>
          <w:tcPr>
            <w:tcW w:w="860" w:type="dxa"/>
            <w:vAlign w:val="bottom"/>
            <w:gridSpan w:val="2"/>
          </w:tcPr>
          <w:p>
            <w:pPr>
              <w:jc w:val="right"/>
              <w:ind w:right="260"/>
              <w:spacing w:after="0" w:line="192" w:lineRule="exact"/>
              <w:rPr>
                <w:sz w:val="20"/>
                <w:szCs w:val="20"/>
                <w:color w:val="auto"/>
              </w:rPr>
            </w:pPr>
            <w:r>
              <w:rPr>
                <w:rFonts w:ascii="Arial" w:cs="Arial" w:eastAsia="Arial" w:hAnsi="Arial"/>
                <w:sz w:val="17"/>
                <w:szCs w:val="17"/>
                <w:color w:val="auto"/>
              </w:rPr>
              <w:t>(438)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500"/>
              <w:spacing w:after="0" w:line="192"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700" w:type="dxa"/>
            <w:vAlign w:val="bottom"/>
            <w:gridSpan w:val="2"/>
          </w:tcPr>
          <w:p>
            <w:pPr>
              <w:jc w:val="right"/>
              <w:ind w:right="280"/>
              <w:spacing w:after="0" w:line="192" w:lineRule="exact"/>
              <w:rPr>
                <w:sz w:val="20"/>
                <w:szCs w:val="20"/>
                <w:color w:val="auto"/>
              </w:rPr>
            </w:pPr>
            <w:r>
              <w:rPr>
                <w:rFonts w:ascii="Arial" w:cs="Arial" w:eastAsia="Arial" w:hAnsi="Arial"/>
                <w:sz w:val="17"/>
                <w:szCs w:val="17"/>
                <w:color w:val="auto"/>
              </w:rPr>
              <w:t>38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jc w:val="right"/>
              <w:spacing w:after="0" w:line="192" w:lineRule="exact"/>
              <w:rPr>
                <w:sz w:val="20"/>
                <w:szCs w:val="20"/>
                <w:color w:val="auto"/>
              </w:rPr>
            </w:pPr>
            <w:r>
              <w:rPr>
                <w:rFonts w:ascii="Arial" w:cs="Arial" w:eastAsia="Arial" w:hAnsi="Arial"/>
                <w:sz w:val="17"/>
                <w:szCs w:val="17"/>
                <w:color w:val="auto"/>
              </w:rPr>
              <w:t>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540"/>
              <w:spacing w:after="0" w:line="192" w:lineRule="exact"/>
              <w:rPr>
                <w:sz w:val="20"/>
                <w:szCs w:val="20"/>
                <w:color w:val="auto"/>
              </w:rPr>
            </w:pPr>
            <w:r>
              <w:rPr>
                <w:rFonts w:ascii="Arial" w:cs="Arial" w:eastAsia="Arial" w:hAnsi="Arial"/>
                <w:sz w:val="17"/>
                <w:szCs w:val="17"/>
                <w:color w:val="auto"/>
              </w:rPr>
              <w:t>46</w:t>
            </w:r>
          </w:p>
        </w:tc>
        <w:tc>
          <w:tcPr>
            <w:tcW w:w="100" w:type="dxa"/>
            <w:vAlign w:val="bottom"/>
          </w:tcPr>
          <w:p>
            <w:pPr>
              <w:spacing w:after="0"/>
              <w:rPr>
                <w:sz w:val="16"/>
                <w:szCs w:val="16"/>
                <w:color w:val="auto"/>
              </w:rPr>
            </w:pPr>
          </w:p>
        </w:tc>
        <w:tc>
          <w:tcPr>
            <w:tcW w:w="720" w:type="dxa"/>
            <w:vAlign w:val="bottom"/>
            <w:gridSpan w:val="2"/>
          </w:tcPr>
          <w:p>
            <w:pPr>
              <w:jc w:val="right"/>
              <w:spacing w:after="0" w:line="192" w:lineRule="exact"/>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189"/>
        </w:trPr>
        <w:tc>
          <w:tcPr>
            <w:tcW w:w="4540" w:type="dxa"/>
            <w:vAlign w:val="bottom"/>
            <w:gridSpan w:val="3"/>
          </w:tcPr>
          <w:p>
            <w:pPr>
              <w:spacing w:after="0" w:line="189" w:lineRule="exact"/>
              <w:rPr>
                <w:sz w:val="20"/>
                <w:szCs w:val="20"/>
                <w:color w:val="auto"/>
              </w:rPr>
            </w:pPr>
            <w:r>
              <w:rPr>
                <w:rFonts w:ascii="Arial" w:cs="Arial" w:eastAsia="Arial" w:hAnsi="Arial"/>
                <w:sz w:val="17"/>
                <w:szCs w:val="17"/>
                <w:color w:val="auto"/>
              </w:rPr>
              <w:t>Amortization of Intangibles</w:t>
            </w:r>
          </w:p>
        </w:tc>
        <w:tc>
          <w:tcPr>
            <w:tcW w:w="8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(225)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500"/>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7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8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197"/>
        </w:trPr>
        <w:tc>
          <w:tcPr>
            <w:tcW w:w="4540" w:type="dxa"/>
            <w:vAlign w:val="bottom"/>
            <w:gridSpan w:val="3"/>
          </w:tcPr>
          <w:p>
            <w:pPr>
              <w:spacing w:after="0"/>
              <w:rPr>
                <w:sz w:val="20"/>
                <w:szCs w:val="20"/>
                <w:color w:val="auto"/>
              </w:rPr>
            </w:pPr>
            <w:r>
              <w:rPr>
                <w:rFonts w:ascii="Arial" w:cs="Arial" w:eastAsia="Arial" w:hAnsi="Arial"/>
                <w:sz w:val="17"/>
                <w:szCs w:val="17"/>
                <w:b w:val="1"/>
                <w:bCs w:val="1"/>
                <w:color w:val="auto"/>
              </w:rPr>
              <w:t>Kraft Foods Inc.</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$ 6,657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7"/>
                <w:szCs w:val="17"/>
                <w:b w:val="1"/>
                <w:bCs w:val="1"/>
                <w:color w:val="auto"/>
                <w:w w:val="92"/>
              </w:rPr>
              <w:t>(15)</w:t>
            </w:r>
          </w:p>
        </w:tc>
        <w:tc>
          <w:tcPr>
            <w:tcW w:w="5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521</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4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7"/>
                <w:szCs w:val="17"/>
                <w:b w:val="1"/>
                <w:bCs w:val="1"/>
                <w:color w:val="auto"/>
                <w:w w:val="92"/>
              </w:rPr>
              <w:t>(76)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46</w:t>
            </w:r>
          </w:p>
        </w:tc>
        <w:tc>
          <w:tcPr>
            <w:tcW w:w="5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w w:val="8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70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1480" w:hanging="569"/>
        <w:spacing w:after="0"/>
        <w:tabs>
          <w:tab w:leader="none" w:pos="14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Impact of divestitures includes for reporting purposes the Starbucks packaged coffee business (“Starbucks CPG business”).</w:t>
      </w:r>
    </w:p>
    <w:p>
      <w:pPr>
        <w:spacing w:after="0" w:line="73" w:lineRule="exact"/>
        <w:rPr>
          <w:rFonts w:ascii="Arial" w:cs="Arial" w:eastAsia="Arial" w:hAnsi="Arial"/>
          <w:sz w:val="17"/>
          <w:szCs w:val="17"/>
          <w:color w:val="auto"/>
        </w:rPr>
      </w:pPr>
    </w:p>
    <w:p>
      <w:pPr>
        <w:ind w:left="1480" w:right="220" w:hanging="569"/>
        <w:spacing w:after="0" w:line="241" w:lineRule="auto"/>
        <w:tabs>
          <w:tab w:leader="none" w:pos="14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Integration Program costs are defined as the costs associated with combining the Kraft Foods Inc. and Cadbury businesses, and are separate from those costs associated with the acquisition.</w:t>
      </w:r>
    </w:p>
    <w:p>
      <w:pPr>
        <w:spacing w:after="0" w:line="67" w:lineRule="exact"/>
        <w:rPr>
          <w:rFonts w:ascii="Arial" w:cs="Arial" w:eastAsia="Arial" w:hAnsi="Arial"/>
          <w:sz w:val="17"/>
          <w:szCs w:val="17"/>
          <w:color w:val="auto"/>
        </w:rPr>
      </w:pPr>
    </w:p>
    <w:p>
      <w:pPr>
        <w:ind w:left="1480" w:hanging="569"/>
        <w:spacing w:after="0"/>
        <w:tabs>
          <w:tab w:leader="none" w:pos="14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Impact of currency rate fluctuations is calculated based on 2011 planned rates.</w:t>
      </w:r>
    </w:p>
    <w:p>
      <w:pPr>
        <w:spacing w:after="0" w:line="73" w:lineRule="exact"/>
        <w:rPr>
          <w:rFonts w:ascii="Arial" w:cs="Arial" w:eastAsia="Arial" w:hAnsi="Arial"/>
          <w:sz w:val="17"/>
          <w:szCs w:val="17"/>
          <w:color w:val="auto"/>
        </w:rPr>
      </w:pPr>
    </w:p>
    <w:p>
      <w:pPr>
        <w:ind w:left="1480" w:hanging="569"/>
        <w:spacing w:after="0"/>
        <w:tabs>
          <w:tab w:leader="none" w:pos="14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Spin-off costs include transaction fees and other costs associated with the Spin-off.</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Kraft Foods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GAAP to Non-GAAP Information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Net Cash Provided by Operating Activities to Free Cash Flow</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Twelve Months Ended December 31, 2011</w:t>
      </w:r>
    </w:p>
    <w:p>
      <w:pPr>
        <w:jc w:val="center"/>
        <w:spacing w:after="0"/>
        <w:rPr>
          <w:sz w:val="20"/>
          <w:szCs w:val="20"/>
          <w:color w:val="auto"/>
        </w:rPr>
      </w:pPr>
      <w:r>
        <w:rPr>
          <w:rFonts w:ascii="Arial" w:cs="Arial" w:eastAsia="Arial" w:hAnsi="Arial"/>
          <w:sz w:val="17"/>
          <w:szCs w:val="17"/>
          <w:b w:val="1"/>
          <w:bCs w:val="1"/>
          <w:color w:val="auto"/>
        </w:rPr>
        <w:t>($ in millions, 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7"/>
              </w:rPr>
              <w:t>North</w:t>
            </w: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rPr>
              <w:t>Developing</w:t>
            </w:r>
          </w:p>
        </w:tc>
        <w:tc>
          <w:tcPr>
            <w:tcW w:w="6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Kraft</w:t>
            </w:r>
          </w:p>
        </w:tc>
        <w:tc>
          <w:tcPr>
            <w:tcW w:w="0" w:type="dxa"/>
            <w:vAlign w:val="bottom"/>
          </w:tcPr>
          <w:p>
            <w:pPr>
              <w:spacing w:after="0"/>
              <w:rPr>
                <w:sz w:val="1"/>
                <w:szCs w:val="1"/>
                <w:color w:val="auto"/>
              </w:rPr>
            </w:pPr>
          </w:p>
        </w:tc>
      </w:tr>
      <w:tr>
        <w:trPr>
          <w:trHeight w:val="157"/>
        </w:trPr>
        <w:tc>
          <w:tcPr>
            <w:tcW w:w="4780" w:type="dxa"/>
            <w:vAlign w:val="bottom"/>
            <w:vMerge w:val="restart"/>
          </w:tcPr>
          <w:p>
            <w:pPr>
              <w:spacing w:after="0"/>
              <w:rPr>
                <w:sz w:val="20"/>
                <w:szCs w:val="20"/>
                <w:color w:val="auto"/>
              </w:rPr>
            </w:pPr>
            <w:r>
              <w:rPr>
                <w:rFonts w:ascii="Arial" w:cs="Arial" w:eastAsia="Arial" w:hAnsi="Arial"/>
                <w:sz w:val="17"/>
                <w:szCs w:val="17"/>
                <w:b w:val="1"/>
                <w:bCs w:val="1"/>
                <w:color w:val="auto"/>
              </w:rPr>
              <w:t>Net Cash Provided by Operating Activities (GAAP)</w:t>
            </w:r>
          </w:p>
        </w:tc>
        <w:tc>
          <w:tcPr>
            <w:tcW w:w="3200" w:type="dxa"/>
            <w:vAlign w:val="bottom"/>
          </w:tcPr>
          <w:p>
            <w:pPr>
              <w:spacing w:after="0"/>
              <w:rPr>
                <w:sz w:val="13"/>
                <w:szCs w:val="13"/>
                <w:color w:val="auto"/>
              </w:rPr>
            </w:pPr>
          </w:p>
        </w:tc>
        <w:tc>
          <w:tcPr>
            <w:tcW w:w="106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7"/>
              </w:rPr>
              <w:t>America</w:t>
            </w:r>
          </w:p>
        </w:tc>
        <w:tc>
          <w:tcPr>
            <w:tcW w:w="100" w:type="dxa"/>
            <w:vAlign w:val="bottom"/>
          </w:tcPr>
          <w:p>
            <w:pPr>
              <w:spacing w:after="0"/>
              <w:rPr>
                <w:sz w:val="13"/>
                <w:szCs w:val="13"/>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w w:val="97"/>
              </w:rPr>
              <w:t>Markets</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Foods</w:t>
            </w:r>
          </w:p>
        </w:tc>
        <w:tc>
          <w:tcPr>
            <w:tcW w:w="0" w:type="dxa"/>
            <w:vAlign w:val="bottom"/>
          </w:tcPr>
          <w:p>
            <w:pPr>
              <w:spacing w:after="0"/>
              <w:rPr>
                <w:sz w:val="1"/>
                <w:szCs w:val="1"/>
                <w:color w:val="auto"/>
              </w:rPr>
            </w:pPr>
          </w:p>
        </w:tc>
      </w:tr>
      <w:tr>
        <w:trPr>
          <w:trHeight w:val="188"/>
        </w:trPr>
        <w:tc>
          <w:tcPr>
            <w:tcW w:w="4780" w:type="dxa"/>
            <w:vAlign w:val="bottom"/>
            <w:vMerge w:val="continue"/>
          </w:tcPr>
          <w:p>
            <w:pPr>
              <w:spacing w:after="0"/>
              <w:rPr>
                <w:sz w:val="16"/>
                <w:szCs w:val="16"/>
                <w:color w:val="auto"/>
              </w:rPr>
            </w:pPr>
          </w:p>
        </w:tc>
        <w:tc>
          <w:tcPr>
            <w:tcW w:w="3200" w:type="dxa"/>
            <w:vAlign w:val="bottom"/>
          </w:tcPr>
          <w:p>
            <w:pPr>
              <w:spacing w:after="0"/>
              <w:rPr>
                <w:sz w:val="16"/>
                <w:szCs w:val="16"/>
                <w:color w:val="auto"/>
              </w:rPr>
            </w:pPr>
          </w:p>
        </w:tc>
        <w:tc>
          <w:tcPr>
            <w:tcW w:w="52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b w:val="1"/>
                <w:bCs w:val="1"/>
                <w:color w:val="auto"/>
                <w:w w:val="99"/>
              </w:rPr>
              <w:t>$3,431</w:t>
            </w:r>
          </w:p>
        </w:tc>
        <w:tc>
          <w:tcPr>
            <w:tcW w:w="540" w:type="dxa"/>
            <w:vAlign w:val="bottom"/>
          </w:tcPr>
          <w:p>
            <w:pPr>
              <w:spacing w:after="0"/>
              <w:rPr>
                <w:sz w:val="16"/>
                <w:szCs w:val="16"/>
                <w:color w:val="auto"/>
              </w:rPr>
            </w:pPr>
          </w:p>
        </w:tc>
        <w:tc>
          <w:tcPr>
            <w:tcW w:w="10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b w:val="1"/>
                <w:bCs w:val="1"/>
                <w:color w:val="auto"/>
                <w:w w:val="84"/>
              </w:rPr>
              <w:t>$</w:t>
            </w:r>
          </w:p>
        </w:tc>
        <w:tc>
          <w:tcPr>
            <w:tcW w:w="60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7"/>
                <w:szCs w:val="17"/>
                <w:b w:val="1"/>
                <w:bCs w:val="1"/>
                <w:color w:val="auto"/>
              </w:rPr>
              <w:t>1,384</w:t>
            </w:r>
          </w:p>
        </w:tc>
        <w:tc>
          <w:tcPr>
            <w:tcW w:w="540" w:type="dxa"/>
            <w:vAlign w:val="bottom"/>
          </w:tcPr>
          <w:p>
            <w:pPr>
              <w:spacing w:after="0"/>
              <w:rPr>
                <w:sz w:val="16"/>
                <w:szCs w:val="16"/>
                <w:color w:val="auto"/>
              </w:rPr>
            </w:pPr>
          </w:p>
        </w:tc>
        <w:tc>
          <w:tcPr>
            <w:tcW w:w="58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7"/>
                <w:szCs w:val="17"/>
                <w:b w:val="1"/>
                <w:bCs w:val="1"/>
                <w:color w:val="auto"/>
                <w:w w:val="98"/>
              </w:rPr>
              <w:t>$ 4,520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Arial" w:cs="Arial" w:eastAsia="Arial" w:hAnsi="Arial"/>
                <w:sz w:val="17"/>
                <w:szCs w:val="17"/>
                <w:color w:val="auto"/>
              </w:rPr>
              <w:t>Capital Expenditures</w:t>
            </w:r>
          </w:p>
        </w:tc>
        <w:tc>
          <w:tcPr>
            <w:tcW w:w="4260" w:type="dxa"/>
            <w:vAlign w:val="bottom"/>
            <w:gridSpan w:val="3"/>
          </w:tcPr>
          <w:p>
            <w:pPr>
              <w:jc w:val="right"/>
              <w:ind w:right="480"/>
              <w:spacing w:after="0" w:line="189" w:lineRule="exact"/>
              <w:rPr>
                <w:sz w:val="20"/>
                <w:szCs w:val="20"/>
                <w:color w:val="auto"/>
              </w:rPr>
            </w:pPr>
            <w:r>
              <w:rPr>
                <w:rFonts w:ascii="Arial" w:cs="Arial" w:eastAsia="Arial" w:hAnsi="Arial"/>
                <w:sz w:val="17"/>
                <w:szCs w:val="17"/>
                <w:color w:val="auto"/>
              </w:rPr>
              <w:t>(680)</w:t>
            </w:r>
          </w:p>
        </w:tc>
        <w:tc>
          <w:tcPr>
            <w:tcW w:w="100" w:type="dxa"/>
            <w:vAlign w:val="bottom"/>
          </w:tcPr>
          <w:p>
            <w:pPr>
              <w:spacing w:after="0"/>
              <w:rPr>
                <w:sz w:val="16"/>
                <w:szCs w:val="16"/>
                <w:color w:val="auto"/>
              </w:rPr>
            </w:pPr>
          </w:p>
        </w:tc>
        <w:tc>
          <w:tcPr>
            <w:tcW w:w="1140" w:type="dxa"/>
            <w:vAlign w:val="bottom"/>
            <w:gridSpan w:val="2"/>
          </w:tcPr>
          <w:p>
            <w:pPr>
              <w:jc w:val="right"/>
              <w:ind w:right="480"/>
              <w:spacing w:after="0" w:line="189" w:lineRule="exact"/>
              <w:rPr>
                <w:sz w:val="20"/>
                <w:szCs w:val="20"/>
                <w:color w:val="auto"/>
              </w:rPr>
            </w:pPr>
            <w:r>
              <w:rPr>
                <w:rFonts w:ascii="Arial" w:cs="Arial" w:eastAsia="Arial" w:hAnsi="Arial"/>
                <w:sz w:val="17"/>
                <w:szCs w:val="17"/>
                <w:color w:val="auto"/>
              </w:rPr>
              <w:t>(713)</w:t>
            </w: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(1,771)</w:t>
            </w:r>
          </w:p>
        </w:tc>
        <w:tc>
          <w:tcPr>
            <w:tcW w:w="0" w:type="dxa"/>
            <w:vAlign w:val="bottom"/>
          </w:tcPr>
          <w:p>
            <w:pPr>
              <w:spacing w:after="0"/>
              <w:rPr>
                <w:sz w:val="1"/>
                <w:szCs w:val="1"/>
                <w:color w:val="auto"/>
              </w:rPr>
            </w:pPr>
          </w:p>
        </w:tc>
      </w:tr>
      <w:tr>
        <w:trPr>
          <w:trHeight w:val="197"/>
        </w:trPr>
        <w:tc>
          <w:tcPr>
            <w:tcW w:w="4780" w:type="dxa"/>
            <w:vAlign w:val="bottom"/>
          </w:tcPr>
          <w:p>
            <w:pPr>
              <w:spacing w:after="0"/>
              <w:rPr>
                <w:sz w:val="20"/>
                <w:szCs w:val="20"/>
                <w:color w:val="auto"/>
              </w:rPr>
            </w:pPr>
            <w:r>
              <w:rPr>
                <w:rFonts w:ascii="Arial" w:cs="Arial" w:eastAsia="Arial" w:hAnsi="Arial"/>
                <w:sz w:val="17"/>
                <w:szCs w:val="17"/>
                <w:b w:val="1"/>
                <w:bCs w:val="1"/>
                <w:color w:val="auto"/>
              </w:rPr>
              <w:t>Free Cash Flow (Non-GAAP)</w:t>
            </w:r>
          </w:p>
        </w:tc>
        <w:tc>
          <w:tcPr>
            <w:tcW w:w="32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u w:val="single" w:color="auto"/>
                <w:color w:val="auto"/>
                <w:w w:val="99"/>
              </w:rPr>
              <w:t>$</w:t>
            </w:r>
            <w:r>
              <w:rPr>
                <w:rFonts w:ascii="Arial" w:cs="Arial" w:eastAsia="Arial" w:hAnsi="Arial"/>
                <w:sz w:val="17"/>
                <w:szCs w:val="17"/>
                <w:b w:val="1"/>
                <w:bCs w:val="1"/>
                <w:color w:val="auto"/>
                <w:w w:val="99"/>
              </w:rPr>
              <w:t>2,751</w:t>
            </w:r>
          </w:p>
        </w:tc>
        <w:tc>
          <w:tcPr>
            <w:tcW w:w="5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671</w:t>
            </w:r>
          </w:p>
        </w:tc>
        <w:tc>
          <w:tcPr>
            <w:tcW w:w="54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8"/>
              </w:rPr>
              <w:t>$ 2,749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780" w:type="dxa"/>
            <w:vAlign w:val="bottom"/>
          </w:tcPr>
          <w:p>
            <w:pPr>
              <w:spacing w:after="0"/>
              <w:rPr>
                <w:sz w:val="24"/>
                <w:szCs w:val="24"/>
                <w:color w:val="auto"/>
              </w:rPr>
            </w:pPr>
          </w:p>
        </w:tc>
        <w:tc>
          <w:tcPr>
            <w:tcW w:w="4260" w:type="dxa"/>
            <w:vAlign w:val="bottom"/>
            <w:gridSpan w:val="3"/>
          </w:tcPr>
          <w:p>
            <w:pPr>
              <w:jc w:val="right"/>
              <w:ind w:right="3200"/>
              <w:spacing w:after="0"/>
              <w:rPr>
                <w:sz w:val="20"/>
                <w:szCs w:val="20"/>
                <w:color w:val="auto"/>
              </w:rPr>
            </w:pPr>
            <w:r>
              <w:rPr>
                <w:rFonts w:ascii="Arial" w:cs="Arial" w:eastAsia="Arial" w:hAnsi="Arial"/>
                <w:sz w:val="17"/>
                <w:szCs w:val="17"/>
                <w:color w:val="auto"/>
              </w:rPr>
              <w:t>A-1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4" w:right="23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Kraft Foods Inc. and Subsidiaries</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Reconciliation of GAAP to Non-GAAP Information</w:t>
      </w:r>
    </w:p>
    <w:p>
      <w:pPr>
        <w:spacing w:after="0" w:line="1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Net Revenues</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 the Twelve Months Ended December 31, 2011 and 2010</w:t>
      </w:r>
    </w:p>
    <w:p>
      <w:pPr>
        <w:jc w:val="center"/>
        <w:ind w:right="40"/>
        <w:spacing w:after="0"/>
        <w:rPr>
          <w:sz w:val="20"/>
          <w:szCs w:val="20"/>
          <w:color w:val="auto"/>
        </w:rPr>
      </w:pPr>
      <w:r>
        <w:rPr>
          <w:rFonts w:ascii="Arial" w:cs="Arial" w:eastAsia="Arial" w:hAnsi="Arial"/>
          <w:sz w:val="17"/>
          <w:szCs w:val="17"/>
          <w:b w:val="1"/>
          <w:bCs w:val="1"/>
          <w:color w:val="auto"/>
        </w:rPr>
        <w:t>($ in millions, 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rPr>
              <w:t>Impact</w:t>
            </w:r>
          </w:p>
        </w:tc>
        <w:tc>
          <w:tcPr>
            <w:tcW w:w="720" w:type="dxa"/>
            <w:vAlign w:val="bottom"/>
            <w:gridSpan w:val="3"/>
            <w:vMerge w:val="restart"/>
          </w:tcPr>
          <w:p>
            <w:pPr>
              <w:jc w:val="center"/>
              <w:ind w:right="60"/>
              <w:spacing w:after="0"/>
              <w:rPr>
                <w:sz w:val="20"/>
                <w:szCs w:val="20"/>
                <w:color w:val="auto"/>
              </w:rPr>
            </w:pPr>
            <w:r>
              <w:rPr>
                <w:rFonts w:ascii="Arial" w:cs="Arial" w:eastAsia="Arial" w:hAnsi="Arial"/>
                <w:sz w:val="13"/>
                <w:szCs w:val="13"/>
                <w:b w:val="1"/>
                <w:bCs w:val="1"/>
                <w:color w:val="auto"/>
              </w:rPr>
              <w:t>Impact of</w:t>
            </w:r>
          </w:p>
        </w:tc>
        <w:tc>
          <w:tcPr>
            <w:tcW w:w="60" w:type="dxa"/>
            <w:vAlign w:val="bottom"/>
          </w:tcPr>
          <w:p>
            <w:pPr>
              <w:spacing w:after="0"/>
              <w:rPr>
                <w:sz w:val="13"/>
                <w:szCs w:val="13"/>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3"/>
                <w:szCs w:val="13"/>
                <w:b w:val="1"/>
                <w:bCs w:val="1"/>
                <w:color w:val="auto"/>
                <w:w w:val="96"/>
              </w:rPr>
              <w:t>Impact of</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6"/>
          </w:tcPr>
          <w:p>
            <w:pPr>
              <w:jc w:val="right"/>
              <w:ind w:right="740"/>
              <w:spacing w:after="0"/>
              <w:rPr>
                <w:sz w:val="20"/>
                <w:szCs w:val="20"/>
                <w:color w:val="auto"/>
              </w:rPr>
            </w:pPr>
            <w:r>
              <w:rPr>
                <w:rFonts w:ascii="Arial" w:cs="Arial" w:eastAsia="Arial" w:hAnsi="Arial"/>
                <w:sz w:val="13"/>
                <w:szCs w:val="13"/>
                <w:b w:val="1"/>
                <w:bCs w:val="1"/>
                <w:color w:val="auto"/>
              </w:rPr>
              <w:t>% Change</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240"/>
              <w:spacing w:after="0" w:line="141" w:lineRule="exact"/>
              <w:rPr>
                <w:sz w:val="20"/>
                <w:szCs w:val="20"/>
                <w:color w:val="auto"/>
              </w:rPr>
            </w:pPr>
            <w:r>
              <w:rPr>
                <w:rFonts w:ascii="Arial" w:cs="Arial" w:eastAsia="Arial" w:hAnsi="Arial"/>
                <w:sz w:val="13"/>
                <w:szCs w:val="13"/>
                <w:b w:val="1"/>
                <w:bCs w:val="1"/>
                <w:color w:val="auto"/>
                <w:w w:val="96"/>
              </w:rPr>
              <w:t>As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97"/>
              </w:rPr>
              <w:t>of</w:t>
            </w:r>
          </w:p>
        </w:tc>
        <w:tc>
          <w:tcPr>
            <w:tcW w:w="720" w:type="dxa"/>
            <w:vAlign w:val="bottom"/>
            <w:gridSpan w:val="3"/>
          </w:tcPr>
          <w:p>
            <w:pPr>
              <w:jc w:val="center"/>
              <w:ind w:right="60"/>
              <w:spacing w:after="0" w:line="141" w:lineRule="exact"/>
              <w:rPr>
                <w:sz w:val="20"/>
                <w:szCs w:val="20"/>
                <w:color w:val="auto"/>
              </w:rPr>
            </w:pPr>
            <w:r>
              <w:rPr>
                <w:rFonts w:ascii="Arial" w:cs="Arial" w:eastAsia="Arial" w:hAnsi="Arial"/>
                <w:sz w:val="13"/>
                <w:szCs w:val="13"/>
                <w:b w:val="1"/>
                <w:bCs w:val="1"/>
                <w:color w:val="auto"/>
                <w:w w:val="98"/>
              </w:rPr>
              <w:t>Integration</w:t>
            </w:r>
          </w:p>
        </w:tc>
        <w:tc>
          <w:tcPr>
            <w:tcW w:w="880" w:type="dxa"/>
            <w:vAlign w:val="bottom"/>
            <w:gridSpan w:val="4"/>
          </w:tcPr>
          <w:p>
            <w:pPr>
              <w:jc w:val="center"/>
              <w:ind w:right="60"/>
              <w:spacing w:after="0" w:line="141" w:lineRule="exact"/>
              <w:rPr>
                <w:sz w:val="20"/>
                <w:szCs w:val="20"/>
                <w:color w:val="auto"/>
              </w:rPr>
            </w:pPr>
            <w:r>
              <w:rPr>
                <w:rFonts w:ascii="Arial" w:cs="Arial" w:eastAsia="Arial" w:hAnsi="Arial"/>
                <w:sz w:val="13"/>
                <w:szCs w:val="13"/>
                <w:b w:val="1"/>
                <w:bCs w:val="1"/>
                <w:color w:val="auto"/>
                <w:w w:val="97"/>
              </w:rPr>
              <w:t>Accounting</w:t>
            </w:r>
          </w:p>
        </w:tc>
        <w:tc>
          <w:tcPr>
            <w:tcW w:w="80" w:type="dxa"/>
            <w:vAlign w:val="bottom"/>
          </w:tcPr>
          <w:p>
            <w:pPr>
              <w:spacing w:after="0"/>
              <w:rPr>
                <w:sz w:val="12"/>
                <w:szCs w:val="12"/>
                <w:color w:val="auto"/>
              </w:rPr>
            </w:pPr>
          </w:p>
        </w:tc>
        <w:tc>
          <w:tcPr>
            <w:tcW w:w="6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rPr>
              <w:t>Impact</w:t>
            </w:r>
          </w:p>
        </w:tc>
        <w:tc>
          <w:tcPr>
            <w:tcW w:w="60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Organic</w:t>
            </w: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1" w:lineRule="exact"/>
              <w:rPr>
                <w:sz w:val="20"/>
                <w:szCs w:val="20"/>
                <w:color w:val="auto"/>
              </w:rPr>
            </w:pPr>
            <w:r>
              <w:rPr>
                <w:rFonts w:ascii="Arial" w:cs="Arial" w:eastAsia="Arial" w:hAnsi="Arial"/>
                <w:sz w:val="13"/>
                <w:szCs w:val="13"/>
                <w:b w:val="1"/>
                <w:bCs w:val="1"/>
                <w:color w:val="auto"/>
                <w:w w:val="96"/>
              </w:rPr>
              <w:t>As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1" w:lineRule="exact"/>
              <w:rPr>
                <w:sz w:val="20"/>
                <w:szCs w:val="20"/>
                <w:color w:val="auto"/>
              </w:rPr>
            </w:pPr>
            <w:r>
              <w:rPr>
                <w:rFonts w:ascii="Arial" w:cs="Arial" w:eastAsia="Arial" w:hAnsi="Arial"/>
                <w:sz w:val="13"/>
                <w:szCs w:val="13"/>
                <w:b w:val="1"/>
                <w:bCs w:val="1"/>
                <w:color w:val="auto"/>
                <w:w w:val="97"/>
              </w:rPr>
              <w:t>Organic</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900" w:type="dxa"/>
            <w:vAlign w:val="bottom"/>
          </w:tcPr>
          <w:p>
            <w:pPr>
              <w:spacing w:after="0"/>
              <w:rPr>
                <w:sz w:val="11"/>
                <w:szCs w:val="11"/>
                <w:color w:val="auto"/>
              </w:rPr>
            </w:pPr>
          </w:p>
        </w:tc>
        <w:tc>
          <w:tcPr>
            <w:tcW w:w="680" w:type="dxa"/>
            <w:vAlign w:val="bottom"/>
            <w:gridSpan w:val="3"/>
          </w:tcPr>
          <w:p>
            <w:pPr>
              <w:jc w:val="right"/>
              <w:ind w:right="120"/>
              <w:spacing w:after="0" w:line="132" w:lineRule="exact"/>
              <w:rPr>
                <w:sz w:val="20"/>
                <w:szCs w:val="20"/>
                <w:color w:val="auto"/>
              </w:rPr>
            </w:pPr>
            <w:r>
              <w:rPr>
                <w:rFonts w:ascii="Arial" w:cs="Arial" w:eastAsia="Arial" w:hAnsi="Arial"/>
                <w:sz w:val="13"/>
                <w:szCs w:val="13"/>
                <w:b w:val="1"/>
                <w:bCs w:val="1"/>
                <w:color w:val="auto"/>
                <w:w w:val="94"/>
              </w:rPr>
              <w:t>Reported</w:t>
            </w:r>
          </w:p>
        </w:tc>
        <w:tc>
          <w:tcPr>
            <w:tcW w:w="100" w:type="dxa"/>
            <w:vAlign w:val="bottom"/>
          </w:tcPr>
          <w:p>
            <w:pPr>
              <w:spacing w:after="0"/>
              <w:rPr>
                <w:sz w:val="11"/>
                <w:szCs w:val="11"/>
                <w:color w:val="auto"/>
              </w:rPr>
            </w:pPr>
          </w:p>
        </w:tc>
        <w:tc>
          <w:tcPr>
            <w:tcW w:w="900" w:type="dxa"/>
            <w:vAlign w:val="bottom"/>
            <w:gridSpan w:val="2"/>
          </w:tcPr>
          <w:p>
            <w:pPr>
              <w:jc w:val="center"/>
              <w:ind w:right="240"/>
              <w:spacing w:after="0" w:line="132" w:lineRule="exact"/>
              <w:rPr>
                <w:sz w:val="20"/>
                <w:szCs w:val="20"/>
                <w:color w:val="auto"/>
              </w:rPr>
            </w:pPr>
            <w:r>
              <w:rPr>
                <w:rFonts w:ascii="Arial" w:cs="Arial" w:eastAsia="Arial" w:hAnsi="Arial"/>
                <w:sz w:val="13"/>
                <w:szCs w:val="13"/>
                <w:b w:val="1"/>
                <w:bCs w:val="1"/>
                <w:color w:val="auto"/>
              </w:rPr>
              <w:t>Impact of</w:t>
            </w:r>
          </w:p>
        </w:tc>
        <w:tc>
          <w:tcPr>
            <w:tcW w:w="640" w:type="dxa"/>
            <w:vAlign w:val="bottom"/>
            <w:gridSpan w:val="3"/>
          </w:tcPr>
          <w:p>
            <w:pPr>
              <w:jc w:val="center"/>
              <w:ind w:right="140"/>
              <w:spacing w:after="0" w:line="132" w:lineRule="exact"/>
              <w:rPr>
                <w:sz w:val="20"/>
                <w:szCs w:val="20"/>
                <w:color w:val="auto"/>
              </w:rPr>
            </w:pPr>
            <w:r>
              <w:rPr>
                <w:rFonts w:ascii="Arial" w:cs="Arial" w:eastAsia="Arial" w:hAnsi="Arial"/>
                <w:sz w:val="13"/>
                <w:szCs w:val="13"/>
                <w:b w:val="1"/>
                <w:bCs w:val="1"/>
                <w:color w:val="auto"/>
                <w:w w:val="97"/>
              </w:rPr>
              <w:t>Acquisi-</w:t>
            </w:r>
          </w:p>
        </w:tc>
        <w:tc>
          <w:tcPr>
            <w:tcW w:w="60" w:type="dxa"/>
            <w:vAlign w:val="bottom"/>
          </w:tcPr>
          <w:p>
            <w:pPr>
              <w:spacing w:after="0"/>
              <w:rPr>
                <w:sz w:val="11"/>
                <w:szCs w:val="11"/>
                <w:color w:val="auto"/>
              </w:rPr>
            </w:pPr>
          </w:p>
        </w:tc>
        <w:tc>
          <w:tcPr>
            <w:tcW w:w="66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97"/>
              </w:rPr>
              <w:t>Program</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w w:val="96"/>
              </w:rPr>
              <w:t>Calendar</w:t>
            </w:r>
          </w:p>
        </w:tc>
        <w:tc>
          <w:tcPr>
            <w:tcW w:w="80" w:type="dxa"/>
            <w:vAlign w:val="bottom"/>
          </w:tcPr>
          <w:p>
            <w:pPr>
              <w:spacing w:after="0"/>
              <w:rPr>
                <w:sz w:val="11"/>
                <w:szCs w:val="11"/>
                <w:color w:val="auto"/>
              </w:rPr>
            </w:pPr>
          </w:p>
        </w:tc>
        <w:tc>
          <w:tcPr>
            <w:tcW w:w="620" w:type="dxa"/>
            <w:vAlign w:val="bottom"/>
            <w:gridSpan w:val="2"/>
          </w:tcPr>
          <w:p>
            <w:pPr>
              <w:jc w:val="center"/>
              <w:ind w:right="220"/>
              <w:spacing w:after="0" w:line="132" w:lineRule="exact"/>
              <w:rPr>
                <w:sz w:val="20"/>
                <w:szCs w:val="20"/>
                <w:color w:val="auto"/>
              </w:rPr>
            </w:pPr>
            <w:r>
              <w:rPr>
                <w:rFonts w:ascii="Arial" w:cs="Arial" w:eastAsia="Arial" w:hAnsi="Arial"/>
                <w:sz w:val="13"/>
                <w:szCs w:val="13"/>
                <w:b w:val="1"/>
                <w:bCs w:val="1"/>
                <w:color w:val="auto"/>
                <w:w w:val="97"/>
              </w:rPr>
              <w:t>of</w:t>
            </w:r>
          </w:p>
        </w:tc>
        <w:tc>
          <w:tcPr>
            <w:tcW w:w="60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94"/>
              </w:rPr>
              <w:t>(Non-</w:t>
            </w:r>
          </w:p>
        </w:tc>
        <w:tc>
          <w:tcPr>
            <w:tcW w:w="80" w:type="dxa"/>
            <w:vAlign w:val="bottom"/>
          </w:tcPr>
          <w:p>
            <w:pPr>
              <w:spacing w:after="0"/>
              <w:rPr>
                <w:sz w:val="11"/>
                <w:szCs w:val="11"/>
                <w:color w:val="auto"/>
              </w:rPr>
            </w:pPr>
          </w:p>
        </w:tc>
        <w:tc>
          <w:tcPr>
            <w:tcW w:w="840" w:type="dxa"/>
            <w:vAlign w:val="bottom"/>
            <w:gridSpan w:val="2"/>
          </w:tcPr>
          <w:p>
            <w:pPr>
              <w:jc w:val="center"/>
              <w:ind w:right="240"/>
              <w:spacing w:after="0" w:line="132" w:lineRule="exact"/>
              <w:rPr>
                <w:sz w:val="20"/>
                <w:szCs w:val="20"/>
                <w:color w:val="auto"/>
              </w:rPr>
            </w:pPr>
            <w:r>
              <w:rPr>
                <w:rFonts w:ascii="Arial" w:cs="Arial" w:eastAsia="Arial" w:hAnsi="Arial"/>
                <w:sz w:val="13"/>
                <w:szCs w:val="13"/>
                <w:b w:val="1"/>
                <w:bCs w:val="1"/>
                <w:color w:val="auto"/>
                <w:w w:val="98"/>
              </w:rPr>
              <w:t>Reported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60"/>
              <w:spacing w:after="0" w:line="132" w:lineRule="exact"/>
              <w:rPr>
                <w:sz w:val="20"/>
                <w:szCs w:val="20"/>
                <w:color w:val="auto"/>
              </w:rPr>
            </w:pPr>
            <w:r>
              <w:rPr>
                <w:rFonts w:ascii="Arial" w:cs="Arial" w:eastAsia="Arial" w:hAnsi="Arial"/>
                <w:sz w:val="13"/>
                <w:szCs w:val="13"/>
                <w:b w:val="1"/>
                <w:bCs w:val="1"/>
                <w:color w:val="auto"/>
                <w:w w:val="94"/>
              </w:rPr>
              <w:t>(Non-</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900" w:type="dxa"/>
            <w:vAlign w:val="bottom"/>
            <w:vMerge w:val="restart"/>
          </w:tcPr>
          <w:p>
            <w:pPr>
              <w:spacing w:after="0"/>
              <w:rPr>
                <w:sz w:val="20"/>
                <w:szCs w:val="20"/>
                <w:color w:val="auto"/>
              </w:rPr>
            </w:pPr>
            <w:r>
              <w:rPr>
                <w:rFonts w:ascii="Arial" w:cs="Arial" w:eastAsia="Arial" w:hAnsi="Arial"/>
                <w:sz w:val="13"/>
                <w:szCs w:val="13"/>
                <w:b w:val="1"/>
                <w:bCs w:val="1"/>
                <w:color w:val="auto"/>
              </w:rPr>
              <w:t>2011</w:t>
            </w:r>
          </w:p>
        </w:tc>
        <w:tc>
          <w:tcPr>
            <w:tcW w:w="6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(GAAP)</w:t>
            </w:r>
          </w:p>
        </w:tc>
        <w:tc>
          <w:tcPr>
            <w:tcW w:w="1000" w:type="dxa"/>
            <w:vAlign w:val="bottom"/>
            <w:gridSpan w:val="3"/>
          </w:tcPr>
          <w:p>
            <w:pPr>
              <w:jc w:val="center"/>
              <w:ind w:right="140"/>
              <w:spacing w:after="0" w:line="166" w:lineRule="exact"/>
              <w:rPr>
                <w:sz w:val="20"/>
                <w:szCs w:val="20"/>
                <w:color w:val="auto"/>
              </w:rPr>
            </w:pPr>
            <w:r>
              <w:rPr>
                <w:rFonts w:ascii="Arial" w:cs="Arial" w:eastAsia="Arial" w:hAnsi="Arial"/>
                <w:sz w:val="12"/>
                <w:szCs w:val="12"/>
                <w:b w:val="1"/>
                <w:bCs w:val="1"/>
                <w:color w:val="auto"/>
              </w:rPr>
              <w:t>Divestitures</w:t>
            </w:r>
            <w:r>
              <w:rPr>
                <w:rFonts w:ascii="Arial" w:cs="Arial" w:eastAsia="Arial" w:hAnsi="Arial"/>
                <w:sz w:val="19"/>
                <w:szCs w:val="19"/>
                <w:b w:val="1"/>
                <w:bCs w:val="1"/>
                <w:color w:val="auto"/>
                <w:vertAlign w:val="superscript"/>
              </w:rPr>
              <w:t>(1)</w:t>
            </w:r>
          </w:p>
        </w:tc>
        <w:tc>
          <w:tcPr>
            <w:tcW w:w="640" w:type="dxa"/>
            <w:vAlign w:val="bottom"/>
            <w:gridSpan w:val="3"/>
          </w:tcPr>
          <w:p>
            <w:pPr>
              <w:jc w:val="center"/>
              <w:ind w:right="140"/>
              <w:spacing w:after="0" w:line="166" w:lineRule="exact"/>
              <w:rPr>
                <w:sz w:val="20"/>
                <w:szCs w:val="20"/>
                <w:color w:val="auto"/>
              </w:rPr>
            </w:pPr>
            <w:r>
              <w:rPr>
                <w:rFonts w:ascii="Arial" w:cs="Arial" w:eastAsia="Arial" w:hAnsi="Arial"/>
                <w:sz w:val="12"/>
                <w:szCs w:val="12"/>
                <w:b w:val="1"/>
                <w:bCs w:val="1"/>
                <w:color w:val="auto"/>
                <w:w w:val="95"/>
              </w:rPr>
              <w:t>tions</w:t>
            </w:r>
            <w:r>
              <w:rPr>
                <w:rFonts w:ascii="Arial" w:cs="Arial" w:eastAsia="Arial" w:hAnsi="Arial"/>
                <w:sz w:val="19"/>
                <w:szCs w:val="19"/>
                <w:b w:val="1"/>
                <w:bCs w:val="1"/>
                <w:color w:val="auto"/>
                <w:w w:val="95"/>
                <w:vertAlign w:val="superscript"/>
              </w:rPr>
              <w:t>(2)</w:t>
            </w:r>
          </w:p>
        </w:tc>
        <w:tc>
          <w:tcPr>
            <w:tcW w:w="6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Costs</w:t>
            </w:r>
          </w:p>
        </w:tc>
        <w:tc>
          <w:tcPr>
            <w:tcW w:w="60" w:type="dxa"/>
            <w:vAlign w:val="bottom"/>
          </w:tcPr>
          <w:p>
            <w:pPr>
              <w:spacing w:after="0"/>
              <w:rPr>
                <w:sz w:val="14"/>
                <w:szCs w:val="14"/>
                <w:color w:val="auto"/>
              </w:rPr>
            </w:pPr>
          </w:p>
        </w:tc>
        <w:tc>
          <w:tcPr>
            <w:tcW w:w="820" w:type="dxa"/>
            <w:vAlign w:val="bottom"/>
            <w:gridSpan w:val="3"/>
          </w:tcPr>
          <w:p>
            <w:pPr>
              <w:jc w:val="center"/>
              <w:ind w:right="120"/>
              <w:spacing w:after="0" w:line="166" w:lineRule="exact"/>
              <w:rPr>
                <w:sz w:val="20"/>
                <w:szCs w:val="20"/>
                <w:color w:val="auto"/>
              </w:rPr>
            </w:pPr>
            <w:r>
              <w:rPr>
                <w:rFonts w:ascii="Arial" w:cs="Arial" w:eastAsia="Arial" w:hAnsi="Arial"/>
                <w:sz w:val="12"/>
                <w:szCs w:val="12"/>
                <w:b w:val="1"/>
                <w:bCs w:val="1"/>
                <w:color w:val="auto"/>
                <w:w w:val="99"/>
              </w:rPr>
              <w:t>Changes</w:t>
            </w:r>
            <w:r>
              <w:rPr>
                <w:rFonts w:ascii="Arial" w:cs="Arial" w:eastAsia="Arial" w:hAnsi="Arial"/>
                <w:sz w:val="19"/>
                <w:szCs w:val="19"/>
                <w:b w:val="1"/>
                <w:bCs w:val="1"/>
                <w:color w:val="auto"/>
                <w:w w:val="99"/>
                <w:vertAlign w:val="superscript"/>
              </w:rPr>
              <w:t>(3)</w:t>
            </w:r>
          </w:p>
        </w:tc>
        <w:tc>
          <w:tcPr>
            <w:tcW w:w="7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8"/>
              </w:rPr>
              <w:t>Currency</w:t>
            </w:r>
          </w:p>
        </w:tc>
        <w:tc>
          <w:tcPr>
            <w:tcW w:w="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GAAP)</w:t>
            </w:r>
          </w:p>
        </w:tc>
        <w:tc>
          <w:tcPr>
            <w:tcW w:w="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(GAAP)</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GAAP)</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line="141" w:lineRule="exact"/>
              <w:rPr>
                <w:sz w:val="20"/>
                <w:szCs w:val="20"/>
                <w:color w:val="auto"/>
              </w:rPr>
            </w:pPr>
            <w:r>
              <w:rPr>
                <w:rFonts w:ascii="Arial" w:cs="Arial" w:eastAsia="Arial" w:hAnsi="Arial"/>
                <w:sz w:val="13"/>
                <w:szCs w:val="13"/>
                <w:color w:val="auto"/>
              </w:rPr>
              <w:t>Kraft Foods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0"/>
              <w:spacing w:after="0" w:line="141" w:lineRule="exact"/>
              <w:rPr>
                <w:sz w:val="20"/>
                <w:szCs w:val="20"/>
                <w:color w:val="auto"/>
              </w:rPr>
            </w:pPr>
            <w:r>
              <w:rPr>
                <w:rFonts w:ascii="Arial" w:cs="Arial" w:eastAsia="Arial" w:hAnsi="Arial"/>
                <w:sz w:val="13"/>
                <w:szCs w:val="13"/>
                <w:color w:val="auto"/>
              </w:rPr>
              <w:t>North</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0"/>
              <w:spacing w:after="0" w:line="141" w:lineRule="exact"/>
              <w:rPr>
                <w:sz w:val="20"/>
                <w:szCs w:val="20"/>
                <w:color w:val="auto"/>
              </w:rPr>
            </w:pPr>
            <w:r>
              <w:rPr>
                <w:rFonts w:ascii="Arial" w:cs="Arial" w:eastAsia="Arial" w:hAnsi="Arial"/>
                <w:sz w:val="13"/>
                <w:szCs w:val="13"/>
                <w:color w:val="auto"/>
              </w:rPr>
              <w:t>America</w:t>
            </w: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1" w:lineRule="exact"/>
              <w:rPr>
                <w:sz w:val="20"/>
                <w:szCs w:val="20"/>
                <w:color w:val="auto"/>
              </w:rPr>
            </w:pPr>
            <w:r>
              <w:rPr>
                <w:rFonts w:ascii="Arial" w:cs="Arial" w:eastAsia="Arial" w:hAnsi="Arial"/>
                <w:sz w:val="13"/>
                <w:szCs w:val="13"/>
                <w:color w:val="auto"/>
              </w:rPr>
              <w:t>25,188</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(91)</w:t>
            </w: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(117)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ind w:left="400"/>
              <w:spacing w:after="0" w:line="141" w:lineRule="exact"/>
              <w:rPr>
                <w:sz w:val="20"/>
                <w:szCs w:val="20"/>
                <w:color w:val="auto"/>
              </w:rPr>
            </w:pPr>
            <w:r>
              <w:rPr>
                <w:rFonts w:ascii="Arial" w:cs="Arial" w:eastAsia="Arial" w:hAnsi="Arial"/>
                <w:sz w:val="13"/>
                <w:szCs w:val="13"/>
                <w:color w:val="auto"/>
              </w:rPr>
              <w:t>—</w:t>
            </w:r>
          </w:p>
        </w:tc>
        <w:tc>
          <w:tcPr>
            <w:tcW w:w="12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(294)</w:t>
            </w:r>
          </w:p>
        </w:tc>
        <w:tc>
          <w:tcPr>
            <w:tcW w:w="80" w:type="dxa"/>
            <w:vAlign w:val="bottom"/>
          </w:tcPr>
          <w:p>
            <w:pPr>
              <w:jc w:val="right"/>
              <w:spacing w:after="0" w:line="141"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(136)</w:t>
            </w:r>
          </w:p>
        </w:tc>
        <w:tc>
          <w:tcPr>
            <w:tcW w:w="480" w:type="dxa"/>
            <w:vAlign w:val="bottom"/>
          </w:tcPr>
          <w:p>
            <w:pPr>
              <w:jc w:val="right"/>
              <w:spacing w:after="0" w:line="141" w:lineRule="exact"/>
              <w:rPr>
                <w:sz w:val="20"/>
                <w:szCs w:val="20"/>
                <w:color w:val="auto"/>
              </w:rPr>
            </w:pPr>
            <w:r>
              <w:rPr>
                <w:rFonts w:ascii="Arial" w:cs="Arial" w:eastAsia="Arial" w:hAnsi="Arial"/>
                <w:sz w:val="13"/>
                <w:szCs w:val="13"/>
                <w:color w:val="auto"/>
                <w:w w:val="90"/>
              </w:rPr>
              <w:t>$ 24,550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5.1%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4.8%</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line="141" w:lineRule="exact"/>
              <w:rPr>
                <w:sz w:val="20"/>
                <w:szCs w:val="20"/>
                <w:color w:val="auto"/>
              </w:rPr>
            </w:pPr>
            <w:r>
              <w:rPr>
                <w:rFonts w:ascii="Arial" w:cs="Arial" w:eastAsia="Arial" w:hAnsi="Arial"/>
                <w:sz w:val="13"/>
                <w:szCs w:val="13"/>
                <w:color w:val="auto"/>
              </w:rPr>
              <w:t>Kraft Foods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900" w:type="dxa"/>
            <w:vAlign w:val="bottom"/>
          </w:tcPr>
          <w:p>
            <w:pPr>
              <w:ind w:left="200"/>
              <w:spacing w:after="0" w:line="125" w:lineRule="exact"/>
              <w:rPr>
                <w:sz w:val="20"/>
                <w:szCs w:val="20"/>
                <w:color w:val="auto"/>
              </w:rPr>
            </w:pPr>
            <w:r>
              <w:rPr>
                <w:rFonts w:ascii="Arial" w:cs="Arial" w:eastAsia="Arial" w:hAnsi="Arial"/>
                <w:sz w:val="13"/>
                <w:szCs w:val="13"/>
                <w:color w:val="auto"/>
              </w:rPr>
              <w:t>Inc.</w:t>
            </w:r>
          </w:p>
        </w:tc>
        <w:tc>
          <w:tcPr>
            <w:tcW w:w="120" w:type="dxa"/>
            <w:vAlign w:val="bottom"/>
          </w:tcPr>
          <w:p>
            <w:pPr>
              <w:spacing w:after="0"/>
              <w:rPr>
                <w:sz w:val="10"/>
                <w:szCs w:val="10"/>
                <w:color w:val="auto"/>
              </w:rPr>
            </w:pPr>
          </w:p>
        </w:tc>
        <w:tc>
          <w:tcPr>
            <w:tcW w:w="440" w:type="dxa"/>
            <w:vAlign w:val="bottom"/>
          </w:tcPr>
          <w:p>
            <w:pPr>
              <w:jc w:val="right"/>
              <w:spacing w:after="0" w:line="125" w:lineRule="exact"/>
              <w:rPr>
                <w:sz w:val="20"/>
                <w:szCs w:val="20"/>
                <w:color w:val="auto"/>
              </w:rPr>
            </w:pPr>
            <w:r>
              <w:rPr>
                <w:rFonts w:ascii="Arial" w:cs="Arial" w:eastAsia="Arial" w:hAnsi="Arial"/>
                <w:sz w:val="13"/>
                <w:szCs w:val="13"/>
                <w:color w:val="auto"/>
              </w:rPr>
              <w:t>54,365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100"/>
              <w:spacing w:after="0" w:line="125" w:lineRule="exact"/>
              <w:rPr>
                <w:sz w:val="20"/>
                <w:szCs w:val="20"/>
                <w:color w:val="auto"/>
              </w:rPr>
            </w:pPr>
            <w:r>
              <w:rPr>
                <w:rFonts w:ascii="Arial" w:cs="Arial" w:eastAsia="Arial" w:hAnsi="Arial"/>
                <w:sz w:val="13"/>
                <w:szCs w:val="13"/>
                <w:color w:val="auto"/>
              </w:rPr>
              <w:t>(91)</w:t>
            </w:r>
          </w:p>
        </w:tc>
        <w:tc>
          <w:tcPr>
            <w:tcW w:w="120" w:type="dxa"/>
            <w:vAlign w:val="bottom"/>
          </w:tcPr>
          <w:p>
            <w:pPr>
              <w:spacing w:after="0"/>
              <w:rPr>
                <w:sz w:val="10"/>
                <w:szCs w:val="10"/>
                <w:color w:val="auto"/>
              </w:rPr>
            </w:pPr>
          </w:p>
        </w:tc>
        <w:tc>
          <w:tcPr>
            <w:tcW w:w="520" w:type="dxa"/>
            <w:vAlign w:val="bottom"/>
            <w:gridSpan w:val="2"/>
          </w:tcPr>
          <w:p>
            <w:pPr>
              <w:jc w:val="right"/>
              <w:ind w:right="100"/>
              <w:spacing w:after="0" w:line="125" w:lineRule="exact"/>
              <w:rPr>
                <w:sz w:val="20"/>
                <w:szCs w:val="20"/>
                <w:color w:val="auto"/>
              </w:rPr>
            </w:pPr>
            <w:r>
              <w:rPr>
                <w:rFonts w:ascii="Arial" w:cs="Arial" w:eastAsia="Arial" w:hAnsi="Arial"/>
                <w:sz w:val="13"/>
                <w:szCs w:val="13"/>
                <w:color w:val="auto"/>
              </w:rPr>
              <w:t>(697)</w:t>
            </w:r>
          </w:p>
        </w:tc>
        <w:tc>
          <w:tcPr>
            <w:tcW w:w="60" w:type="dxa"/>
            <w:vAlign w:val="bottom"/>
          </w:tcPr>
          <w:p>
            <w:pPr>
              <w:spacing w:after="0"/>
              <w:rPr>
                <w:sz w:val="10"/>
                <w:szCs w:val="10"/>
                <w:color w:val="auto"/>
              </w:rPr>
            </w:pPr>
          </w:p>
        </w:tc>
        <w:tc>
          <w:tcPr>
            <w:tcW w:w="660" w:type="dxa"/>
            <w:vAlign w:val="bottom"/>
            <w:gridSpan w:val="2"/>
          </w:tcPr>
          <w:p>
            <w:pPr>
              <w:jc w:val="right"/>
              <w:ind w:right="60"/>
              <w:spacing w:after="0" w:line="12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80"/>
              <w:spacing w:after="0" w:line="125" w:lineRule="exact"/>
              <w:rPr>
                <w:sz w:val="20"/>
                <w:szCs w:val="20"/>
                <w:color w:val="auto"/>
              </w:rPr>
            </w:pPr>
            <w:r>
              <w:rPr>
                <w:rFonts w:ascii="Arial" w:cs="Arial" w:eastAsia="Arial" w:hAnsi="Arial"/>
                <w:sz w:val="13"/>
                <w:szCs w:val="13"/>
                <w:color w:val="auto"/>
              </w:rPr>
              <w:t>(880)</w:t>
            </w:r>
          </w:p>
        </w:tc>
        <w:tc>
          <w:tcPr>
            <w:tcW w:w="80" w:type="dxa"/>
            <w:vAlign w:val="bottom"/>
          </w:tcPr>
          <w:p>
            <w:pPr>
              <w:spacing w:after="0"/>
              <w:rPr>
                <w:sz w:val="10"/>
                <w:szCs w:val="10"/>
                <w:color w:val="auto"/>
              </w:rPr>
            </w:pPr>
          </w:p>
        </w:tc>
        <w:tc>
          <w:tcPr>
            <w:tcW w:w="620" w:type="dxa"/>
            <w:vAlign w:val="bottom"/>
            <w:gridSpan w:val="2"/>
          </w:tcPr>
          <w:p>
            <w:pPr>
              <w:jc w:val="right"/>
              <w:ind w:right="80"/>
              <w:spacing w:after="0" w:line="125" w:lineRule="exact"/>
              <w:rPr>
                <w:sz w:val="20"/>
                <w:szCs w:val="20"/>
                <w:color w:val="auto"/>
              </w:rPr>
            </w:pPr>
            <w:r>
              <w:rPr>
                <w:rFonts w:ascii="Arial" w:cs="Arial" w:eastAsia="Arial" w:hAnsi="Arial"/>
                <w:sz w:val="13"/>
                <w:szCs w:val="13"/>
                <w:color w:val="auto"/>
              </w:rPr>
              <w:t>(1,165)</w:t>
            </w:r>
          </w:p>
        </w:tc>
        <w:tc>
          <w:tcPr>
            <w:tcW w:w="480" w:type="dxa"/>
            <w:vAlign w:val="bottom"/>
          </w:tcPr>
          <w:p>
            <w:pPr>
              <w:jc w:val="right"/>
              <w:spacing w:after="0" w:line="125" w:lineRule="exact"/>
              <w:rPr>
                <w:sz w:val="20"/>
                <w:szCs w:val="20"/>
                <w:color w:val="auto"/>
              </w:rPr>
            </w:pPr>
            <w:r>
              <w:rPr>
                <w:rFonts w:ascii="Arial" w:cs="Arial" w:eastAsia="Arial" w:hAnsi="Arial"/>
                <w:sz w:val="13"/>
                <w:szCs w:val="13"/>
                <w:color w:val="auto"/>
              </w:rPr>
              <w:t>51,533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20"/>
              <w:spacing w:after="0" w:line="125" w:lineRule="exact"/>
              <w:rPr>
                <w:sz w:val="20"/>
                <w:szCs w:val="20"/>
                <w:color w:val="auto"/>
              </w:rPr>
            </w:pPr>
            <w:r>
              <w:rPr>
                <w:rFonts w:ascii="Arial" w:cs="Arial" w:eastAsia="Arial" w:hAnsi="Arial"/>
                <w:sz w:val="13"/>
                <w:szCs w:val="13"/>
                <w:color w:val="auto"/>
              </w:rPr>
              <w:t>10.5%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80"/>
              <w:spacing w:after="0" w:line="125" w:lineRule="exact"/>
              <w:rPr>
                <w:sz w:val="20"/>
                <w:szCs w:val="20"/>
                <w:color w:val="auto"/>
              </w:rPr>
            </w:pPr>
            <w:r>
              <w:rPr>
                <w:rFonts w:ascii="Arial" w:cs="Arial" w:eastAsia="Arial" w:hAnsi="Arial"/>
                <w:sz w:val="13"/>
                <w:szCs w:val="13"/>
                <w:color w:val="auto"/>
              </w:rPr>
              <w:t>6.6%</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900" w:type="dxa"/>
            <w:vAlign w:val="bottom"/>
          </w:tcPr>
          <w:p>
            <w:pPr>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line="141" w:lineRule="exact"/>
              <w:rPr>
                <w:sz w:val="20"/>
                <w:szCs w:val="20"/>
                <w:color w:val="auto"/>
              </w:rPr>
            </w:pPr>
            <w:r>
              <w:rPr>
                <w:rFonts w:ascii="Arial" w:cs="Arial" w:eastAsia="Arial" w:hAnsi="Arial"/>
                <w:sz w:val="13"/>
                <w:szCs w:val="13"/>
                <w:color w:val="auto"/>
              </w:rPr>
              <w:t>Kraft Foods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0"/>
              <w:spacing w:after="0" w:line="141" w:lineRule="exact"/>
              <w:rPr>
                <w:sz w:val="20"/>
                <w:szCs w:val="20"/>
                <w:color w:val="auto"/>
              </w:rPr>
            </w:pPr>
            <w:r>
              <w:rPr>
                <w:rFonts w:ascii="Arial" w:cs="Arial" w:eastAsia="Arial" w:hAnsi="Arial"/>
                <w:sz w:val="13"/>
                <w:szCs w:val="13"/>
                <w:color w:val="auto"/>
              </w:rPr>
              <w:t>North</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0"/>
              <w:spacing w:after="0" w:line="141" w:lineRule="exact"/>
              <w:rPr>
                <w:sz w:val="20"/>
                <w:szCs w:val="20"/>
                <w:color w:val="auto"/>
              </w:rPr>
            </w:pPr>
            <w:r>
              <w:rPr>
                <w:rFonts w:ascii="Arial" w:cs="Arial" w:eastAsia="Arial" w:hAnsi="Arial"/>
                <w:sz w:val="13"/>
                <w:szCs w:val="13"/>
                <w:color w:val="auto"/>
              </w:rPr>
              <w:t>America</w:t>
            </w:r>
          </w:p>
        </w:tc>
        <w:tc>
          <w:tcPr>
            <w:tcW w:w="120" w:type="dxa"/>
            <w:vAlign w:val="bottom"/>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3"/>
                <w:szCs w:val="13"/>
                <w:color w:val="auto"/>
              </w:rPr>
              <w:t>23,966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(547)</w:t>
            </w:r>
          </w:p>
        </w:tc>
        <w:tc>
          <w:tcPr>
            <w:tcW w:w="120" w:type="dxa"/>
            <w:vAlign w:val="bottom"/>
          </w:tcPr>
          <w:p>
            <w:pPr>
              <w:spacing w:after="0"/>
              <w:rPr>
                <w:sz w:val="12"/>
                <w:szCs w:val="12"/>
                <w:color w:val="auto"/>
              </w:rPr>
            </w:pPr>
          </w:p>
        </w:tc>
        <w:tc>
          <w:tcPr>
            <w:tcW w:w="5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60" w:type="dxa"/>
            <w:vAlign w:val="bottom"/>
            <w:gridSpan w:val="2"/>
          </w:tcPr>
          <w:p>
            <w:pPr>
              <w:ind w:left="4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480" w:type="dxa"/>
            <w:vAlign w:val="bottom"/>
          </w:tcPr>
          <w:p>
            <w:pPr>
              <w:jc w:val="right"/>
              <w:spacing w:after="0" w:line="141" w:lineRule="exact"/>
              <w:rPr>
                <w:sz w:val="20"/>
                <w:szCs w:val="20"/>
                <w:color w:val="auto"/>
              </w:rPr>
            </w:pPr>
            <w:r>
              <w:rPr>
                <w:rFonts w:ascii="Arial" w:cs="Arial" w:eastAsia="Arial" w:hAnsi="Arial"/>
                <w:sz w:val="13"/>
                <w:szCs w:val="13"/>
                <w:color w:val="auto"/>
              </w:rPr>
              <w:t>23,419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line="141" w:lineRule="exact"/>
              <w:rPr>
                <w:sz w:val="20"/>
                <w:szCs w:val="20"/>
                <w:color w:val="auto"/>
              </w:rPr>
            </w:pPr>
            <w:r>
              <w:rPr>
                <w:rFonts w:ascii="Arial" w:cs="Arial" w:eastAsia="Arial" w:hAnsi="Arial"/>
                <w:sz w:val="13"/>
                <w:szCs w:val="13"/>
                <w:color w:val="auto"/>
              </w:rPr>
              <w:t>Kraft Foods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900" w:type="dxa"/>
            <w:vAlign w:val="bottom"/>
          </w:tcPr>
          <w:p>
            <w:pPr>
              <w:ind w:left="200"/>
              <w:spacing w:after="0"/>
              <w:rPr>
                <w:sz w:val="20"/>
                <w:szCs w:val="20"/>
                <w:color w:val="auto"/>
              </w:rPr>
            </w:pPr>
            <w:r>
              <w:rPr>
                <w:rFonts w:ascii="Arial" w:cs="Arial" w:eastAsia="Arial" w:hAnsi="Arial"/>
                <w:sz w:val="13"/>
                <w:szCs w:val="13"/>
                <w:color w:val="auto"/>
              </w:rPr>
              <w:t>Inc.</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49,207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(652)</w:t>
            </w:r>
          </w:p>
        </w:tc>
        <w:tc>
          <w:tcPr>
            <w:tcW w:w="12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(193)</w:t>
            </w: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48,363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3"/>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Add back:</w:t>
            </w: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 Change</w:t>
            </w: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260"/>
              <w:spacing w:after="0" w:line="117" w:lineRule="exact"/>
              <w:rPr>
                <w:sz w:val="20"/>
                <w:szCs w:val="20"/>
                <w:color w:val="auto"/>
              </w:rPr>
            </w:pPr>
            <w:r>
              <w:rPr>
                <w:rFonts w:ascii="Arial" w:cs="Arial" w:eastAsia="Arial" w:hAnsi="Arial"/>
                <w:sz w:val="13"/>
                <w:szCs w:val="13"/>
                <w:b w:val="1"/>
                <w:bCs w:val="1"/>
                <w:color w:val="auto"/>
                <w:w w:val="96"/>
              </w:rPr>
              <w:t>Impact of</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180"/>
              <w:spacing w:after="0" w:line="141" w:lineRule="exact"/>
              <w:rPr>
                <w:sz w:val="20"/>
                <w:szCs w:val="20"/>
                <w:color w:val="auto"/>
              </w:rPr>
            </w:pPr>
            <w:r>
              <w:rPr>
                <w:rFonts w:ascii="Arial" w:cs="Arial" w:eastAsia="Arial" w:hAnsi="Arial"/>
                <w:sz w:val="13"/>
                <w:szCs w:val="13"/>
                <w:b w:val="1"/>
                <w:bCs w:val="1"/>
                <w:color w:val="auto"/>
                <w:w w:val="96"/>
              </w:rPr>
              <w:t>Divestitures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60"/>
              <w:spacing w:after="0" w:line="141" w:lineRule="exact"/>
              <w:rPr>
                <w:sz w:val="20"/>
                <w:szCs w:val="20"/>
                <w:color w:val="auto"/>
              </w:rPr>
            </w:pPr>
            <w:r>
              <w:rPr>
                <w:rFonts w:ascii="Arial" w:cs="Arial" w:eastAsia="Arial" w:hAnsi="Arial"/>
                <w:sz w:val="13"/>
                <w:szCs w:val="13"/>
                <w:b w:val="1"/>
                <w:bCs w:val="1"/>
                <w:color w:val="auto"/>
              </w:rPr>
              <w:t>Impact of</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180"/>
              <w:spacing w:after="0" w:line="141" w:lineRule="exact"/>
              <w:rPr>
                <w:sz w:val="20"/>
                <w:szCs w:val="20"/>
                <w:color w:val="auto"/>
              </w:rPr>
            </w:pPr>
            <w:r>
              <w:rPr>
                <w:rFonts w:ascii="Arial" w:cs="Arial" w:eastAsia="Arial" w:hAnsi="Arial"/>
                <w:sz w:val="13"/>
                <w:szCs w:val="13"/>
                <w:b w:val="1"/>
                <w:bCs w:val="1"/>
                <w:color w:val="auto"/>
                <w:w w:val="95"/>
              </w:rPr>
              <w:t>- Cadbury’s</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center"/>
              <w:ind w:right="140"/>
              <w:spacing w:after="0" w:line="141" w:lineRule="exact"/>
              <w:rPr>
                <w:sz w:val="20"/>
                <w:szCs w:val="20"/>
                <w:color w:val="auto"/>
              </w:rPr>
            </w:pPr>
            <w:r>
              <w:rPr>
                <w:rFonts w:ascii="Arial" w:cs="Arial" w:eastAsia="Arial" w:hAnsi="Arial"/>
                <w:sz w:val="13"/>
                <w:szCs w:val="13"/>
                <w:b w:val="1"/>
                <w:bCs w:val="1"/>
                <w:color w:val="auto"/>
              </w:rPr>
              <w:t>Impact</w:t>
            </w:r>
          </w:p>
        </w:tc>
        <w:tc>
          <w:tcPr>
            <w:tcW w:w="60" w:type="dxa"/>
            <w:vAlign w:val="bottom"/>
          </w:tcPr>
          <w:p>
            <w:pPr>
              <w:spacing w:after="0"/>
              <w:rPr>
                <w:sz w:val="12"/>
                <w:szCs w:val="12"/>
                <w:color w:val="auto"/>
              </w:rPr>
            </w:pPr>
          </w:p>
        </w:tc>
        <w:tc>
          <w:tcPr>
            <w:tcW w:w="66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6"/>
              </w:rPr>
              <w:t>Integra-</w:t>
            </w:r>
          </w:p>
        </w:tc>
        <w:tc>
          <w:tcPr>
            <w:tcW w:w="60" w:type="dxa"/>
            <w:vAlign w:val="bottom"/>
          </w:tcPr>
          <w:p>
            <w:pPr>
              <w:spacing w:after="0"/>
              <w:rPr>
                <w:sz w:val="12"/>
                <w:szCs w:val="12"/>
                <w:color w:val="auto"/>
              </w:rPr>
            </w:pPr>
          </w:p>
        </w:tc>
        <w:tc>
          <w:tcPr>
            <w:tcW w:w="820" w:type="dxa"/>
            <w:vAlign w:val="bottom"/>
            <w:gridSpan w:val="3"/>
          </w:tcPr>
          <w:p>
            <w:pPr>
              <w:jc w:val="center"/>
              <w:ind w:right="140"/>
              <w:spacing w:after="0" w:line="141" w:lineRule="exact"/>
              <w:rPr>
                <w:sz w:val="20"/>
                <w:szCs w:val="20"/>
                <w:color w:val="auto"/>
              </w:rPr>
            </w:pPr>
            <w:r>
              <w:rPr>
                <w:rFonts w:ascii="Arial" w:cs="Arial" w:eastAsia="Arial" w:hAnsi="Arial"/>
                <w:sz w:val="13"/>
                <w:szCs w:val="13"/>
                <w:b w:val="1"/>
                <w:bCs w:val="1"/>
                <w:color w:val="auto"/>
                <w:w w:val="96"/>
              </w:rPr>
              <w:t>Impact of</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180"/>
              <w:spacing w:after="0" w:line="141" w:lineRule="exact"/>
              <w:rPr>
                <w:sz w:val="20"/>
                <w:szCs w:val="20"/>
                <w:color w:val="auto"/>
              </w:rPr>
            </w:pPr>
            <w:r>
              <w:rPr>
                <w:rFonts w:ascii="Arial" w:cs="Arial" w:eastAsia="Arial" w:hAnsi="Arial"/>
                <w:sz w:val="13"/>
                <w:szCs w:val="13"/>
                <w:b w:val="1"/>
                <w:bCs w:val="1"/>
                <w:color w:val="auto"/>
                <w:w w:val="96"/>
              </w:rPr>
              <w:t>Poland and</w:t>
            </w:r>
          </w:p>
        </w:tc>
        <w:tc>
          <w:tcPr>
            <w:tcW w:w="740" w:type="dxa"/>
            <w:vAlign w:val="bottom"/>
            <w:gridSpan w:val="3"/>
          </w:tcPr>
          <w:p>
            <w:pPr>
              <w:jc w:val="center"/>
              <w:ind w:right="80"/>
              <w:spacing w:after="0" w:line="141" w:lineRule="exact"/>
              <w:rPr>
                <w:sz w:val="20"/>
                <w:szCs w:val="20"/>
                <w:color w:val="auto"/>
              </w:rPr>
            </w:pPr>
            <w:r>
              <w:rPr>
                <w:rFonts w:ascii="Arial" w:cs="Arial" w:eastAsia="Arial" w:hAnsi="Arial"/>
                <w:sz w:val="13"/>
                <w:szCs w:val="13"/>
                <w:b w:val="1"/>
                <w:bCs w:val="1"/>
                <w:color w:val="auto"/>
              </w:rPr>
              <w:t>Impact of</w:t>
            </w:r>
          </w:p>
        </w:tc>
        <w:tc>
          <w:tcPr>
            <w:tcW w:w="40" w:type="dxa"/>
            <w:vAlign w:val="bottom"/>
          </w:tcPr>
          <w:p>
            <w:pPr>
              <w:spacing w:after="0"/>
              <w:rPr>
                <w:sz w:val="12"/>
                <w:szCs w:val="12"/>
                <w:color w:val="auto"/>
              </w:rPr>
            </w:pPr>
          </w:p>
        </w:tc>
        <w:tc>
          <w:tcPr>
            <w:tcW w:w="74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Combined</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rPr>
              <w:t>Combined</w:t>
            </w:r>
          </w:p>
        </w:tc>
        <w:tc>
          <w:tcPr>
            <w:tcW w:w="0" w:type="dxa"/>
            <w:vAlign w:val="bottom"/>
          </w:tcPr>
          <w:p>
            <w:pPr>
              <w:spacing w:after="0"/>
              <w:rPr>
                <w:sz w:val="1"/>
                <w:szCs w:val="1"/>
                <w:color w:val="auto"/>
              </w:rPr>
            </w:pPr>
          </w:p>
        </w:tc>
      </w:tr>
      <w:tr>
        <w:trPr>
          <w:trHeight w:val="141"/>
        </w:trPr>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240"/>
              <w:spacing w:after="0" w:line="141" w:lineRule="exact"/>
              <w:rPr>
                <w:sz w:val="20"/>
                <w:szCs w:val="20"/>
                <w:color w:val="auto"/>
              </w:rPr>
            </w:pPr>
            <w:r>
              <w:rPr>
                <w:rFonts w:ascii="Arial" w:cs="Arial" w:eastAsia="Arial" w:hAnsi="Arial"/>
                <w:sz w:val="13"/>
                <w:szCs w:val="13"/>
                <w:b w:val="1"/>
                <w:bCs w:val="1"/>
                <w:color w:val="auto"/>
                <w:w w:val="96"/>
              </w:rPr>
              <w:t>As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97"/>
              </w:rPr>
              <w:t>of</w:t>
            </w:r>
          </w:p>
        </w:tc>
        <w:tc>
          <w:tcPr>
            <w:tcW w:w="60" w:type="dxa"/>
            <w:vAlign w:val="bottom"/>
          </w:tcPr>
          <w:p>
            <w:pPr>
              <w:spacing w:after="0"/>
              <w:rPr>
                <w:sz w:val="12"/>
                <w:szCs w:val="12"/>
                <w:color w:val="auto"/>
              </w:rPr>
            </w:pPr>
          </w:p>
        </w:tc>
        <w:tc>
          <w:tcPr>
            <w:tcW w:w="660" w:type="dxa"/>
            <w:vAlign w:val="bottom"/>
            <w:gridSpan w:val="2"/>
          </w:tcPr>
          <w:p>
            <w:pPr>
              <w:jc w:val="center"/>
              <w:ind w:right="140"/>
              <w:spacing w:after="0" w:line="141" w:lineRule="exact"/>
              <w:rPr>
                <w:sz w:val="20"/>
                <w:szCs w:val="20"/>
                <w:color w:val="auto"/>
              </w:rPr>
            </w:pPr>
            <w:r>
              <w:rPr>
                <w:rFonts w:ascii="Arial" w:cs="Arial" w:eastAsia="Arial" w:hAnsi="Arial"/>
                <w:sz w:val="13"/>
                <w:szCs w:val="13"/>
                <w:b w:val="1"/>
                <w:bCs w:val="1"/>
                <w:color w:val="auto"/>
              </w:rPr>
              <w:t>tion</w:t>
            </w:r>
          </w:p>
        </w:tc>
        <w:tc>
          <w:tcPr>
            <w:tcW w:w="880" w:type="dxa"/>
            <w:vAlign w:val="bottom"/>
            <w:gridSpan w:val="4"/>
          </w:tcPr>
          <w:p>
            <w:pPr>
              <w:jc w:val="center"/>
              <w:ind w:right="60"/>
              <w:spacing w:after="0" w:line="141" w:lineRule="exact"/>
              <w:rPr>
                <w:sz w:val="20"/>
                <w:szCs w:val="20"/>
                <w:color w:val="auto"/>
              </w:rPr>
            </w:pPr>
            <w:r>
              <w:rPr>
                <w:rFonts w:ascii="Arial" w:cs="Arial" w:eastAsia="Arial" w:hAnsi="Arial"/>
                <w:sz w:val="13"/>
                <w:szCs w:val="13"/>
                <w:b w:val="1"/>
                <w:bCs w:val="1"/>
                <w:color w:val="auto"/>
                <w:w w:val="97"/>
              </w:rPr>
              <w:t>Accounting</w:t>
            </w:r>
          </w:p>
        </w:tc>
        <w:tc>
          <w:tcPr>
            <w:tcW w:w="80" w:type="dxa"/>
            <w:vAlign w:val="bottom"/>
          </w:tcPr>
          <w:p>
            <w:pPr>
              <w:spacing w:after="0"/>
              <w:rPr>
                <w:sz w:val="12"/>
                <w:szCs w:val="12"/>
                <w:color w:val="auto"/>
              </w:rPr>
            </w:pPr>
          </w:p>
        </w:tc>
        <w:tc>
          <w:tcPr>
            <w:tcW w:w="620" w:type="dxa"/>
            <w:vAlign w:val="bottom"/>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rPr>
              <w:t>Impact</w:t>
            </w:r>
          </w:p>
        </w:tc>
        <w:tc>
          <w:tcPr>
            <w:tcW w:w="60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Organic</w:t>
            </w:r>
          </w:p>
        </w:tc>
        <w:tc>
          <w:tcPr>
            <w:tcW w:w="80" w:type="dxa"/>
            <w:vAlign w:val="bottom"/>
          </w:tcPr>
          <w:p>
            <w:pPr>
              <w:spacing w:after="0"/>
              <w:rPr>
                <w:sz w:val="12"/>
                <w:szCs w:val="12"/>
                <w:color w:val="auto"/>
              </w:rPr>
            </w:pPr>
          </w:p>
        </w:tc>
        <w:tc>
          <w:tcPr>
            <w:tcW w:w="840" w:type="dxa"/>
            <w:vAlign w:val="bottom"/>
            <w:gridSpan w:val="2"/>
          </w:tcPr>
          <w:p>
            <w:pPr>
              <w:jc w:val="center"/>
              <w:ind w:right="220"/>
              <w:spacing w:after="0" w:line="141" w:lineRule="exact"/>
              <w:rPr>
                <w:sz w:val="20"/>
                <w:szCs w:val="20"/>
                <w:color w:val="auto"/>
              </w:rPr>
            </w:pPr>
            <w:r>
              <w:rPr>
                <w:rFonts w:ascii="Arial" w:cs="Arial" w:eastAsia="Arial" w:hAnsi="Arial"/>
                <w:sz w:val="13"/>
                <w:szCs w:val="13"/>
                <w:b w:val="1"/>
                <w:bCs w:val="1"/>
                <w:color w:val="auto"/>
              </w:rPr>
              <w:t>Impact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1" w:lineRule="exact"/>
              <w:rPr>
                <w:sz w:val="20"/>
                <w:szCs w:val="20"/>
                <w:color w:val="auto"/>
              </w:rPr>
            </w:pPr>
            <w:r>
              <w:rPr>
                <w:rFonts w:ascii="Arial" w:cs="Arial" w:eastAsia="Arial" w:hAnsi="Arial"/>
                <w:sz w:val="13"/>
                <w:szCs w:val="13"/>
                <w:b w:val="1"/>
                <w:bCs w:val="1"/>
                <w:color w:val="auto"/>
                <w:w w:val="98"/>
              </w:rPr>
              <w:t>Romania</w:t>
            </w:r>
          </w:p>
        </w:tc>
        <w:tc>
          <w:tcPr>
            <w:tcW w:w="740" w:type="dxa"/>
            <w:vAlign w:val="bottom"/>
            <w:gridSpan w:val="3"/>
          </w:tcPr>
          <w:p>
            <w:pPr>
              <w:jc w:val="center"/>
              <w:ind w:right="80"/>
              <w:spacing w:after="0" w:line="141" w:lineRule="exact"/>
              <w:rPr>
                <w:sz w:val="20"/>
                <w:szCs w:val="20"/>
                <w:color w:val="auto"/>
              </w:rPr>
            </w:pPr>
            <w:r>
              <w:rPr>
                <w:rFonts w:ascii="Arial" w:cs="Arial" w:eastAsia="Arial" w:hAnsi="Arial"/>
                <w:sz w:val="13"/>
                <w:szCs w:val="13"/>
                <w:b w:val="1"/>
                <w:bCs w:val="1"/>
                <w:color w:val="auto"/>
              </w:rPr>
              <w:t>Currency</w:t>
            </w:r>
          </w:p>
        </w:tc>
        <w:tc>
          <w:tcPr>
            <w:tcW w:w="40" w:type="dxa"/>
            <w:vAlign w:val="bottom"/>
          </w:tcPr>
          <w:p>
            <w:pPr>
              <w:spacing w:after="0"/>
              <w:rPr>
                <w:sz w:val="12"/>
                <w:szCs w:val="12"/>
                <w:color w:val="auto"/>
              </w:rPr>
            </w:pPr>
          </w:p>
        </w:tc>
        <w:tc>
          <w:tcPr>
            <w:tcW w:w="740" w:type="dxa"/>
            <w:vAlign w:val="bottom"/>
            <w:gridSpan w:val="2"/>
          </w:tcPr>
          <w:p>
            <w:pPr>
              <w:jc w:val="center"/>
              <w:ind w:right="100"/>
              <w:spacing w:after="0" w:line="141" w:lineRule="exact"/>
              <w:rPr>
                <w:sz w:val="20"/>
                <w:szCs w:val="20"/>
                <w:color w:val="auto"/>
              </w:rPr>
            </w:pPr>
            <w:r>
              <w:rPr>
                <w:rFonts w:ascii="Arial" w:cs="Arial" w:eastAsia="Arial" w:hAnsi="Arial"/>
                <w:sz w:val="13"/>
                <w:szCs w:val="13"/>
                <w:b w:val="1"/>
                <w:bCs w:val="1"/>
                <w:color w:val="auto"/>
                <w:w w:val="97"/>
              </w:rPr>
              <w:t>Organic</w:t>
            </w:r>
          </w:p>
        </w:tc>
        <w:tc>
          <w:tcPr>
            <w:tcW w:w="600" w:type="dxa"/>
            <w:vAlign w:val="bottom"/>
            <w:gridSpan w:val="2"/>
          </w:tcPr>
          <w:p>
            <w:pPr>
              <w:jc w:val="center"/>
              <w:ind w:right="40"/>
              <w:spacing w:after="0" w:line="141" w:lineRule="exact"/>
              <w:rPr>
                <w:sz w:val="20"/>
                <w:szCs w:val="20"/>
                <w:color w:val="auto"/>
              </w:rPr>
            </w:pPr>
            <w:r>
              <w:rPr>
                <w:rFonts w:ascii="Arial" w:cs="Arial" w:eastAsia="Arial" w:hAnsi="Arial"/>
                <w:sz w:val="13"/>
                <w:szCs w:val="13"/>
                <w:b w:val="1"/>
                <w:bCs w:val="1"/>
                <w:color w:val="auto"/>
                <w:w w:val="96"/>
              </w:rPr>
              <w:t>As</w:t>
            </w:r>
          </w:p>
        </w:tc>
        <w:tc>
          <w:tcPr>
            <w:tcW w:w="80" w:type="dxa"/>
            <w:vAlign w:val="bottom"/>
          </w:tcPr>
          <w:p>
            <w:pPr>
              <w:spacing w:after="0"/>
              <w:rPr>
                <w:sz w:val="12"/>
                <w:szCs w:val="12"/>
                <w:color w:val="auto"/>
              </w:rPr>
            </w:pPr>
          </w:p>
        </w:tc>
        <w:tc>
          <w:tcPr>
            <w:tcW w:w="600" w:type="dxa"/>
            <w:vAlign w:val="bottom"/>
            <w:gridSpan w:val="2"/>
          </w:tcPr>
          <w:p>
            <w:pPr>
              <w:jc w:val="center"/>
              <w:ind w:right="120"/>
              <w:spacing w:after="0" w:line="141" w:lineRule="exact"/>
              <w:rPr>
                <w:sz w:val="20"/>
                <w:szCs w:val="20"/>
                <w:color w:val="auto"/>
              </w:rPr>
            </w:pPr>
            <w:r>
              <w:rPr>
                <w:rFonts w:ascii="Arial" w:cs="Arial" w:eastAsia="Arial" w:hAnsi="Arial"/>
                <w:sz w:val="13"/>
                <w:szCs w:val="13"/>
                <w:b w:val="1"/>
                <w:bCs w:val="1"/>
                <w:color w:val="auto"/>
                <w:w w:val="97"/>
              </w:rPr>
              <w:t>Organic</w:t>
            </w:r>
          </w:p>
        </w:tc>
        <w:tc>
          <w:tcPr>
            <w:tcW w:w="6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7"/>
              </w:rPr>
              <w:t>Organic</w:t>
            </w:r>
          </w:p>
        </w:tc>
        <w:tc>
          <w:tcPr>
            <w:tcW w:w="0" w:type="dxa"/>
            <w:vAlign w:val="bottom"/>
          </w:tcPr>
          <w:p>
            <w:pPr>
              <w:spacing w:after="0"/>
              <w:rPr>
                <w:sz w:val="1"/>
                <w:szCs w:val="1"/>
                <w:color w:val="auto"/>
              </w:rPr>
            </w:pPr>
          </w:p>
        </w:tc>
      </w:tr>
      <w:tr>
        <w:trPr>
          <w:trHeight w:val="132"/>
        </w:trPr>
        <w:tc>
          <w:tcPr>
            <w:tcW w:w="900" w:type="dxa"/>
            <w:vAlign w:val="bottom"/>
          </w:tcPr>
          <w:p>
            <w:pPr>
              <w:spacing w:after="0"/>
              <w:rPr>
                <w:sz w:val="11"/>
                <w:szCs w:val="11"/>
                <w:color w:val="auto"/>
              </w:rPr>
            </w:pPr>
          </w:p>
        </w:tc>
        <w:tc>
          <w:tcPr>
            <w:tcW w:w="680" w:type="dxa"/>
            <w:vAlign w:val="bottom"/>
            <w:gridSpan w:val="3"/>
          </w:tcPr>
          <w:p>
            <w:pPr>
              <w:jc w:val="right"/>
              <w:ind w:right="120"/>
              <w:spacing w:after="0" w:line="132" w:lineRule="exact"/>
              <w:rPr>
                <w:sz w:val="20"/>
                <w:szCs w:val="20"/>
                <w:color w:val="auto"/>
              </w:rPr>
            </w:pPr>
            <w:r>
              <w:rPr>
                <w:rFonts w:ascii="Arial" w:cs="Arial" w:eastAsia="Arial" w:hAnsi="Arial"/>
                <w:sz w:val="13"/>
                <w:szCs w:val="13"/>
                <w:b w:val="1"/>
                <w:bCs w:val="1"/>
                <w:color w:val="auto"/>
                <w:w w:val="94"/>
              </w:rPr>
              <w:t>Reported</w:t>
            </w:r>
          </w:p>
        </w:tc>
        <w:tc>
          <w:tcPr>
            <w:tcW w:w="100" w:type="dxa"/>
            <w:vAlign w:val="bottom"/>
          </w:tcPr>
          <w:p>
            <w:pPr>
              <w:spacing w:after="0"/>
              <w:rPr>
                <w:sz w:val="11"/>
                <w:szCs w:val="11"/>
                <w:color w:val="auto"/>
              </w:rPr>
            </w:pPr>
          </w:p>
        </w:tc>
        <w:tc>
          <w:tcPr>
            <w:tcW w:w="900" w:type="dxa"/>
            <w:vAlign w:val="bottom"/>
            <w:gridSpan w:val="2"/>
          </w:tcPr>
          <w:p>
            <w:pPr>
              <w:jc w:val="center"/>
              <w:ind w:right="240"/>
              <w:spacing w:after="0" w:line="132" w:lineRule="exact"/>
              <w:rPr>
                <w:sz w:val="20"/>
                <w:szCs w:val="20"/>
                <w:color w:val="auto"/>
              </w:rPr>
            </w:pPr>
            <w:r>
              <w:rPr>
                <w:rFonts w:ascii="Arial" w:cs="Arial" w:eastAsia="Arial" w:hAnsi="Arial"/>
                <w:sz w:val="13"/>
                <w:szCs w:val="13"/>
                <w:b w:val="1"/>
                <w:bCs w:val="1"/>
                <w:color w:val="auto"/>
              </w:rPr>
              <w:t>Impact of</w:t>
            </w:r>
          </w:p>
        </w:tc>
        <w:tc>
          <w:tcPr>
            <w:tcW w:w="640" w:type="dxa"/>
            <w:vAlign w:val="bottom"/>
            <w:gridSpan w:val="3"/>
          </w:tcPr>
          <w:p>
            <w:pPr>
              <w:jc w:val="center"/>
              <w:ind w:right="140"/>
              <w:spacing w:after="0" w:line="132" w:lineRule="exact"/>
              <w:rPr>
                <w:sz w:val="20"/>
                <w:szCs w:val="20"/>
                <w:color w:val="auto"/>
              </w:rPr>
            </w:pPr>
            <w:r>
              <w:rPr>
                <w:rFonts w:ascii="Arial" w:cs="Arial" w:eastAsia="Arial" w:hAnsi="Arial"/>
                <w:sz w:val="13"/>
                <w:szCs w:val="13"/>
                <w:b w:val="1"/>
                <w:bCs w:val="1"/>
                <w:color w:val="auto"/>
                <w:w w:val="97"/>
              </w:rPr>
              <w:t>Acquisi-</w:t>
            </w:r>
          </w:p>
        </w:tc>
        <w:tc>
          <w:tcPr>
            <w:tcW w:w="60" w:type="dxa"/>
            <w:vAlign w:val="bottom"/>
          </w:tcPr>
          <w:p>
            <w:pPr>
              <w:spacing w:after="0"/>
              <w:rPr>
                <w:sz w:val="11"/>
                <w:szCs w:val="11"/>
                <w:color w:val="auto"/>
              </w:rPr>
            </w:pPr>
          </w:p>
        </w:tc>
        <w:tc>
          <w:tcPr>
            <w:tcW w:w="66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97"/>
              </w:rPr>
              <w:t>Program</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w w:val="96"/>
              </w:rPr>
              <w:t>Calendar</w:t>
            </w:r>
          </w:p>
        </w:tc>
        <w:tc>
          <w:tcPr>
            <w:tcW w:w="80" w:type="dxa"/>
            <w:vAlign w:val="bottom"/>
          </w:tcPr>
          <w:p>
            <w:pPr>
              <w:spacing w:after="0"/>
              <w:rPr>
                <w:sz w:val="11"/>
                <w:szCs w:val="11"/>
                <w:color w:val="auto"/>
              </w:rPr>
            </w:pPr>
          </w:p>
        </w:tc>
        <w:tc>
          <w:tcPr>
            <w:tcW w:w="620" w:type="dxa"/>
            <w:vAlign w:val="bottom"/>
            <w:gridSpan w:val="2"/>
          </w:tcPr>
          <w:p>
            <w:pPr>
              <w:jc w:val="center"/>
              <w:ind w:right="220"/>
              <w:spacing w:after="0" w:line="132" w:lineRule="exact"/>
              <w:rPr>
                <w:sz w:val="20"/>
                <w:szCs w:val="20"/>
                <w:color w:val="auto"/>
              </w:rPr>
            </w:pPr>
            <w:r>
              <w:rPr>
                <w:rFonts w:ascii="Arial" w:cs="Arial" w:eastAsia="Arial" w:hAnsi="Arial"/>
                <w:sz w:val="13"/>
                <w:szCs w:val="13"/>
                <w:b w:val="1"/>
                <w:bCs w:val="1"/>
                <w:color w:val="auto"/>
                <w:w w:val="97"/>
              </w:rPr>
              <w:t>of</w:t>
            </w:r>
          </w:p>
        </w:tc>
        <w:tc>
          <w:tcPr>
            <w:tcW w:w="60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94"/>
              </w:rPr>
              <w:t>(Non-</w:t>
            </w:r>
          </w:p>
        </w:tc>
        <w:tc>
          <w:tcPr>
            <w:tcW w:w="920" w:type="dxa"/>
            <w:vAlign w:val="bottom"/>
            <w:gridSpan w:val="3"/>
          </w:tcPr>
          <w:p>
            <w:pPr>
              <w:jc w:val="center"/>
              <w:ind w:right="140"/>
              <w:spacing w:after="0" w:line="132" w:lineRule="exact"/>
              <w:rPr>
                <w:sz w:val="20"/>
                <w:szCs w:val="20"/>
                <w:color w:val="auto"/>
              </w:rPr>
            </w:pPr>
            <w:r>
              <w:rPr>
                <w:rFonts w:ascii="Arial" w:cs="Arial" w:eastAsia="Arial" w:hAnsi="Arial"/>
                <w:sz w:val="13"/>
                <w:szCs w:val="13"/>
                <w:b w:val="1"/>
                <w:bCs w:val="1"/>
                <w:color w:val="auto"/>
                <w:w w:val="99"/>
              </w:rPr>
              <w:t>Acquisitions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260"/>
              <w:spacing w:after="0" w:line="132" w:lineRule="exact"/>
              <w:rPr>
                <w:sz w:val="20"/>
                <w:szCs w:val="20"/>
                <w:color w:val="auto"/>
              </w:rPr>
            </w:pPr>
            <w:r>
              <w:rPr>
                <w:rFonts w:ascii="Arial" w:cs="Arial" w:eastAsia="Arial" w:hAnsi="Arial"/>
                <w:sz w:val="13"/>
                <w:szCs w:val="13"/>
                <w:b w:val="1"/>
                <w:bCs w:val="1"/>
                <w:color w:val="auto"/>
                <w:w w:val="95"/>
              </w:rPr>
              <w:t>Opera-</w:t>
            </w:r>
          </w:p>
        </w:tc>
        <w:tc>
          <w:tcPr>
            <w:tcW w:w="200" w:type="dxa"/>
            <w:vAlign w:val="bottom"/>
          </w:tcPr>
          <w:p>
            <w:pPr>
              <w:spacing w:after="0"/>
              <w:rPr>
                <w:sz w:val="11"/>
                <w:szCs w:val="11"/>
                <w:color w:val="auto"/>
              </w:rPr>
            </w:pPr>
          </w:p>
        </w:tc>
        <w:tc>
          <w:tcPr>
            <w:tcW w:w="460" w:type="dxa"/>
            <w:vAlign w:val="bottom"/>
          </w:tcPr>
          <w:p>
            <w:pPr>
              <w:jc w:val="center"/>
              <w:ind w:right="136"/>
              <w:spacing w:after="0" w:line="132"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rPr>
              <w:t>(Non-</w:t>
            </w:r>
          </w:p>
        </w:tc>
        <w:tc>
          <w:tcPr>
            <w:tcW w:w="600" w:type="dxa"/>
            <w:vAlign w:val="bottom"/>
            <w:gridSpan w:val="2"/>
          </w:tcPr>
          <w:p>
            <w:pPr>
              <w:jc w:val="center"/>
              <w:ind w:right="40"/>
              <w:spacing w:after="0" w:line="132" w:lineRule="exact"/>
              <w:rPr>
                <w:sz w:val="20"/>
                <w:szCs w:val="20"/>
                <w:color w:val="auto"/>
              </w:rPr>
            </w:pPr>
            <w:r>
              <w:rPr>
                <w:rFonts w:ascii="Arial" w:cs="Arial" w:eastAsia="Arial" w:hAnsi="Arial"/>
                <w:sz w:val="13"/>
                <w:szCs w:val="13"/>
                <w:b w:val="1"/>
                <w:bCs w:val="1"/>
                <w:color w:val="auto"/>
                <w:w w:val="98"/>
              </w:rPr>
              <w:t>Reported</w:t>
            </w:r>
          </w:p>
        </w:tc>
        <w:tc>
          <w:tcPr>
            <w:tcW w:w="80" w:type="dxa"/>
            <w:vAlign w:val="bottom"/>
          </w:tcPr>
          <w:p>
            <w:pPr>
              <w:spacing w:after="0"/>
              <w:rPr>
                <w:sz w:val="11"/>
                <w:szCs w:val="11"/>
                <w:color w:val="auto"/>
              </w:rPr>
            </w:pPr>
          </w:p>
        </w:tc>
        <w:tc>
          <w:tcPr>
            <w:tcW w:w="60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rPr>
              <w:t>(Non-</w:t>
            </w:r>
          </w:p>
        </w:tc>
        <w:tc>
          <w:tcPr>
            <w:tcW w:w="64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4"/>
              </w:rPr>
              <w:t>(Non-</w:t>
            </w:r>
          </w:p>
        </w:tc>
        <w:tc>
          <w:tcPr>
            <w:tcW w:w="0" w:type="dxa"/>
            <w:vAlign w:val="bottom"/>
          </w:tcPr>
          <w:p>
            <w:pPr>
              <w:spacing w:after="0"/>
              <w:rPr>
                <w:sz w:val="1"/>
                <w:szCs w:val="1"/>
                <w:color w:val="auto"/>
              </w:rPr>
            </w:pPr>
          </w:p>
        </w:tc>
      </w:tr>
      <w:tr>
        <w:trPr>
          <w:trHeight w:val="166"/>
        </w:trPr>
        <w:tc>
          <w:tcPr>
            <w:tcW w:w="900" w:type="dxa"/>
            <w:vAlign w:val="bottom"/>
            <w:vMerge w:val="restart"/>
          </w:tcPr>
          <w:p>
            <w:pPr>
              <w:spacing w:after="0"/>
              <w:rPr>
                <w:sz w:val="20"/>
                <w:szCs w:val="20"/>
                <w:color w:val="auto"/>
              </w:rPr>
            </w:pPr>
            <w:r>
              <w:rPr>
                <w:rFonts w:ascii="Arial" w:cs="Arial" w:eastAsia="Arial" w:hAnsi="Arial"/>
                <w:sz w:val="13"/>
                <w:szCs w:val="13"/>
                <w:b w:val="1"/>
                <w:bCs w:val="1"/>
                <w:color w:val="auto"/>
              </w:rPr>
              <w:t>2011</w:t>
            </w:r>
          </w:p>
        </w:tc>
        <w:tc>
          <w:tcPr>
            <w:tcW w:w="6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5"/>
              </w:rPr>
              <w:t>(GAAP)</w:t>
            </w:r>
          </w:p>
        </w:tc>
        <w:tc>
          <w:tcPr>
            <w:tcW w:w="10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9"/>
              </w:rPr>
              <w:t>Divestitures</w:t>
            </w:r>
          </w:p>
        </w:tc>
        <w:tc>
          <w:tcPr>
            <w:tcW w:w="640" w:type="dxa"/>
            <w:vAlign w:val="bottom"/>
            <w:gridSpan w:val="3"/>
          </w:tcPr>
          <w:p>
            <w:pPr>
              <w:jc w:val="center"/>
              <w:ind w:right="140"/>
              <w:spacing w:after="0" w:line="166" w:lineRule="exact"/>
              <w:rPr>
                <w:sz w:val="20"/>
                <w:szCs w:val="20"/>
                <w:color w:val="auto"/>
              </w:rPr>
            </w:pPr>
            <w:r>
              <w:rPr>
                <w:rFonts w:ascii="Arial" w:cs="Arial" w:eastAsia="Arial" w:hAnsi="Arial"/>
                <w:sz w:val="12"/>
                <w:szCs w:val="12"/>
                <w:b w:val="1"/>
                <w:bCs w:val="1"/>
                <w:color w:val="auto"/>
                <w:w w:val="95"/>
              </w:rPr>
              <w:t>tions</w:t>
            </w:r>
            <w:r>
              <w:rPr>
                <w:rFonts w:ascii="Arial" w:cs="Arial" w:eastAsia="Arial" w:hAnsi="Arial"/>
                <w:sz w:val="19"/>
                <w:szCs w:val="19"/>
                <w:b w:val="1"/>
                <w:bCs w:val="1"/>
                <w:color w:val="auto"/>
                <w:w w:val="95"/>
                <w:vertAlign w:val="superscript"/>
              </w:rPr>
              <w:t>(2)</w:t>
            </w:r>
          </w:p>
        </w:tc>
        <w:tc>
          <w:tcPr>
            <w:tcW w:w="6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Costs</w:t>
            </w:r>
          </w:p>
        </w:tc>
        <w:tc>
          <w:tcPr>
            <w:tcW w:w="60" w:type="dxa"/>
            <w:vAlign w:val="bottom"/>
          </w:tcPr>
          <w:p>
            <w:pPr>
              <w:spacing w:after="0"/>
              <w:rPr>
                <w:sz w:val="14"/>
                <w:szCs w:val="14"/>
                <w:color w:val="auto"/>
              </w:rPr>
            </w:pPr>
          </w:p>
        </w:tc>
        <w:tc>
          <w:tcPr>
            <w:tcW w:w="820" w:type="dxa"/>
            <w:vAlign w:val="bottom"/>
            <w:gridSpan w:val="3"/>
          </w:tcPr>
          <w:p>
            <w:pPr>
              <w:jc w:val="center"/>
              <w:ind w:right="120"/>
              <w:spacing w:after="0" w:line="166" w:lineRule="exact"/>
              <w:rPr>
                <w:sz w:val="20"/>
                <w:szCs w:val="20"/>
                <w:color w:val="auto"/>
              </w:rPr>
            </w:pPr>
            <w:r>
              <w:rPr>
                <w:rFonts w:ascii="Arial" w:cs="Arial" w:eastAsia="Arial" w:hAnsi="Arial"/>
                <w:sz w:val="12"/>
                <w:szCs w:val="12"/>
                <w:b w:val="1"/>
                <w:bCs w:val="1"/>
                <w:color w:val="auto"/>
                <w:w w:val="99"/>
              </w:rPr>
              <w:t>Changes</w:t>
            </w:r>
            <w:r>
              <w:rPr>
                <w:rFonts w:ascii="Arial" w:cs="Arial" w:eastAsia="Arial" w:hAnsi="Arial"/>
                <w:sz w:val="19"/>
                <w:szCs w:val="19"/>
                <w:b w:val="1"/>
                <w:bCs w:val="1"/>
                <w:color w:val="auto"/>
                <w:w w:val="99"/>
                <w:vertAlign w:val="superscript"/>
              </w:rPr>
              <w:t>(3)</w:t>
            </w:r>
          </w:p>
        </w:tc>
        <w:tc>
          <w:tcPr>
            <w:tcW w:w="7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8"/>
              </w:rPr>
              <w:t>Currency</w:t>
            </w:r>
          </w:p>
        </w:tc>
        <w:tc>
          <w:tcPr>
            <w:tcW w:w="6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GAAP)</w:t>
            </w:r>
          </w:p>
        </w:tc>
        <w:tc>
          <w:tcPr>
            <w:tcW w:w="920" w:type="dxa"/>
            <w:vAlign w:val="bottom"/>
            <w:gridSpan w:val="3"/>
          </w:tcPr>
          <w:p>
            <w:pPr>
              <w:jc w:val="center"/>
              <w:ind w:right="140"/>
              <w:spacing w:after="0" w:line="166" w:lineRule="exact"/>
              <w:rPr>
                <w:sz w:val="20"/>
                <w:szCs w:val="20"/>
                <w:color w:val="auto"/>
              </w:rPr>
            </w:pPr>
            <w:r>
              <w:rPr>
                <w:rFonts w:ascii="Arial" w:cs="Arial" w:eastAsia="Arial" w:hAnsi="Arial"/>
                <w:sz w:val="12"/>
                <w:szCs w:val="12"/>
                <w:b w:val="1"/>
                <w:bCs w:val="1"/>
                <w:color w:val="auto"/>
              </w:rPr>
              <w:t>- Cadbury</w:t>
            </w:r>
            <w:r>
              <w:rPr>
                <w:rFonts w:ascii="Arial" w:cs="Arial" w:eastAsia="Arial" w:hAnsi="Arial"/>
                <w:sz w:val="19"/>
                <w:szCs w:val="19"/>
                <w:b w:val="1"/>
                <w:bCs w:val="1"/>
                <w:color w:val="auto"/>
                <w:vertAlign w:val="superscript"/>
              </w:rPr>
              <w:t>(2)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60"/>
              <w:spacing w:after="0" w:line="166" w:lineRule="exact"/>
              <w:rPr>
                <w:sz w:val="20"/>
                <w:szCs w:val="20"/>
                <w:color w:val="auto"/>
              </w:rPr>
            </w:pPr>
            <w:r>
              <w:rPr>
                <w:rFonts w:ascii="Arial" w:cs="Arial" w:eastAsia="Arial" w:hAnsi="Arial"/>
                <w:sz w:val="12"/>
                <w:szCs w:val="12"/>
                <w:b w:val="1"/>
                <w:bCs w:val="1"/>
                <w:color w:val="auto"/>
                <w:w w:val="99"/>
              </w:rPr>
              <w:t>tions</w:t>
            </w:r>
            <w:r>
              <w:rPr>
                <w:rFonts w:ascii="Arial" w:cs="Arial" w:eastAsia="Arial" w:hAnsi="Arial"/>
                <w:sz w:val="19"/>
                <w:szCs w:val="19"/>
                <w:b w:val="1"/>
                <w:bCs w:val="1"/>
                <w:color w:val="auto"/>
                <w:w w:val="99"/>
                <w:vertAlign w:val="superscript"/>
              </w:rPr>
              <w:t>(2)</w:t>
            </w:r>
          </w:p>
        </w:tc>
        <w:tc>
          <w:tcPr>
            <w:tcW w:w="740" w:type="dxa"/>
            <w:vAlign w:val="bottom"/>
            <w:gridSpan w:val="3"/>
          </w:tcPr>
          <w:p>
            <w:pPr>
              <w:jc w:val="center"/>
              <w:ind w:right="80"/>
              <w:spacing w:after="0" w:line="166" w:lineRule="exact"/>
              <w:rPr>
                <w:sz w:val="20"/>
                <w:szCs w:val="20"/>
                <w:color w:val="auto"/>
              </w:rPr>
            </w:pPr>
            <w:r>
              <w:rPr>
                <w:rFonts w:ascii="Arial" w:cs="Arial" w:eastAsia="Arial" w:hAnsi="Arial"/>
                <w:sz w:val="12"/>
                <w:szCs w:val="12"/>
                <w:b w:val="1"/>
                <w:bCs w:val="1"/>
                <w:color w:val="auto"/>
              </w:rPr>
              <w:t>Cadbury</w:t>
            </w:r>
            <w:r>
              <w:rPr>
                <w:rFonts w:ascii="Arial" w:cs="Arial" w:eastAsia="Arial" w:hAnsi="Arial"/>
                <w:sz w:val="19"/>
                <w:szCs w:val="19"/>
                <w:b w:val="1"/>
                <w:bCs w:val="1"/>
                <w:color w:val="auto"/>
                <w:vertAlign w:val="superscript"/>
              </w:rPr>
              <w:t>(2)</w:t>
            </w:r>
          </w:p>
        </w:tc>
        <w:tc>
          <w:tcPr>
            <w:tcW w:w="4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GAAP)</w:t>
            </w:r>
          </w:p>
        </w:tc>
        <w:tc>
          <w:tcPr>
            <w:tcW w:w="6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(GAAP)</w:t>
            </w:r>
          </w:p>
        </w:tc>
        <w:tc>
          <w:tcPr>
            <w:tcW w:w="8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GAAP)</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5"/>
              </w:rPr>
              <w:t>GAAP)</w:t>
            </w: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line="141" w:lineRule="exact"/>
              <w:rPr>
                <w:sz w:val="20"/>
                <w:szCs w:val="20"/>
                <w:color w:val="auto"/>
              </w:rPr>
            </w:pPr>
            <w:r>
              <w:rPr>
                <w:rFonts w:ascii="Arial" w:cs="Arial" w:eastAsia="Arial" w:hAnsi="Arial"/>
                <w:sz w:val="13"/>
                <w:szCs w:val="13"/>
                <w:color w:val="auto"/>
              </w:rPr>
              <w:t>Kraft Foods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0"/>
              <w:spacing w:after="0" w:line="141" w:lineRule="exact"/>
              <w:rPr>
                <w:sz w:val="20"/>
                <w:szCs w:val="20"/>
                <w:color w:val="auto"/>
              </w:rPr>
            </w:pPr>
            <w:r>
              <w:rPr>
                <w:rFonts w:ascii="Arial" w:cs="Arial" w:eastAsia="Arial" w:hAnsi="Arial"/>
                <w:sz w:val="13"/>
                <w:szCs w:val="13"/>
                <w:color w:val="auto"/>
              </w:rPr>
              <w:t>Developing</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900" w:type="dxa"/>
            <w:vAlign w:val="bottom"/>
          </w:tcPr>
          <w:p>
            <w:pPr>
              <w:ind w:left="200"/>
              <w:spacing w:after="0" w:line="125" w:lineRule="exact"/>
              <w:rPr>
                <w:sz w:val="20"/>
                <w:szCs w:val="20"/>
                <w:color w:val="auto"/>
              </w:rPr>
            </w:pPr>
            <w:r>
              <w:rPr>
                <w:rFonts w:ascii="Arial" w:cs="Arial" w:eastAsia="Arial" w:hAnsi="Arial"/>
                <w:sz w:val="13"/>
                <w:szCs w:val="13"/>
                <w:color w:val="auto"/>
              </w:rPr>
              <w:t>Markets</w:t>
            </w: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25" w:lineRule="exact"/>
              <w:rPr>
                <w:sz w:val="20"/>
                <w:szCs w:val="20"/>
                <w:color w:val="auto"/>
              </w:rPr>
            </w:pPr>
            <w:r>
              <w:rPr>
                <w:rFonts w:ascii="Arial" w:cs="Arial" w:eastAsia="Arial" w:hAnsi="Arial"/>
                <w:sz w:val="13"/>
                <w:szCs w:val="13"/>
                <w:color w:val="auto"/>
              </w:rPr>
              <w:t>15,821</w:t>
            </w:r>
          </w:p>
        </w:tc>
        <w:tc>
          <w:tcPr>
            <w:tcW w:w="12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00"/>
              <w:spacing w:after="0" w:line="125" w:lineRule="exact"/>
              <w:rPr>
                <w:sz w:val="20"/>
                <w:szCs w:val="20"/>
                <w:color w:val="auto"/>
              </w:rPr>
            </w:pPr>
            <w:r>
              <w:rPr>
                <w:rFonts w:ascii="Arial" w:cs="Arial" w:eastAsia="Arial" w:hAnsi="Arial"/>
                <w:sz w:val="13"/>
                <w:szCs w:val="13"/>
                <w:color w:val="auto"/>
              </w:rPr>
              <w:t>—</w:t>
            </w:r>
          </w:p>
        </w:tc>
        <w:tc>
          <w:tcPr>
            <w:tcW w:w="120" w:type="dxa"/>
            <w:vAlign w:val="bottom"/>
          </w:tcPr>
          <w:p>
            <w:pPr>
              <w:jc w:val="right"/>
              <w:ind w:right="1"/>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00"/>
              <w:spacing w:after="0" w:line="125" w:lineRule="exact"/>
              <w:rPr>
                <w:sz w:val="20"/>
                <w:szCs w:val="20"/>
                <w:color w:val="auto"/>
              </w:rPr>
            </w:pPr>
            <w:r>
              <w:rPr>
                <w:rFonts w:ascii="Arial" w:cs="Arial" w:eastAsia="Arial" w:hAnsi="Arial"/>
                <w:sz w:val="13"/>
                <w:szCs w:val="13"/>
                <w:color w:val="auto"/>
              </w:rPr>
              <w:t>(379)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60"/>
              <w:spacing w:after="0" w:line="125" w:lineRule="exact"/>
              <w:rPr>
                <w:sz w:val="20"/>
                <w:szCs w:val="20"/>
                <w:color w:val="auto"/>
              </w:rPr>
            </w:pPr>
            <w:r>
              <w:rPr>
                <w:rFonts w:ascii="Arial" w:cs="Arial" w:eastAsia="Arial" w:hAnsi="Arial"/>
                <w:sz w:val="13"/>
                <w:szCs w:val="13"/>
                <w:color w:val="auto"/>
              </w:rPr>
              <w:t>1</w:t>
            </w:r>
          </w:p>
        </w:tc>
        <w:tc>
          <w:tcPr>
            <w:tcW w:w="120" w:type="dxa"/>
            <w:vAlign w:val="bottom"/>
            <w:gridSpan w:val="2"/>
          </w:tcPr>
          <w:p>
            <w:pPr>
              <w:jc w:val="right"/>
              <w:spacing w:after="0" w:line="12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80"/>
              <w:spacing w:after="0" w:line="125" w:lineRule="exact"/>
              <w:rPr>
                <w:sz w:val="20"/>
                <w:szCs w:val="20"/>
                <w:color w:val="auto"/>
              </w:rPr>
            </w:pPr>
            <w:r>
              <w:rPr>
                <w:rFonts w:ascii="Arial" w:cs="Arial" w:eastAsia="Arial" w:hAnsi="Arial"/>
                <w:sz w:val="13"/>
                <w:szCs w:val="13"/>
                <w:color w:val="auto"/>
              </w:rPr>
              <w:t>(183)</w:t>
            </w:r>
          </w:p>
        </w:tc>
        <w:tc>
          <w:tcPr>
            <w:tcW w:w="80" w:type="dxa"/>
            <w:vAlign w:val="bottom"/>
          </w:tcPr>
          <w:p>
            <w:pPr>
              <w:jc w:val="right"/>
              <w:spacing w:after="0" w:line="125"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80"/>
              <w:spacing w:after="0" w:line="125" w:lineRule="exact"/>
              <w:rPr>
                <w:sz w:val="20"/>
                <w:szCs w:val="20"/>
                <w:color w:val="auto"/>
              </w:rPr>
            </w:pPr>
            <w:r>
              <w:rPr>
                <w:rFonts w:ascii="Arial" w:cs="Arial" w:eastAsia="Arial" w:hAnsi="Arial"/>
                <w:sz w:val="13"/>
                <w:szCs w:val="13"/>
                <w:color w:val="auto"/>
              </w:rPr>
              <w:t>(397)</w:t>
            </w:r>
          </w:p>
        </w:tc>
        <w:tc>
          <w:tcPr>
            <w:tcW w:w="480" w:type="dxa"/>
            <w:vAlign w:val="bottom"/>
          </w:tcPr>
          <w:p>
            <w:pPr>
              <w:jc w:val="right"/>
              <w:spacing w:after="0" w:line="125" w:lineRule="exact"/>
              <w:rPr>
                <w:sz w:val="20"/>
                <w:szCs w:val="20"/>
                <w:color w:val="auto"/>
              </w:rPr>
            </w:pPr>
            <w:r>
              <w:rPr>
                <w:rFonts w:ascii="Arial" w:cs="Arial" w:eastAsia="Arial" w:hAnsi="Arial"/>
                <w:sz w:val="13"/>
                <w:szCs w:val="13"/>
                <w:color w:val="auto"/>
                <w:w w:val="90"/>
              </w:rPr>
              <w:t>$ 14,863</w:t>
            </w:r>
          </w:p>
        </w:tc>
        <w:tc>
          <w:tcPr>
            <w:tcW w:w="1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40"/>
              <w:spacing w:after="0" w:line="125" w:lineRule="exact"/>
              <w:rPr>
                <w:sz w:val="20"/>
                <w:szCs w:val="20"/>
                <w:color w:val="auto"/>
              </w:rPr>
            </w:pPr>
            <w:r>
              <w:rPr>
                <w:rFonts w:ascii="Arial" w:cs="Arial" w:eastAsia="Arial" w:hAnsi="Arial"/>
                <w:sz w:val="13"/>
                <w:szCs w:val="13"/>
                <w:color w:val="auto"/>
              </w:rPr>
              <w:t>379</w:t>
            </w:r>
          </w:p>
        </w:tc>
        <w:tc>
          <w:tcPr>
            <w:tcW w:w="120" w:type="dxa"/>
            <w:vAlign w:val="bottom"/>
            <w:gridSpan w:val="2"/>
          </w:tcPr>
          <w:p>
            <w:pPr>
              <w:ind w:left="40"/>
              <w:spacing w:after="0" w:line="125" w:lineRule="exact"/>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260"/>
              <w:spacing w:after="0" w:line="125" w:lineRule="exact"/>
              <w:rPr>
                <w:sz w:val="20"/>
                <w:szCs w:val="20"/>
                <w:color w:val="auto"/>
              </w:rPr>
            </w:pPr>
            <w:r>
              <w:rPr>
                <w:rFonts w:ascii="Arial" w:cs="Arial" w:eastAsia="Arial" w:hAnsi="Arial"/>
                <w:sz w:val="13"/>
                <w:szCs w:val="13"/>
                <w:color w:val="auto"/>
              </w:rPr>
              <w:t>—</w:t>
            </w:r>
          </w:p>
        </w:tc>
        <w:tc>
          <w:tcPr>
            <w:tcW w:w="200" w:type="dxa"/>
            <w:vAlign w:val="bottom"/>
          </w:tcPr>
          <w:p>
            <w:pPr>
              <w:jc w:val="right"/>
              <w:ind w:right="57"/>
              <w:spacing w:after="0" w:line="125" w:lineRule="exact"/>
              <w:rPr>
                <w:sz w:val="20"/>
                <w:szCs w:val="20"/>
                <w:color w:val="auto"/>
              </w:rPr>
            </w:pPr>
            <w:r>
              <w:rPr>
                <w:rFonts w:ascii="Arial" w:cs="Arial" w:eastAsia="Arial" w:hAnsi="Arial"/>
                <w:sz w:val="13"/>
                <w:szCs w:val="13"/>
                <w:color w:val="auto"/>
                <w:w w:val="82"/>
              </w:rPr>
              <w:t>$</w:t>
            </w:r>
          </w:p>
        </w:tc>
        <w:tc>
          <w:tcPr>
            <w:tcW w:w="540" w:type="dxa"/>
            <w:vAlign w:val="bottom"/>
            <w:gridSpan w:val="2"/>
          </w:tcPr>
          <w:p>
            <w:pPr>
              <w:ind w:left="280"/>
              <w:spacing w:after="0" w:line="125" w:lineRule="exact"/>
              <w:rPr>
                <w:sz w:val="20"/>
                <w:szCs w:val="20"/>
                <w:color w:val="auto"/>
              </w:rPr>
            </w:pPr>
            <w:r>
              <w:rPr>
                <w:rFonts w:ascii="Arial" w:cs="Arial" w:eastAsia="Arial" w:hAnsi="Arial"/>
                <w:sz w:val="13"/>
                <w:szCs w:val="13"/>
                <w:color w:val="auto"/>
              </w:rPr>
              <w:t>(16)</w:t>
            </w:r>
          </w:p>
        </w:tc>
        <w:tc>
          <w:tcPr>
            <w:tcW w:w="780" w:type="dxa"/>
            <w:vAlign w:val="bottom"/>
            <w:gridSpan w:val="3"/>
          </w:tcPr>
          <w:p>
            <w:pPr>
              <w:jc w:val="right"/>
              <w:ind w:right="100"/>
              <w:spacing w:after="0" w:line="125" w:lineRule="exact"/>
              <w:rPr>
                <w:sz w:val="20"/>
                <w:szCs w:val="20"/>
                <w:color w:val="auto"/>
              </w:rPr>
            </w:pPr>
            <w:r>
              <w:rPr>
                <w:rFonts w:ascii="Arial" w:cs="Arial" w:eastAsia="Arial" w:hAnsi="Arial"/>
                <w:sz w:val="13"/>
                <w:szCs w:val="13"/>
                <w:color w:val="auto"/>
              </w:rPr>
              <w:t>$   15,226</w:t>
            </w:r>
          </w:p>
        </w:tc>
        <w:tc>
          <w:tcPr>
            <w:tcW w:w="600" w:type="dxa"/>
            <w:vAlign w:val="bottom"/>
            <w:gridSpan w:val="2"/>
          </w:tcPr>
          <w:p>
            <w:pPr>
              <w:jc w:val="right"/>
              <w:ind w:right="40"/>
              <w:spacing w:after="0" w:line="125" w:lineRule="exact"/>
              <w:rPr>
                <w:sz w:val="20"/>
                <w:szCs w:val="20"/>
                <w:color w:val="auto"/>
              </w:rPr>
            </w:pPr>
            <w:r>
              <w:rPr>
                <w:rFonts w:ascii="Arial" w:cs="Arial" w:eastAsia="Arial" w:hAnsi="Arial"/>
                <w:sz w:val="13"/>
                <w:szCs w:val="13"/>
                <w:color w:val="auto"/>
              </w:rPr>
              <w:t>16.2%</w:t>
            </w:r>
          </w:p>
        </w:tc>
        <w:tc>
          <w:tcPr>
            <w:tcW w:w="680" w:type="dxa"/>
            <w:vAlign w:val="bottom"/>
            <w:gridSpan w:val="3"/>
          </w:tcPr>
          <w:p>
            <w:pPr>
              <w:jc w:val="right"/>
              <w:ind w:right="120"/>
              <w:spacing w:after="0" w:line="125" w:lineRule="exact"/>
              <w:rPr>
                <w:sz w:val="20"/>
                <w:szCs w:val="20"/>
                <w:color w:val="auto"/>
              </w:rPr>
            </w:pPr>
            <w:r>
              <w:rPr>
                <w:rFonts w:ascii="Arial" w:cs="Arial" w:eastAsia="Arial" w:hAnsi="Arial"/>
                <w:sz w:val="13"/>
                <w:szCs w:val="13"/>
                <w:color w:val="auto"/>
              </w:rPr>
              <w:t>11.2%</w:t>
            </w:r>
          </w:p>
        </w:tc>
        <w:tc>
          <w:tcPr>
            <w:tcW w:w="640" w:type="dxa"/>
            <w:vAlign w:val="bottom"/>
          </w:tcPr>
          <w:p>
            <w:pPr>
              <w:jc w:val="right"/>
              <w:spacing w:after="0" w:line="125" w:lineRule="exact"/>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57"/>
        </w:trPr>
        <w:tc>
          <w:tcPr>
            <w:tcW w:w="900" w:type="dxa"/>
            <w:vAlign w:val="bottom"/>
          </w:tcPr>
          <w:p>
            <w:pPr>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900" w:type="dxa"/>
            <w:vAlign w:val="bottom"/>
          </w:tcPr>
          <w:p>
            <w:pPr>
              <w:spacing w:after="0" w:line="141" w:lineRule="exact"/>
              <w:rPr>
                <w:sz w:val="20"/>
                <w:szCs w:val="20"/>
                <w:color w:val="auto"/>
              </w:rPr>
            </w:pPr>
            <w:r>
              <w:rPr>
                <w:rFonts w:ascii="Arial" w:cs="Arial" w:eastAsia="Arial" w:hAnsi="Arial"/>
                <w:sz w:val="13"/>
                <w:szCs w:val="13"/>
                <w:color w:val="auto"/>
              </w:rPr>
              <w:t>Kraft Foods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00" w:type="dxa"/>
            <w:vAlign w:val="bottom"/>
          </w:tcPr>
          <w:p>
            <w:pPr>
              <w:ind w:left="200"/>
              <w:spacing w:after="0" w:line="141" w:lineRule="exact"/>
              <w:rPr>
                <w:sz w:val="20"/>
                <w:szCs w:val="20"/>
                <w:color w:val="auto"/>
              </w:rPr>
            </w:pPr>
            <w:r>
              <w:rPr>
                <w:rFonts w:ascii="Arial" w:cs="Arial" w:eastAsia="Arial" w:hAnsi="Arial"/>
                <w:sz w:val="13"/>
                <w:szCs w:val="13"/>
                <w:color w:val="auto"/>
              </w:rPr>
              <w:t>Developing</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900" w:type="dxa"/>
            <w:vAlign w:val="bottom"/>
          </w:tcPr>
          <w:p>
            <w:pPr>
              <w:ind w:left="200"/>
              <w:spacing w:after="0"/>
              <w:rPr>
                <w:sz w:val="20"/>
                <w:szCs w:val="20"/>
                <w:color w:val="auto"/>
              </w:rPr>
            </w:pPr>
            <w:r>
              <w:rPr>
                <w:rFonts w:ascii="Arial" w:cs="Arial" w:eastAsia="Arial" w:hAnsi="Arial"/>
                <w:sz w:val="13"/>
                <w:szCs w:val="13"/>
                <w:color w:val="auto"/>
              </w:rPr>
              <w:t>Markets</w:t>
            </w: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13,613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(148)</w:t>
            </w: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13,361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315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(12)</w:t>
            </w:r>
          </w:p>
        </w:tc>
        <w:tc>
          <w:tcPr>
            <w:tcW w:w="200" w:type="dxa"/>
            <w:vAlign w:val="bottom"/>
          </w:tcPr>
          <w:p>
            <w:pPr>
              <w:spacing w:after="0"/>
              <w:rPr>
                <w:sz w:val="13"/>
                <w:szCs w:val="13"/>
                <w:color w:val="auto"/>
              </w:rPr>
            </w:pPr>
          </w:p>
        </w:tc>
        <w:tc>
          <w:tcPr>
            <w:tcW w:w="54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3"/>
                <w:szCs w:val="13"/>
                <w:color w:val="auto"/>
              </w:rPr>
              <w:t>13,664</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57150</wp:posOffset>
            </wp:positionV>
            <wp:extent cx="7226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108" w:lineRule="exact"/>
        <w:rPr>
          <w:sz w:val="20"/>
          <w:szCs w:val="20"/>
          <w:color w:val="auto"/>
        </w:rPr>
      </w:pPr>
    </w:p>
    <w:p>
      <w:pPr>
        <w:ind w:left="340" w:hanging="338"/>
        <w:spacing w:after="0"/>
        <w:tabs>
          <w:tab w:leader="none" w:pos="34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Impact of divestitures includes for reporting purposes the Starbucks CPG business.</w:t>
      </w:r>
    </w:p>
    <w:p>
      <w:pPr>
        <w:spacing w:after="0" w:line="67" w:lineRule="exact"/>
        <w:rPr>
          <w:rFonts w:ascii="Arial" w:cs="Arial" w:eastAsia="Arial" w:hAnsi="Arial"/>
          <w:sz w:val="13"/>
          <w:szCs w:val="13"/>
          <w:color w:val="auto"/>
        </w:rPr>
      </w:pPr>
    </w:p>
    <w:p>
      <w:pPr>
        <w:ind w:left="340" w:right="40" w:hanging="338"/>
        <w:spacing w:after="0" w:line="232" w:lineRule="auto"/>
        <w:tabs>
          <w:tab w:leader="none" w:pos="34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Impact of acquisitions for 2011 reflects the incremental January 2011 operating results from our Cadbury acquisition on February 2, 2010. For 2010, the impact of acquisitions reflects the pro forma operating results of Cadbury from January 2010, adjusted from IFRS to U.S. GAAP and translated to U.S. dollar from local countries’ currencies. This 2010 data is presented on a combined company, pro forma basis.</w:t>
      </w:r>
    </w:p>
    <w:p>
      <w:pPr>
        <w:spacing w:after="0" w:line="33" w:lineRule="exact"/>
        <w:rPr>
          <w:rFonts w:ascii="Arial" w:cs="Arial" w:eastAsia="Arial" w:hAnsi="Arial"/>
          <w:sz w:val="13"/>
          <w:szCs w:val="13"/>
          <w:color w:val="auto"/>
        </w:rPr>
      </w:pPr>
    </w:p>
    <w:p>
      <w:pPr>
        <w:ind w:left="340" w:hanging="338"/>
        <w:spacing w:after="0"/>
        <w:tabs>
          <w:tab w:leader="none" w:pos="34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Favorable effect of accounting calendar changes in 2011 and 2010 and, for certain countries included in Kraft Foods Developing Markets, a 53</w:t>
      </w:r>
      <w:r>
        <w:rPr>
          <w:rFonts w:ascii="Arial" w:cs="Arial" w:eastAsia="Arial" w:hAnsi="Arial"/>
          <w:sz w:val="21"/>
          <w:szCs w:val="21"/>
          <w:color w:val="auto"/>
          <w:vertAlign w:val="superscript"/>
        </w:rPr>
        <w:t>rd</w:t>
      </w:r>
      <w:r>
        <w:rPr>
          <w:rFonts w:ascii="Arial" w:cs="Arial" w:eastAsia="Arial" w:hAnsi="Arial"/>
          <w:sz w:val="13"/>
          <w:szCs w:val="13"/>
          <w:color w:val="auto"/>
        </w:rPr>
        <w:t xml:space="preserve"> week of shipments in 2011.</w:t>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460"/>
          </w:cols>
          <w:pgMar w:left="240" w:top="443" w:right="19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89" w:lineRule="exact"/>
        <w:rPr>
          <w:sz w:val="20"/>
          <w:szCs w:val="20"/>
          <w:color w:val="auto"/>
        </w:rPr>
      </w:pPr>
    </w:p>
    <w:p>
      <w:pPr>
        <w:ind w:left="4740"/>
        <w:spacing w:after="0"/>
        <w:rPr>
          <w:sz w:val="20"/>
          <w:szCs w:val="20"/>
          <w:color w:val="auto"/>
        </w:rPr>
      </w:pPr>
      <w:r>
        <w:rPr>
          <w:rFonts w:ascii="Arial" w:cs="Arial" w:eastAsia="Arial" w:hAnsi="Arial"/>
          <w:sz w:val="17"/>
          <w:szCs w:val="17"/>
          <w:b w:val="1"/>
          <w:bCs w:val="1"/>
          <w:color w:val="auto"/>
        </w:rPr>
        <w:t>MAPS AND DIRECTIONS</w:t>
      </w:r>
    </w:p>
    <w:p>
      <w:pPr>
        <w:spacing w:after="0" w:line="150" w:lineRule="exact"/>
        <w:rPr>
          <w:sz w:val="20"/>
          <w:szCs w:val="20"/>
          <w:color w:val="auto"/>
        </w:rPr>
      </w:pPr>
    </w:p>
    <w:p>
      <w:pPr>
        <w:ind w:left="4240"/>
        <w:spacing w:after="0"/>
        <w:rPr>
          <w:sz w:val="20"/>
          <w:szCs w:val="20"/>
          <w:color w:val="auto"/>
        </w:rPr>
      </w:pPr>
      <w:r>
        <w:rPr>
          <w:rFonts w:ascii="Arial" w:cs="Arial" w:eastAsia="Arial" w:hAnsi="Arial"/>
          <w:sz w:val="17"/>
          <w:szCs w:val="17"/>
          <w:b w:val="1"/>
          <w:bCs w:val="1"/>
          <w:color w:val="auto"/>
        </w:rPr>
        <w:t>2012 Annual Meeting of Shareholders</w:t>
      </w:r>
    </w:p>
    <w:p>
      <w:pPr>
        <w:spacing w:after="0" w:line="16"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May 23, 2012 • 9:00 a.m. CDT</w:t>
      </w:r>
    </w:p>
    <w:p>
      <w:pPr>
        <w:spacing w:after="0" w:line="146" w:lineRule="exact"/>
        <w:rPr>
          <w:sz w:val="20"/>
          <w:szCs w:val="20"/>
          <w:color w:val="auto"/>
        </w:rPr>
      </w:pPr>
    </w:p>
    <w:p>
      <w:pPr>
        <w:ind w:left="3780"/>
        <w:spacing w:after="0"/>
        <w:rPr>
          <w:sz w:val="20"/>
          <w:szCs w:val="20"/>
          <w:color w:val="auto"/>
        </w:rPr>
      </w:pPr>
      <w:r>
        <w:rPr>
          <w:rFonts w:ascii="Arial" w:cs="Arial" w:eastAsia="Arial" w:hAnsi="Arial"/>
          <w:sz w:val="17"/>
          <w:szCs w:val="17"/>
          <w:color w:val="auto"/>
        </w:rPr>
        <w:t>North Shore Center for the Performing Arts in Skokie</w:t>
      </w:r>
    </w:p>
    <w:p>
      <w:pPr>
        <w:jc w:val="center"/>
        <w:ind w:right="-99"/>
        <w:spacing w:after="0"/>
        <w:rPr>
          <w:sz w:val="20"/>
          <w:szCs w:val="20"/>
          <w:color w:val="auto"/>
        </w:rPr>
      </w:pPr>
      <w:r>
        <w:rPr>
          <w:rFonts w:ascii="Arial" w:cs="Arial" w:eastAsia="Arial" w:hAnsi="Arial"/>
          <w:sz w:val="17"/>
          <w:szCs w:val="17"/>
          <w:color w:val="auto"/>
        </w:rPr>
        <w:t>9501 Skokie Boulevard, Skokie, Illinois 60077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117475</wp:posOffset>
            </wp:positionV>
            <wp:extent cx="5678170" cy="2347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78170" cy="234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From the North: (Wisconsin, northern suburbs)</w:t>
      </w:r>
    </w:p>
    <w:p>
      <w:pPr>
        <w:spacing w:after="0" w:line="1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Take I-94 east, exit at Old Orchard Rd. Turn left onto Old Orchard Rd. going east. At Skokie Blvd., turn right going south. Take Skokie Blvd. south approximately 4 blocks. Westfield (Old Orchard) Shopping Center will be on your right side. Turn left at the light just after Golf Rd. The North Shore Center for the Performing Arts is located between the Doubletree Hotel and Old Navy.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From the South: (Chicago, I-55, south suburbs)</w:t>
      </w:r>
    </w:p>
    <w:p>
      <w:pPr>
        <w:spacing w:after="0" w:line="1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Take I-94 west, exit at Old Orchard Rd. Turn right onto Old Orchard Rd. going east. At Skokie Blvd., turn right going south. Take Skokie Blvd. south approximately 4 blocks. Westfield (Old Orchard) Shopping Center will be on your right side. Turn left at the light just after Golf Rd. The North Shore Center for the Performing Arts is located between the Doubletree Hotel and Old Navy.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From the West: (West suburbs, I-88, I-90)</w:t>
      </w:r>
    </w:p>
    <w:p>
      <w:pPr>
        <w:spacing w:after="0" w:line="16"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Take I-294 north, exit at Dempster St. east. Take Dempster east to Gross Point Rd. Turn left. Take Gross Point Rd. to Skokie Blvd. Turn left. Turn right at the second light which is Foster St. The North Shore Center for the Performing Arts is located between the Doubletree Hotel and Old Navy.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From Schaumburg, Arlington Heights, Rolling Meadows and other Northwestern suburbs:</w:t>
      </w:r>
    </w:p>
    <w:p>
      <w:pPr>
        <w:spacing w:after="0" w:line="16"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Take Golf Rd. east until you reach Skokie Blvd. Turn right on Skokie Blvd. and immediately get into the left lane. Turn left at the next light, which is Foster St. The North Shore Center for the Performing Arts is located between the Doubletree Hotel and Old Navy.</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Parking attendants will direct attendees to the appropriate parking areas on-site.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106045</wp:posOffset>
            </wp:positionV>
            <wp:extent cx="1381125" cy="6337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81125" cy="633730"/>
                    </a:xfrm>
                    <a:prstGeom prst="rect">
                      <a:avLst/>
                    </a:prstGeom>
                    <a:noFill/>
                  </pic:spPr>
                </pic:pic>
              </a:graphicData>
            </a:graphic>
          </wp:anchor>
        </w:drawing>
      </w:r>
    </w:p>
    <w:p>
      <w:pPr>
        <w:sectPr>
          <w:pgSz w:w="11900" w:h="16838" w:orient="portrait"/>
          <w:cols w:equalWidth="0" w:num="1">
            <w:col w:w="11320"/>
          </w:cols>
          <w:pgMar w:left="240" w:top="443" w:right="33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1267460" cy="4470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67460" cy="447040"/>
                    </a:xfrm>
                    <a:prstGeom prst="rect">
                      <a:avLst/>
                    </a:prstGeom>
                    <a:noFill/>
                  </pic:spPr>
                </pic:pic>
              </a:graphicData>
            </a:graphic>
          </wp:anchor>
        </w:drawing>
      </w:r>
    </w:p>
    <w:p>
      <w:pPr>
        <w:spacing w:after="0" w:line="355"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Shareowner Services</w:t>
      </w:r>
    </w:p>
    <w:p>
      <w:pPr>
        <w:spacing w:after="0" w:line="17" w:lineRule="exact"/>
        <w:rPr>
          <w:sz w:val="20"/>
          <w:szCs w:val="20"/>
          <w:color w:val="auto"/>
        </w:rPr>
      </w:pPr>
    </w:p>
    <w:p>
      <w:pPr>
        <w:ind w:left="2640"/>
        <w:spacing w:after="0"/>
        <w:rPr>
          <w:sz w:val="20"/>
          <w:szCs w:val="20"/>
          <w:color w:val="auto"/>
        </w:rPr>
      </w:pPr>
      <w:r>
        <w:rPr>
          <w:rFonts w:ascii="Arial" w:cs="Arial" w:eastAsia="Arial" w:hAnsi="Arial"/>
          <w:sz w:val="17"/>
          <w:szCs w:val="17"/>
          <w:color w:val="auto"/>
        </w:rPr>
        <w:t>P.O. Box 64945</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5"/>
          <w:szCs w:val="15"/>
          <w:color w:val="auto"/>
        </w:rPr>
        <w:t>St. Paul, MN 55164-0945</w:t>
      </w:r>
    </w:p>
    <w:p>
      <w:pPr>
        <w:spacing w:after="0" w:line="148"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Address Change? Mark box, sign, and indicate changes below: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-123825</wp:posOffset>
            </wp:positionV>
            <wp:extent cx="2388235" cy="2438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388235" cy="24384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TO VOTE BY INTERNET OR TELEPHONE, SEE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REVERSE SIDE OF THIS PROXY CARD.</w:t>
      </w:r>
    </w:p>
    <w:p>
      <w:pPr>
        <w:spacing w:after="0" w:line="200" w:lineRule="exact"/>
        <w:rPr>
          <w:sz w:val="20"/>
          <w:szCs w:val="20"/>
          <w:color w:val="auto"/>
        </w:rPr>
      </w:pPr>
    </w:p>
    <w:p>
      <w:pPr>
        <w:sectPr>
          <w:pgSz w:w="11900" w:h="16838" w:orient="portrait"/>
          <w:cols w:equalWidth="0" w:num="2">
            <w:col w:w="7060" w:space="720"/>
            <w:col w:w="3640"/>
          </w:cols>
          <w:pgMar w:left="240" w:top="4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TO VOTE BY MAIL AS THE BOARD OF DIRECTORS RECOMMENDS ON ALL ITEMS BELOW,</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SIMPLY SIGN, DATE AND RETURN THIS PROXY CARD.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Board of Directors Recommends a Vote FOR Items 1, 2, 3 and 4 and AGAINST Items 5, 6 and 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color w:val="auto"/>
              </w:rPr>
              <w:t>Election of Directors:</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97"/>
        </w:trPr>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00" w:type="dxa"/>
            <w:vAlign w:val="bottom"/>
          </w:tcPr>
          <w:p>
            <w:pPr>
              <w:jc w:val="center"/>
              <w:ind w:left="17"/>
              <w:spacing w:after="0"/>
              <w:rPr>
                <w:sz w:val="20"/>
                <w:szCs w:val="20"/>
                <w:color w:val="auto"/>
              </w:rPr>
            </w:pPr>
            <w:r>
              <w:rPr>
                <w:rFonts w:ascii="Arial" w:cs="Arial" w:eastAsia="Arial" w:hAnsi="Arial"/>
                <w:sz w:val="17"/>
                <w:szCs w:val="17"/>
                <w:b w:val="1"/>
                <w:bCs w:val="1"/>
                <w:color w:val="auto"/>
              </w:rPr>
              <w:t>FOR</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9"/>
              </w:rPr>
              <w:t>AGAINST</w:t>
            </w:r>
          </w:p>
        </w:tc>
        <w:tc>
          <w:tcPr>
            <w:tcW w:w="1200" w:type="dxa"/>
            <w:vAlign w:val="bottom"/>
          </w:tcPr>
          <w:p>
            <w:pPr>
              <w:jc w:val="center"/>
              <w:ind w:right="117"/>
              <w:spacing w:after="0"/>
              <w:rPr>
                <w:sz w:val="20"/>
                <w:szCs w:val="20"/>
                <w:color w:val="auto"/>
              </w:rPr>
            </w:pPr>
            <w:r>
              <w:rPr>
                <w:rFonts w:ascii="Arial" w:cs="Arial" w:eastAsia="Arial" w:hAnsi="Arial"/>
                <w:sz w:val="17"/>
                <w:szCs w:val="17"/>
                <w:b w:val="1"/>
                <w:bCs w:val="1"/>
                <w:color w:val="auto"/>
                <w:w w:val="95"/>
              </w:rPr>
              <w:t>ABSTAIN</w:t>
            </w: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40" w:type="dxa"/>
            <w:vAlign w:val="bottom"/>
          </w:tcPr>
          <w:p>
            <w:pPr>
              <w:jc w:val="center"/>
              <w:ind w:left="237"/>
              <w:spacing w:after="0"/>
              <w:rPr>
                <w:sz w:val="20"/>
                <w:szCs w:val="20"/>
                <w:color w:val="auto"/>
              </w:rPr>
            </w:pPr>
            <w:r>
              <w:rPr>
                <w:rFonts w:ascii="Arial" w:cs="Arial" w:eastAsia="Arial" w:hAnsi="Arial"/>
                <w:sz w:val="17"/>
                <w:szCs w:val="17"/>
                <w:b w:val="1"/>
                <w:bCs w:val="1"/>
                <w:color w:val="auto"/>
                <w:w w:val="94"/>
              </w:rPr>
              <w:t>FOR</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9"/>
              </w:rPr>
              <w:t>AGAINST</w:t>
            </w:r>
          </w:p>
        </w:tc>
        <w:tc>
          <w:tcPr>
            <w:tcW w:w="860" w:type="dxa"/>
            <w:vAlign w:val="bottom"/>
          </w:tcPr>
          <w:p>
            <w:pPr>
              <w:jc w:val="center"/>
              <w:ind w:left="57"/>
              <w:spacing w:after="0"/>
              <w:rPr>
                <w:sz w:val="20"/>
                <w:szCs w:val="20"/>
                <w:color w:val="auto"/>
              </w:rPr>
            </w:pPr>
            <w:r>
              <w:rPr>
                <w:rFonts w:ascii="Arial" w:cs="Arial" w:eastAsia="Arial" w:hAnsi="Arial"/>
                <w:sz w:val="17"/>
                <w:szCs w:val="17"/>
                <w:b w:val="1"/>
                <w:bCs w:val="1"/>
                <w:color w:val="auto"/>
                <w:w w:val="95"/>
              </w:rPr>
              <w:t>ABSTAIN</w:t>
            </w:r>
          </w:p>
        </w:tc>
      </w:tr>
      <w:tr>
        <w:trPr>
          <w:trHeight w:val="325"/>
        </w:trPr>
        <w:tc>
          <w:tcPr>
            <w:tcW w:w="260" w:type="dxa"/>
            <w:vAlign w:val="bottom"/>
          </w:tcPr>
          <w:p>
            <w:pPr>
              <w:spacing w:after="0"/>
              <w:rPr>
                <w:sz w:val="20"/>
                <w:szCs w:val="20"/>
                <w:color w:val="auto"/>
              </w:rPr>
            </w:pPr>
            <w:r>
              <w:rPr>
                <w:rFonts w:ascii="Arial" w:cs="Arial" w:eastAsia="Arial" w:hAnsi="Arial"/>
                <w:sz w:val="17"/>
                <w:szCs w:val="17"/>
                <w:b w:val="1"/>
                <w:bCs w:val="1"/>
                <w:color w:val="auto"/>
              </w:rPr>
              <w:t>a.</w:t>
            </w:r>
          </w:p>
        </w:tc>
        <w:tc>
          <w:tcPr>
            <w:tcW w:w="2220" w:type="dxa"/>
            <w:vAlign w:val="bottom"/>
          </w:tcPr>
          <w:p>
            <w:pPr>
              <w:ind w:left="120"/>
              <w:spacing w:after="0"/>
              <w:rPr>
                <w:sz w:val="20"/>
                <w:szCs w:val="20"/>
                <w:color w:val="auto"/>
              </w:rPr>
            </w:pPr>
            <w:r>
              <w:rPr>
                <w:rFonts w:ascii="Arial" w:cs="Arial" w:eastAsia="Arial" w:hAnsi="Arial"/>
                <w:sz w:val="17"/>
                <w:szCs w:val="17"/>
                <w:color w:val="auto"/>
              </w:rPr>
              <w:t>Myra M. Hart</w:t>
            </w:r>
          </w:p>
        </w:tc>
        <w:tc>
          <w:tcPr>
            <w:tcW w:w="700" w:type="dxa"/>
            <w:vAlign w:val="bottom"/>
          </w:tcPr>
          <w:p>
            <w:pPr>
              <w:jc w:val="center"/>
              <w:ind w:left="17"/>
              <w:spacing w:after="0" w:line="171" w:lineRule="exact"/>
              <w:rPr>
                <w:sz w:val="20"/>
                <w:szCs w:val="20"/>
                <w:color w:val="auto"/>
              </w:rPr>
            </w:pPr>
            <w:r>
              <w:rPr>
                <w:rFonts w:ascii="MS PGothic" w:cs="MS PGothic" w:eastAsia="MS PGothic" w:hAnsi="MS PGothic"/>
                <w:sz w:val="17"/>
                <w:szCs w:val="17"/>
                <w:color w:val="auto"/>
                <w:w w:val="93"/>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00" w:type="dxa"/>
            <w:vAlign w:val="bottom"/>
          </w:tcPr>
          <w:p>
            <w:pPr>
              <w:jc w:val="center"/>
              <w:ind w:right="117"/>
              <w:spacing w:after="0" w:line="171" w:lineRule="exact"/>
              <w:rPr>
                <w:sz w:val="20"/>
                <w:szCs w:val="20"/>
                <w:color w:val="auto"/>
              </w:rPr>
            </w:pPr>
            <w:r>
              <w:rPr>
                <w:rFonts w:ascii="MS PGothic" w:cs="MS PGothic" w:eastAsia="MS PGothic" w:hAnsi="MS PGothic"/>
                <w:sz w:val="17"/>
                <w:szCs w:val="17"/>
                <w:color w:val="auto"/>
                <w:w w:val="93"/>
              </w:rPr>
              <w:t>☐</w:t>
            </w:r>
          </w:p>
        </w:tc>
        <w:tc>
          <w:tcPr>
            <w:tcW w:w="600" w:type="dxa"/>
            <w:vAlign w:val="bottom"/>
          </w:tcPr>
          <w:p>
            <w:pPr>
              <w:ind w:left="340"/>
              <w:spacing w:after="0"/>
              <w:rPr>
                <w:sz w:val="20"/>
                <w:szCs w:val="20"/>
                <w:color w:val="auto"/>
              </w:rPr>
            </w:pPr>
            <w:r>
              <w:rPr>
                <w:rFonts w:ascii="Arial" w:cs="Arial" w:eastAsia="Arial" w:hAnsi="Arial"/>
                <w:sz w:val="17"/>
                <w:szCs w:val="17"/>
                <w:b w:val="1"/>
                <w:bCs w:val="1"/>
                <w:color w:val="auto"/>
              </w:rPr>
              <w:t>g.</w:t>
            </w:r>
          </w:p>
        </w:tc>
        <w:tc>
          <w:tcPr>
            <w:tcW w:w="1940" w:type="dxa"/>
            <w:vAlign w:val="bottom"/>
          </w:tcPr>
          <w:p>
            <w:pPr>
              <w:ind w:left="120"/>
              <w:spacing w:after="0"/>
              <w:rPr>
                <w:sz w:val="20"/>
                <w:szCs w:val="20"/>
                <w:color w:val="auto"/>
              </w:rPr>
            </w:pPr>
            <w:r>
              <w:rPr>
                <w:rFonts w:ascii="Arial" w:cs="Arial" w:eastAsia="Arial" w:hAnsi="Arial"/>
                <w:sz w:val="17"/>
                <w:szCs w:val="17"/>
                <w:color w:val="auto"/>
              </w:rPr>
              <w:t>Jorge S. Mesquita</w:t>
            </w:r>
          </w:p>
        </w:tc>
        <w:tc>
          <w:tcPr>
            <w:tcW w:w="940" w:type="dxa"/>
            <w:vAlign w:val="bottom"/>
          </w:tcPr>
          <w:p>
            <w:pPr>
              <w:jc w:val="center"/>
              <w:ind w:left="237"/>
              <w:spacing w:after="0" w:line="171" w:lineRule="exact"/>
              <w:rPr>
                <w:sz w:val="20"/>
                <w:szCs w:val="20"/>
                <w:color w:val="auto"/>
              </w:rPr>
            </w:pPr>
            <w:r>
              <w:rPr>
                <w:rFonts w:ascii="MS PGothic" w:cs="MS PGothic" w:eastAsia="MS PGothic" w:hAnsi="MS PGothic"/>
                <w:sz w:val="17"/>
                <w:szCs w:val="17"/>
                <w:color w:val="auto"/>
                <w:w w:val="82"/>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tcPr>
          <w:p>
            <w:pPr>
              <w:jc w:val="center"/>
              <w:ind w:left="37"/>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7"/>
        </w:trPr>
        <w:tc>
          <w:tcPr>
            <w:tcW w:w="260" w:type="dxa"/>
            <w:vAlign w:val="bottom"/>
          </w:tcPr>
          <w:p>
            <w:pPr>
              <w:spacing w:after="0"/>
              <w:rPr>
                <w:sz w:val="20"/>
                <w:szCs w:val="20"/>
                <w:color w:val="auto"/>
              </w:rPr>
            </w:pPr>
            <w:r>
              <w:rPr>
                <w:rFonts w:ascii="Arial" w:cs="Arial" w:eastAsia="Arial" w:hAnsi="Arial"/>
                <w:sz w:val="17"/>
                <w:szCs w:val="17"/>
                <w:b w:val="1"/>
                <w:bCs w:val="1"/>
                <w:color w:val="auto"/>
              </w:rPr>
              <w:t>b.</w:t>
            </w:r>
          </w:p>
        </w:tc>
        <w:tc>
          <w:tcPr>
            <w:tcW w:w="2220" w:type="dxa"/>
            <w:vAlign w:val="bottom"/>
          </w:tcPr>
          <w:p>
            <w:pPr>
              <w:ind w:left="120"/>
              <w:spacing w:after="0"/>
              <w:rPr>
                <w:sz w:val="20"/>
                <w:szCs w:val="20"/>
                <w:color w:val="auto"/>
              </w:rPr>
            </w:pPr>
            <w:r>
              <w:rPr>
                <w:rFonts w:ascii="Arial" w:cs="Arial" w:eastAsia="Arial" w:hAnsi="Arial"/>
                <w:sz w:val="17"/>
                <w:szCs w:val="17"/>
                <w:color w:val="auto"/>
              </w:rPr>
              <w:t>Peter B. Henry</w:t>
            </w:r>
          </w:p>
        </w:tc>
        <w:tc>
          <w:tcPr>
            <w:tcW w:w="700" w:type="dxa"/>
            <w:vAlign w:val="bottom"/>
          </w:tcPr>
          <w:p>
            <w:pPr>
              <w:jc w:val="center"/>
              <w:ind w:left="17"/>
              <w:spacing w:after="0" w:line="171" w:lineRule="exact"/>
              <w:rPr>
                <w:sz w:val="20"/>
                <w:szCs w:val="20"/>
                <w:color w:val="auto"/>
              </w:rPr>
            </w:pPr>
            <w:r>
              <w:rPr>
                <w:rFonts w:ascii="MS PGothic" w:cs="MS PGothic" w:eastAsia="MS PGothic" w:hAnsi="MS PGothic"/>
                <w:sz w:val="17"/>
                <w:szCs w:val="17"/>
                <w:color w:val="auto"/>
                <w:w w:val="93"/>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00" w:type="dxa"/>
            <w:vAlign w:val="bottom"/>
          </w:tcPr>
          <w:p>
            <w:pPr>
              <w:jc w:val="center"/>
              <w:ind w:right="117"/>
              <w:spacing w:after="0" w:line="171" w:lineRule="exact"/>
              <w:rPr>
                <w:sz w:val="20"/>
                <w:szCs w:val="20"/>
                <w:color w:val="auto"/>
              </w:rPr>
            </w:pPr>
            <w:r>
              <w:rPr>
                <w:rFonts w:ascii="MS PGothic" w:cs="MS PGothic" w:eastAsia="MS PGothic" w:hAnsi="MS PGothic"/>
                <w:sz w:val="17"/>
                <w:szCs w:val="17"/>
                <w:color w:val="auto"/>
                <w:w w:val="93"/>
              </w:rPr>
              <w:t>☐</w:t>
            </w:r>
          </w:p>
        </w:tc>
        <w:tc>
          <w:tcPr>
            <w:tcW w:w="600" w:type="dxa"/>
            <w:vAlign w:val="bottom"/>
          </w:tcPr>
          <w:p>
            <w:pPr>
              <w:ind w:left="340"/>
              <w:spacing w:after="0"/>
              <w:rPr>
                <w:sz w:val="20"/>
                <w:szCs w:val="20"/>
                <w:color w:val="auto"/>
              </w:rPr>
            </w:pPr>
            <w:r>
              <w:rPr>
                <w:rFonts w:ascii="Arial" w:cs="Arial" w:eastAsia="Arial" w:hAnsi="Arial"/>
                <w:sz w:val="17"/>
                <w:szCs w:val="17"/>
                <w:b w:val="1"/>
                <w:bCs w:val="1"/>
                <w:color w:val="auto"/>
              </w:rPr>
              <w:t>h.</w:t>
            </w:r>
          </w:p>
        </w:tc>
        <w:tc>
          <w:tcPr>
            <w:tcW w:w="1940" w:type="dxa"/>
            <w:vAlign w:val="bottom"/>
          </w:tcPr>
          <w:p>
            <w:pPr>
              <w:ind w:left="120"/>
              <w:spacing w:after="0"/>
              <w:rPr>
                <w:sz w:val="20"/>
                <w:szCs w:val="20"/>
                <w:color w:val="auto"/>
              </w:rPr>
            </w:pPr>
            <w:r>
              <w:rPr>
                <w:rFonts w:ascii="Arial" w:cs="Arial" w:eastAsia="Arial" w:hAnsi="Arial"/>
                <w:sz w:val="17"/>
                <w:szCs w:val="17"/>
                <w:color w:val="auto"/>
              </w:rPr>
              <w:t>John C. Pope</w:t>
            </w:r>
          </w:p>
        </w:tc>
        <w:tc>
          <w:tcPr>
            <w:tcW w:w="940" w:type="dxa"/>
            <w:vAlign w:val="bottom"/>
          </w:tcPr>
          <w:p>
            <w:pPr>
              <w:jc w:val="center"/>
              <w:ind w:left="237"/>
              <w:spacing w:after="0" w:line="171" w:lineRule="exact"/>
              <w:rPr>
                <w:sz w:val="20"/>
                <w:szCs w:val="20"/>
                <w:color w:val="auto"/>
              </w:rPr>
            </w:pPr>
            <w:r>
              <w:rPr>
                <w:rFonts w:ascii="MS PGothic" w:cs="MS PGothic" w:eastAsia="MS PGothic" w:hAnsi="MS PGothic"/>
                <w:sz w:val="17"/>
                <w:szCs w:val="17"/>
                <w:color w:val="auto"/>
                <w:w w:val="82"/>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tcPr>
          <w:p>
            <w:pPr>
              <w:jc w:val="center"/>
              <w:ind w:left="37"/>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7"/>
        </w:trPr>
        <w:tc>
          <w:tcPr>
            <w:tcW w:w="260" w:type="dxa"/>
            <w:vAlign w:val="bottom"/>
          </w:tcPr>
          <w:p>
            <w:pPr>
              <w:spacing w:after="0"/>
              <w:rPr>
                <w:sz w:val="20"/>
                <w:szCs w:val="20"/>
                <w:color w:val="auto"/>
              </w:rPr>
            </w:pPr>
            <w:r>
              <w:rPr>
                <w:rFonts w:ascii="Arial" w:cs="Arial" w:eastAsia="Arial" w:hAnsi="Arial"/>
                <w:sz w:val="17"/>
                <w:szCs w:val="17"/>
                <w:b w:val="1"/>
                <w:bCs w:val="1"/>
                <w:color w:val="auto"/>
              </w:rPr>
              <w:t>c.</w:t>
            </w:r>
          </w:p>
        </w:tc>
        <w:tc>
          <w:tcPr>
            <w:tcW w:w="2220" w:type="dxa"/>
            <w:vAlign w:val="bottom"/>
          </w:tcPr>
          <w:p>
            <w:pPr>
              <w:ind w:left="120"/>
              <w:spacing w:after="0"/>
              <w:rPr>
                <w:sz w:val="20"/>
                <w:szCs w:val="20"/>
                <w:color w:val="auto"/>
              </w:rPr>
            </w:pPr>
            <w:r>
              <w:rPr>
                <w:rFonts w:ascii="Arial" w:cs="Arial" w:eastAsia="Arial" w:hAnsi="Arial"/>
                <w:sz w:val="17"/>
                <w:szCs w:val="17"/>
                <w:color w:val="auto"/>
              </w:rPr>
              <w:t>Lois D. Juliber</w:t>
            </w:r>
          </w:p>
        </w:tc>
        <w:tc>
          <w:tcPr>
            <w:tcW w:w="700" w:type="dxa"/>
            <w:vAlign w:val="bottom"/>
          </w:tcPr>
          <w:p>
            <w:pPr>
              <w:jc w:val="center"/>
              <w:ind w:left="17"/>
              <w:spacing w:after="0" w:line="171" w:lineRule="exact"/>
              <w:rPr>
                <w:sz w:val="20"/>
                <w:szCs w:val="20"/>
                <w:color w:val="auto"/>
              </w:rPr>
            </w:pPr>
            <w:r>
              <w:rPr>
                <w:rFonts w:ascii="MS PGothic" w:cs="MS PGothic" w:eastAsia="MS PGothic" w:hAnsi="MS PGothic"/>
                <w:sz w:val="17"/>
                <w:szCs w:val="17"/>
                <w:color w:val="auto"/>
                <w:w w:val="93"/>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00" w:type="dxa"/>
            <w:vAlign w:val="bottom"/>
          </w:tcPr>
          <w:p>
            <w:pPr>
              <w:jc w:val="center"/>
              <w:ind w:right="117"/>
              <w:spacing w:after="0" w:line="171" w:lineRule="exact"/>
              <w:rPr>
                <w:sz w:val="20"/>
                <w:szCs w:val="20"/>
                <w:color w:val="auto"/>
              </w:rPr>
            </w:pPr>
            <w:r>
              <w:rPr>
                <w:rFonts w:ascii="MS PGothic" w:cs="MS PGothic" w:eastAsia="MS PGothic" w:hAnsi="MS PGothic"/>
                <w:sz w:val="17"/>
                <w:szCs w:val="17"/>
                <w:color w:val="auto"/>
                <w:w w:val="93"/>
              </w:rPr>
              <w:t>☐</w:t>
            </w:r>
          </w:p>
        </w:tc>
        <w:tc>
          <w:tcPr>
            <w:tcW w:w="600" w:type="dxa"/>
            <w:vAlign w:val="bottom"/>
          </w:tcPr>
          <w:p>
            <w:pPr>
              <w:ind w:left="340"/>
              <w:spacing w:after="0"/>
              <w:rPr>
                <w:sz w:val="20"/>
                <w:szCs w:val="20"/>
                <w:color w:val="auto"/>
              </w:rPr>
            </w:pPr>
            <w:r>
              <w:rPr>
                <w:rFonts w:ascii="Arial" w:cs="Arial" w:eastAsia="Arial" w:hAnsi="Arial"/>
                <w:sz w:val="17"/>
                <w:szCs w:val="17"/>
                <w:b w:val="1"/>
                <w:bCs w:val="1"/>
                <w:color w:val="auto"/>
              </w:rPr>
              <w:t>i.</w:t>
            </w:r>
          </w:p>
        </w:tc>
        <w:tc>
          <w:tcPr>
            <w:tcW w:w="1940" w:type="dxa"/>
            <w:vAlign w:val="bottom"/>
          </w:tcPr>
          <w:p>
            <w:pPr>
              <w:ind w:left="120"/>
              <w:spacing w:after="0"/>
              <w:rPr>
                <w:sz w:val="20"/>
                <w:szCs w:val="20"/>
                <w:color w:val="auto"/>
              </w:rPr>
            </w:pPr>
            <w:r>
              <w:rPr>
                <w:rFonts w:ascii="Arial" w:cs="Arial" w:eastAsia="Arial" w:hAnsi="Arial"/>
                <w:sz w:val="17"/>
                <w:szCs w:val="17"/>
                <w:color w:val="auto"/>
              </w:rPr>
              <w:t>Fredric G. Reynolds</w:t>
            </w:r>
          </w:p>
        </w:tc>
        <w:tc>
          <w:tcPr>
            <w:tcW w:w="940" w:type="dxa"/>
            <w:vAlign w:val="bottom"/>
          </w:tcPr>
          <w:p>
            <w:pPr>
              <w:jc w:val="center"/>
              <w:ind w:left="237"/>
              <w:spacing w:after="0" w:line="171" w:lineRule="exact"/>
              <w:rPr>
                <w:sz w:val="20"/>
                <w:szCs w:val="20"/>
                <w:color w:val="auto"/>
              </w:rPr>
            </w:pPr>
            <w:r>
              <w:rPr>
                <w:rFonts w:ascii="MS PGothic" w:cs="MS PGothic" w:eastAsia="MS PGothic" w:hAnsi="MS PGothic"/>
                <w:sz w:val="17"/>
                <w:szCs w:val="17"/>
                <w:color w:val="auto"/>
                <w:w w:val="82"/>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tcPr>
          <w:p>
            <w:pPr>
              <w:jc w:val="center"/>
              <w:ind w:left="37"/>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7"/>
        </w:trPr>
        <w:tc>
          <w:tcPr>
            <w:tcW w:w="260" w:type="dxa"/>
            <w:vAlign w:val="bottom"/>
          </w:tcPr>
          <w:p>
            <w:pPr>
              <w:spacing w:after="0"/>
              <w:rPr>
                <w:sz w:val="20"/>
                <w:szCs w:val="20"/>
                <w:color w:val="auto"/>
              </w:rPr>
            </w:pPr>
            <w:r>
              <w:rPr>
                <w:rFonts w:ascii="Arial" w:cs="Arial" w:eastAsia="Arial" w:hAnsi="Arial"/>
                <w:sz w:val="17"/>
                <w:szCs w:val="17"/>
                <w:b w:val="1"/>
                <w:bCs w:val="1"/>
                <w:color w:val="auto"/>
              </w:rPr>
              <w:t>d.</w:t>
            </w:r>
          </w:p>
        </w:tc>
        <w:tc>
          <w:tcPr>
            <w:tcW w:w="2220" w:type="dxa"/>
            <w:vAlign w:val="bottom"/>
          </w:tcPr>
          <w:p>
            <w:pPr>
              <w:ind w:left="120"/>
              <w:spacing w:after="0"/>
              <w:rPr>
                <w:sz w:val="20"/>
                <w:szCs w:val="20"/>
                <w:color w:val="auto"/>
              </w:rPr>
            </w:pPr>
            <w:r>
              <w:rPr>
                <w:rFonts w:ascii="Arial" w:cs="Arial" w:eastAsia="Arial" w:hAnsi="Arial"/>
                <w:sz w:val="17"/>
                <w:szCs w:val="17"/>
                <w:color w:val="auto"/>
              </w:rPr>
              <w:t>Mark D. Ketchum</w:t>
            </w:r>
          </w:p>
        </w:tc>
        <w:tc>
          <w:tcPr>
            <w:tcW w:w="700" w:type="dxa"/>
            <w:vAlign w:val="bottom"/>
          </w:tcPr>
          <w:p>
            <w:pPr>
              <w:jc w:val="center"/>
              <w:ind w:left="17"/>
              <w:spacing w:after="0" w:line="171" w:lineRule="exact"/>
              <w:rPr>
                <w:sz w:val="20"/>
                <w:szCs w:val="20"/>
                <w:color w:val="auto"/>
              </w:rPr>
            </w:pPr>
            <w:r>
              <w:rPr>
                <w:rFonts w:ascii="MS PGothic" w:cs="MS PGothic" w:eastAsia="MS PGothic" w:hAnsi="MS PGothic"/>
                <w:sz w:val="17"/>
                <w:szCs w:val="17"/>
                <w:color w:val="auto"/>
                <w:w w:val="93"/>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00" w:type="dxa"/>
            <w:vAlign w:val="bottom"/>
          </w:tcPr>
          <w:p>
            <w:pPr>
              <w:jc w:val="center"/>
              <w:ind w:right="117"/>
              <w:spacing w:after="0" w:line="171" w:lineRule="exact"/>
              <w:rPr>
                <w:sz w:val="20"/>
                <w:szCs w:val="20"/>
                <w:color w:val="auto"/>
              </w:rPr>
            </w:pPr>
            <w:r>
              <w:rPr>
                <w:rFonts w:ascii="MS PGothic" w:cs="MS PGothic" w:eastAsia="MS PGothic" w:hAnsi="MS PGothic"/>
                <w:sz w:val="17"/>
                <w:szCs w:val="17"/>
                <w:color w:val="auto"/>
                <w:w w:val="93"/>
              </w:rPr>
              <w:t>☐</w:t>
            </w:r>
          </w:p>
        </w:tc>
        <w:tc>
          <w:tcPr>
            <w:tcW w:w="600" w:type="dxa"/>
            <w:vAlign w:val="bottom"/>
          </w:tcPr>
          <w:p>
            <w:pPr>
              <w:ind w:left="340"/>
              <w:spacing w:after="0"/>
              <w:rPr>
                <w:sz w:val="20"/>
                <w:szCs w:val="20"/>
                <w:color w:val="auto"/>
              </w:rPr>
            </w:pPr>
            <w:r>
              <w:rPr>
                <w:rFonts w:ascii="Arial" w:cs="Arial" w:eastAsia="Arial" w:hAnsi="Arial"/>
                <w:sz w:val="17"/>
                <w:szCs w:val="17"/>
                <w:b w:val="1"/>
                <w:bCs w:val="1"/>
                <w:color w:val="auto"/>
              </w:rPr>
              <w:t>j.</w:t>
            </w:r>
          </w:p>
        </w:tc>
        <w:tc>
          <w:tcPr>
            <w:tcW w:w="1940" w:type="dxa"/>
            <w:vAlign w:val="bottom"/>
          </w:tcPr>
          <w:p>
            <w:pPr>
              <w:ind w:left="120"/>
              <w:spacing w:after="0"/>
              <w:rPr>
                <w:sz w:val="20"/>
                <w:szCs w:val="20"/>
                <w:color w:val="auto"/>
              </w:rPr>
            </w:pPr>
            <w:r>
              <w:rPr>
                <w:rFonts w:ascii="Arial" w:cs="Arial" w:eastAsia="Arial" w:hAnsi="Arial"/>
                <w:sz w:val="17"/>
                <w:szCs w:val="17"/>
                <w:color w:val="auto"/>
              </w:rPr>
              <w:t>Irene B. Rosenfeld</w:t>
            </w:r>
          </w:p>
        </w:tc>
        <w:tc>
          <w:tcPr>
            <w:tcW w:w="940" w:type="dxa"/>
            <w:vAlign w:val="bottom"/>
          </w:tcPr>
          <w:p>
            <w:pPr>
              <w:jc w:val="center"/>
              <w:ind w:left="237"/>
              <w:spacing w:after="0" w:line="171" w:lineRule="exact"/>
              <w:rPr>
                <w:sz w:val="20"/>
                <w:szCs w:val="20"/>
                <w:color w:val="auto"/>
              </w:rPr>
            </w:pPr>
            <w:r>
              <w:rPr>
                <w:rFonts w:ascii="MS PGothic" w:cs="MS PGothic" w:eastAsia="MS PGothic" w:hAnsi="MS PGothic"/>
                <w:sz w:val="17"/>
                <w:szCs w:val="17"/>
                <w:color w:val="auto"/>
                <w:w w:val="82"/>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tcPr>
          <w:p>
            <w:pPr>
              <w:jc w:val="center"/>
              <w:ind w:left="37"/>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7"/>
        </w:trPr>
        <w:tc>
          <w:tcPr>
            <w:tcW w:w="260" w:type="dxa"/>
            <w:vAlign w:val="bottom"/>
          </w:tcPr>
          <w:p>
            <w:pPr>
              <w:spacing w:after="0"/>
              <w:rPr>
                <w:sz w:val="20"/>
                <w:szCs w:val="20"/>
                <w:color w:val="auto"/>
              </w:rPr>
            </w:pPr>
            <w:r>
              <w:rPr>
                <w:rFonts w:ascii="Arial" w:cs="Arial" w:eastAsia="Arial" w:hAnsi="Arial"/>
                <w:sz w:val="17"/>
                <w:szCs w:val="17"/>
                <w:b w:val="1"/>
                <w:bCs w:val="1"/>
                <w:color w:val="auto"/>
              </w:rPr>
              <w:t>e.</w:t>
            </w:r>
          </w:p>
        </w:tc>
        <w:tc>
          <w:tcPr>
            <w:tcW w:w="2220" w:type="dxa"/>
            <w:vAlign w:val="bottom"/>
          </w:tcPr>
          <w:p>
            <w:pPr>
              <w:ind w:left="120"/>
              <w:spacing w:after="0"/>
              <w:rPr>
                <w:sz w:val="20"/>
                <w:szCs w:val="20"/>
                <w:color w:val="auto"/>
              </w:rPr>
            </w:pPr>
            <w:r>
              <w:rPr>
                <w:rFonts w:ascii="Arial" w:cs="Arial" w:eastAsia="Arial" w:hAnsi="Arial"/>
                <w:sz w:val="17"/>
                <w:szCs w:val="17"/>
                <w:color w:val="auto"/>
              </w:rPr>
              <w:t>Terry J. Lundgren</w:t>
            </w:r>
          </w:p>
        </w:tc>
        <w:tc>
          <w:tcPr>
            <w:tcW w:w="700" w:type="dxa"/>
            <w:vAlign w:val="bottom"/>
          </w:tcPr>
          <w:p>
            <w:pPr>
              <w:jc w:val="center"/>
              <w:ind w:left="17"/>
              <w:spacing w:after="0" w:line="171" w:lineRule="exact"/>
              <w:rPr>
                <w:sz w:val="20"/>
                <w:szCs w:val="20"/>
                <w:color w:val="auto"/>
              </w:rPr>
            </w:pPr>
            <w:r>
              <w:rPr>
                <w:rFonts w:ascii="MS PGothic" w:cs="MS PGothic" w:eastAsia="MS PGothic" w:hAnsi="MS PGothic"/>
                <w:sz w:val="17"/>
                <w:szCs w:val="17"/>
                <w:color w:val="auto"/>
                <w:w w:val="93"/>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00" w:type="dxa"/>
            <w:vAlign w:val="bottom"/>
          </w:tcPr>
          <w:p>
            <w:pPr>
              <w:jc w:val="center"/>
              <w:ind w:right="117"/>
              <w:spacing w:after="0" w:line="171" w:lineRule="exact"/>
              <w:rPr>
                <w:sz w:val="20"/>
                <w:szCs w:val="20"/>
                <w:color w:val="auto"/>
              </w:rPr>
            </w:pPr>
            <w:r>
              <w:rPr>
                <w:rFonts w:ascii="MS PGothic" w:cs="MS PGothic" w:eastAsia="MS PGothic" w:hAnsi="MS PGothic"/>
                <w:sz w:val="17"/>
                <w:szCs w:val="17"/>
                <w:color w:val="auto"/>
                <w:w w:val="93"/>
              </w:rPr>
              <w:t>☐</w:t>
            </w:r>
          </w:p>
        </w:tc>
        <w:tc>
          <w:tcPr>
            <w:tcW w:w="600" w:type="dxa"/>
            <w:vAlign w:val="bottom"/>
          </w:tcPr>
          <w:p>
            <w:pPr>
              <w:ind w:left="340"/>
              <w:spacing w:after="0"/>
              <w:rPr>
                <w:sz w:val="20"/>
                <w:szCs w:val="20"/>
                <w:color w:val="auto"/>
              </w:rPr>
            </w:pPr>
            <w:r>
              <w:rPr>
                <w:rFonts w:ascii="Arial" w:cs="Arial" w:eastAsia="Arial" w:hAnsi="Arial"/>
                <w:sz w:val="17"/>
                <w:szCs w:val="17"/>
                <w:b w:val="1"/>
                <w:bCs w:val="1"/>
                <w:color w:val="auto"/>
              </w:rPr>
              <w:t>k.</w:t>
            </w:r>
          </w:p>
        </w:tc>
        <w:tc>
          <w:tcPr>
            <w:tcW w:w="1940" w:type="dxa"/>
            <w:vAlign w:val="bottom"/>
          </w:tcPr>
          <w:p>
            <w:pPr>
              <w:ind w:left="120"/>
              <w:spacing w:after="0"/>
              <w:rPr>
                <w:sz w:val="20"/>
                <w:szCs w:val="20"/>
                <w:color w:val="auto"/>
              </w:rPr>
            </w:pPr>
            <w:r>
              <w:rPr>
                <w:rFonts w:ascii="Arial" w:cs="Arial" w:eastAsia="Arial" w:hAnsi="Arial"/>
                <w:sz w:val="17"/>
                <w:szCs w:val="17"/>
                <w:color w:val="auto"/>
              </w:rPr>
              <w:t>J.F. van Boxmeer</w:t>
            </w:r>
          </w:p>
        </w:tc>
        <w:tc>
          <w:tcPr>
            <w:tcW w:w="940" w:type="dxa"/>
            <w:vAlign w:val="bottom"/>
          </w:tcPr>
          <w:p>
            <w:pPr>
              <w:jc w:val="center"/>
              <w:ind w:left="237"/>
              <w:spacing w:after="0" w:line="171" w:lineRule="exact"/>
              <w:rPr>
                <w:sz w:val="20"/>
                <w:szCs w:val="20"/>
                <w:color w:val="auto"/>
              </w:rPr>
            </w:pPr>
            <w:r>
              <w:rPr>
                <w:rFonts w:ascii="MS PGothic" w:cs="MS PGothic" w:eastAsia="MS PGothic" w:hAnsi="MS PGothic"/>
                <w:sz w:val="17"/>
                <w:szCs w:val="17"/>
                <w:color w:val="auto"/>
                <w:w w:val="82"/>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860" w:type="dxa"/>
            <w:vAlign w:val="bottom"/>
          </w:tcPr>
          <w:p>
            <w:pPr>
              <w:jc w:val="center"/>
              <w:ind w:left="37"/>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07"/>
        </w:trPr>
        <w:tc>
          <w:tcPr>
            <w:tcW w:w="260" w:type="dxa"/>
            <w:vAlign w:val="bottom"/>
          </w:tcPr>
          <w:p>
            <w:pPr>
              <w:spacing w:after="0"/>
              <w:rPr>
                <w:sz w:val="20"/>
                <w:szCs w:val="20"/>
                <w:color w:val="auto"/>
              </w:rPr>
            </w:pPr>
            <w:r>
              <w:rPr>
                <w:rFonts w:ascii="Arial" w:cs="Arial" w:eastAsia="Arial" w:hAnsi="Arial"/>
                <w:sz w:val="17"/>
                <w:szCs w:val="17"/>
                <w:b w:val="1"/>
                <w:bCs w:val="1"/>
                <w:color w:val="auto"/>
              </w:rPr>
              <w:t>f.</w:t>
            </w:r>
          </w:p>
        </w:tc>
        <w:tc>
          <w:tcPr>
            <w:tcW w:w="2220" w:type="dxa"/>
            <w:vAlign w:val="bottom"/>
          </w:tcPr>
          <w:p>
            <w:pPr>
              <w:ind w:left="120"/>
              <w:spacing w:after="0"/>
              <w:rPr>
                <w:sz w:val="20"/>
                <w:szCs w:val="20"/>
                <w:color w:val="auto"/>
              </w:rPr>
            </w:pPr>
            <w:r>
              <w:rPr>
                <w:rFonts w:ascii="Arial" w:cs="Arial" w:eastAsia="Arial" w:hAnsi="Arial"/>
                <w:sz w:val="17"/>
                <w:szCs w:val="17"/>
                <w:color w:val="auto"/>
              </w:rPr>
              <w:t>Mackey J. McDonald</w:t>
            </w:r>
          </w:p>
        </w:tc>
        <w:tc>
          <w:tcPr>
            <w:tcW w:w="700" w:type="dxa"/>
            <w:vAlign w:val="bottom"/>
          </w:tcPr>
          <w:p>
            <w:pPr>
              <w:jc w:val="center"/>
              <w:ind w:left="17"/>
              <w:spacing w:after="0" w:line="171" w:lineRule="exact"/>
              <w:rPr>
                <w:sz w:val="20"/>
                <w:szCs w:val="20"/>
                <w:color w:val="auto"/>
              </w:rPr>
            </w:pPr>
            <w:r>
              <w:rPr>
                <w:rFonts w:ascii="MS PGothic" w:cs="MS PGothic" w:eastAsia="MS PGothic" w:hAnsi="MS PGothic"/>
                <w:sz w:val="17"/>
                <w:szCs w:val="17"/>
                <w:color w:val="auto"/>
                <w:w w:val="93"/>
              </w:rPr>
              <w:t>☐</w:t>
            </w:r>
          </w:p>
        </w:tc>
        <w:tc>
          <w:tcPr>
            <w:tcW w:w="102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1200" w:type="dxa"/>
            <w:vAlign w:val="bottom"/>
          </w:tcPr>
          <w:p>
            <w:pPr>
              <w:jc w:val="center"/>
              <w:ind w:right="117"/>
              <w:spacing w:after="0" w:line="171" w:lineRule="exact"/>
              <w:rPr>
                <w:sz w:val="20"/>
                <w:szCs w:val="20"/>
                <w:color w:val="auto"/>
              </w:rPr>
            </w:pPr>
            <w:r>
              <w:rPr>
                <w:rFonts w:ascii="MS PGothic" w:cs="MS PGothic" w:eastAsia="MS PGothic" w:hAnsi="MS PGothic"/>
                <w:sz w:val="17"/>
                <w:szCs w:val="17"/>
                <w:color w:val="auto"/>
                <w:w w:val="93"/>
              </w:rPr>
              <w:t>☐</w:t>
            </w: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02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color w:val="auto"/>
              </w:rPr>
              <w:t>Advisory vote to approve executive compensation.</w:t>
            </w:r>
          </w:p>
        </w:tc>
        <w:tc>
          <w:tcPr>
            <w:tcW w:w="1200" w:type="dxa"/>
            <w:vAlign w:val="bottom"/>
          </w:tcPr>
          <w:p>
            <w:pPr>
              <w:ind w:left="960"/>
              <w:spacing w:after="0" w:line="171" w:lineRule="exact"/>
              <w:rPr>
                <w:sz w:val="20"/>
                <w:szCs w:val="20"/>
                <w:color w:val="auto"/>
              </w:rPr>
            </w:pPr>
            <w:r>
              <w:rPr>
                <w:rFonts w:ascii="MS PGothic" w:cs="MS PGothic" w:eastAsia="MS PGothic" w:hAnsi="MS PGothic"/>
                <w:sz w:val="17"/>
                <w:szCs w:val="17"/>
                <w:color w:val="auto"/>
              </w:rPr>
              <w:t>☐</w:t>
            </w:r>
          </w:p>
        </w:tc>
        <w:tc>
          <w:tcPr>
            <w:tcW w:w="620" w:type="dxa"/>
            <w:vAlign w:val="bottom"/>
          </w:tcPr>
          <w:p>
            <w:pPr>
              <w:ind w:left="80"/>
              <w:spacing w:after="0"/>
              <w:rPr>
                <w:sz w:val="20"/>
                <w:szCs w:val="20"/>
                <w:color w:val="auto"/>
              </w:rPr>
            </w:pPr>
            <w:r>
              <w:rPr>
                <w:rFonts w:ascii="Arial" w:cs="Arial" w:eastAsia="Arial" w:hAnsi="Arial"/>
                <w:sz w:val="17"/>
                <w:szCs w:val="17"/>
                <w:color w:val="auto"/>
              </w:rPr>
              <w:t>For</w:t>
            </w:r>
          </w:p>
        </w:tc>
        <w:tc>
          <w:tcPr>
            <w:tcW w:w="1520" w:type="dxa"/>
            <w:vAlign w:val="bottom"/>
          </w:tcPr>
          <w:p>
            <w:pPr>
              <w:ind w:left="3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Against</w:t>
            </w:r>
          </w:p>
        </w:tc>
        <w:tc>
          <w:tcPr>
            <w:tcW w:w="1200" w:type="dxa"/>
            <w:vAlign w:val="bottom"/>
          </w:tcPr>
          <w:p>
            <w:pPr>
              <w:ind w:left="3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Abstain</w:t>
            </w:r>
          </w:p>
        </w:tc>
      </w:tr>
      <w:tr>
        <w:trPr>
          <w:trHeight w:val="307"/>
        </w:trPr>
        <w:tc>
          <w:tcPr>
            <w:tcW w:w="602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color w:val="auto"/>
              </w:rPr>
              <w:t>Approval of amendment to change company name.</w:t>
            </w:r>
          </w:p>
        </w:tc>
        <w:tc>
          <w:tcPr>
            <w:tcW w:w="1200" w:type="dxa"/>
            <w:vAlign w:val="bottom"/>
          </w:tcPr>
          <w:p>
            <w:pPr>
              <w:ind w:left="960"/>
              <w:spacing w:after="0" w:line="171" w:lineRule="exact"/>
              <w:rPr>
                <w:sz w:val="20"/>
                <w:szCs w:val="20"/>
                <w:color w:val="auto"/>
              </w:rPr>
            </w:pPr>
            <w:r>
              <w:rPr>
                <w:rFonts w:ascii="MS PGothic" w:cs="MS PGothic" w:eastAsia="MS PGothic" w:hAnsi="MS PGothic"/>
                <w:sz w:val="17"/>
                <w:szCs w:val="17"/>
                <w:color w:val="auto"/>
              </w:rPr>
              <w:t>☐</w:t>
            </w:r>
          </w:p>
        </w:tc>
        <w:tc>
          <w:tcPr>
            <w:tcW w:w="620" w:type="dxa"/>
            <w:vAlign w:val="bottom"/>
          </w:tcPr>
          <w:p>
            <w:pPr>
              <w:ind w:left="80"/>
              <w:spacing w:after="0"/>
              <w:rPr>
                <w:sz w:val="20"/>
                <w:szCs w:val="20"/>
                <w:color w:val="auto"/>
              </w:rPr>
            </w:pPr>
            <w:r>
              <w:rPr>
                <w:rFonts w:ascii="Arial" w:cs="Arial" w:eastAsia="Arial" w:hAnsi="Arial"/>
                <w:sz w:val="17"/>
                <w:szCs w:val="17"/>
                <w:color w:val="auto"/>
              </w:rPr>
              <w:t>For</w:t>
            </w:r>
          </w:p>
        </w:tc>
        <w:tc>
          <w:tcPr>
            <w:tcW w:w="1520" w:type="dxa"/>
            <w:vAlign w:val="bottom"/>
          </w:tcPr>
          <w:p>
            <w:pPr>
              <w:ind w:left="3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Against</w:t>
            </w:r>
          </w:p>
        </w:tc>
        <w:tc>
          <w:tcPr>
            <w:tcW w:w="1200" w:type="dxa"/>
            <w:vAlign w:val="bottom"/>
          </w:tcPr>
          <w:p>
            <w:pPr>
              <w:ind w:left="3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Abstain</w:t>
            </w:r>
          </w:p>
        </w:tc>
      </w:tr>
      <w:tr>
        <w:trPr>
          <w:trHeight w:val="307"/>
        </w:trPr>
        <w:tc>
          <w:tcPr>
            <w:tcW w:w="600" w:type="dxa"/>
            <w:vAlign w:val="bottom"/>
          </w:tcPr>
          <w:p>
            <w:pPr>
              <w:spacing w:after="0"/>
              <w:rPr>
                <w:sz w:val="20"/>
                <w:szCs w:val="20"/>
                <w:color w:val="auto"/>
              </w:rPr>
            </w:pPr>
            <w:r>
              <w:rPr>
                <w:rFonts w:ascii="Arial" w:cs="Arial" w:eastAsia="Arial" w:hAnsi="Arial"/>
                <w:sz w:val="17"/>
                <w:szCs w:val="17"/>
                <w:b w:val="1"/>
                <w:bCs w:val="1"/>
                <w:color w:val="auto"/>
              </w:rPr>
              <w:t>Item 4.</w:t>
            </w:r>
          </w:p>
        </w:tc>
        <w:tc>
          <w:tcPr>
            <w:tcW w:w="5420" w:type="dxa"/>
            <w:vAlign w:val="bottom"/>
          </w:tcPr>
          <w:p>
            <w:pPr>
              <w:ind w:left="100"/>
              <w:spacing w:after="0"/>
              <w:rPr>
                <w:sz w:val="20"/>
                <w:szCs w:val="20"/>
                <w:color w:val="auto"/>
              </w:rPr>
            </w:pPr>
            <w:r>
              <w:rPr>
                <w:rFonts w:ascii="Arial" w:cs="Arial" w:eastAsia="Arial" w:hAnsi="Arial"/>
                <w:sz w:val="17"/>
                <w:szCs w:val="17"/>
                <w:color w:val="auto"/>
              </w:rPr>
              <w:t>Ratification of the selection of independent auditors.</w:t>
            </w:r>
          </w:p>
        </w:tc>
        <w:tc>
          <w:tcPr>
            <w:tcW w:w="1200" w:type="dxa"/>
            <w:vAlign w:val="bottom"/>
          </w:tcPr>
          <w:p>
            <w:pPr>
              <w:ind w:left="960"/>
              <w:spacing w:after="0" w:line="171" w:lineRule="exact"/>
              <w:rPr>
                <w:sz w:val="20"/>
                <w:szCs w:val="20"/>
                <w:color w:val="auto"/>
              </w:rPr>
            </w:pPr>
            <w:r>
              <w:rPr>
                <w:rFonts w:ascii="MS PGothic" w:cs="MS PGothic" w:eastAsia="MS PGothic" w:hAnsi="MS PGothic"/>
                <w:sz w:val="17"/>
                <w:szCs w:val="17"/>
                <w:color w:val="auto"/>
              </w:rPr>
              <w:t>☐</w:t>
            </w:r>
          </w:p>
        </w:tc>
        <w:tc>
          <w:tcPr>
            <w:tcW w:w="620" w:type="dxa"/>
            <w:vAlign w:val="bottom"/>
          </w:tcPr>
          <w:p>
            <w:pPr>
              <w:ind w:left="80"/>
              <w:spacing w:after="0"/>
              <w:rPr>
                <w:sz w:val="20"/>
                <w:szCs w:val="20"/>
                <w:color w:val="auto"/>
              </w:rPr>
            </w:pPr>
            <w:r>
              <w:rPr>
                <w:rFonts w:ascii="Arial" w:cs="Arial" w:eastAsia="Arial" w:hAnsi="Arial"/>
                <w:sz w:val="17"/>
                <w:szCs w:val="17"/>
                <w:color w:val="auto"/>
              </w:rPr>
              <w:t>For</w:t>
            </w:r>
          </w:p>
        </w:tc>
        <w:tc>
          <w:tcPr>
            <w:tcW w:w="1520" w:type="dxa"/>
            <w:vAlign w:val="bottom"/>
          </w:tcPr>
          <w:p>
            <w:pPr>
              <w:ind w:left="3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Against</w:t>
            </w:r>
          </w:p>
        </w:tc>
        <w:tc>
          <w:tcPr>
            <w:tcW w:w="1200" w:type="dxa"/>
            <w:vAlign w:val="bottom"/>
          </w:tcPr>
          <w:p>
            <w:pPr>
              <w:ind w:left="3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Abstain</w:t>
            </w:r>
          </w:p>
        </w:tc>
      </w:tr>
      <w:tr>
        <w:trPr>
          <w:trHeight w:val="307"/>
        </w:trPr>
        <w:tc>
          <w:tcPr>
            <w:tcW w:w="600" w:type="dxa"/>
            <w:vAlign w:val="bottom"/>
          </w:tcPr>
          <w:p>
            <w:pPr>
              <w:spacing w:after="0"/>
              <w:rPr>
                <w:sz w:val="20"/>
                <w:szCs w:val="20"/>
                <w:color w:val="auto"/>
              </w:rPr>
            </w:pPr>
            <w:r>
              <w:rPr>
                <w:rFonts w:ascii="Arial" w:cs="Arial" w:eastAsia="Arial" w:hAnsi="Arial"/>
                <w:sz w:val="17"/>
                <w:szCs w:val="17"/>
                <w:b w:val="1"/>
                <w:bCs w:val="1"/>
                <w:color w:val="auto"/>
              </w:rPr>
              <w:t>Item 5.</w:t>
            </w:r>
          </w:p>
        </w:tc>
        <w:tc>
          <w:tcPr>
            <w:tcW w:w="5420" w:type="dxa"/>
            <w:vAlign w:val="bottom"/>
          </w:tcPr>
          <w:p>
            <w:pPr>
              <w:ind w:left="100"/>
              <w:spacing w:after="0"/>
              <w:rPr>
                <w:sz w:val="20"/>
                <w:szCs w:val="20"/>
                <w:color w:val="auto"/>
              </w:rPr>
            </w:pPr>
            <w:r>
              <w:rPr>
                <w:rFonts w:ascii="Arial" w:cs="Arial" w:eastAsia="Arial" w:hAnsi="Arial"/>
                <w:sz w:val="17"/>
                <w:szCs w:val="17"/>
                <w:color w:val="auto"/>
              </w:rPr>
              <w:t>Shareholder proposal: sustainable forestry report.</w:t>
            </w:r>
          </w:p>
        </w:tc>
        <w:tc>
          <w:tcPr>
            <w:tcW w:w="1200" w:type="dxa"/>
            <w:vAlign w:val="bottom"/>
          </w:tcPr>
          <w:p>
            <w:pPr>
              <w:ind w:left="960"/>
              <w:spacing w:after="0" w:line="171" w:lineRule="exact"/>
              <w:rPr>
                <w:sz w:val="20"/>
                <w:szCs w:val="20"/>
                <w:color w:val="auto"/>
              </w:rPr>
            </w:pPr>
            <w:r>
              <w:rPr>
                <w:rFonts w:ascii="MS PGothic" w:cs="MS PGothic" w:eastAsia="MS PGothic" w:hAnsi="MS PGothic"/>
                <w:sz w:val="17"/>
                <w:szCs w:val="17"/>
                <w:color w:val="auto"/>
              </w:rPr>
              <w:t>☐</w:t>
            </w:r>
          </w:p>
        </w:tc>
        <w:tc>
          <w:tcPr>
            <w:tcW w:w="620" w:type="dxa"/>
            <w:vAlign w:val="bottom"/>
          </w:tcPr>
          <w:p>
            <w:pPr>
              <w:ind w:left="80"/>
              <w:spacing w:after="0"/>
              <w:rPr>
                <w:sz w:val="20"/>
                <w:szCs w:val="20"/>
                <w:color w:val="auto"/>
              </w:rPr>
            </w:pPr>
            <w:r>
              <w:rPr>
                <w:rFonts w:ascii="Arial" w:cs="Arial" w:eastAsia="Arial" w:hAnsi="Arial"/>
                <w:sz w:val="17"/>
                <w:szCs w:val="17"/>
                <w:color w:val="auto"/>
              </w:rPr>
              <w:t>For</w:t>
            </w:r>
          </w:p>
        </w:tc>
        <w:tc>
          <w:tcPr>
            <w:tcW w:w="1520" w:type="dxa"/>
            <w:vAlign w:val="bottom"/>
          </w:tcPr>
          <w:p>
            <w:pPr>
              <w:ind w:left="3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Against</w:t>
            </w:r>
          </w:p>
        </w:tc>
        <w:tc>
          <w:tcPr>
            <w:tcW w:w="1200" w:type="dxa"/>
            <w:vAlign w:val="bottom"/>
          </w:tcPr>
          <w:p>
            <w:pPr>
              <w:ind w:left="3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Abstain</w:t>
            </w:r>
          </w:p>
        </w:tc>
      </w:tr>
      <w:tr>
        <w:trPr>
          <w:trHeight w:val="307"/>
        </w:trPr>
        <w:tc>
          <w:tcPr>
            <w:tcW w:w="600" w:type="dxa"/>
            <w:vAlign w:val="bottom"/>
          </w:tcPr>
          <w:p>
            <w:pPr>
              <w:spacing w:after="0"/>
              <w:rPr>
                <w:sz w:val="20"/>
                <w:szCs w:val="20"/>
                <w:color w:val="auto"/>
              </w:rPr>
            </w:pPr>
            <w:r>
              <w:rPr>
                <w:rFonts w:ascii="Arial" w:cs="Arial" w:eastAsia="Arial" w:hAnsi="Arial"/>
                <w:sz w:val="17"/>
                <w:szCs w:val="17"/>
                <w:b w:val="1"/>
                <w:bCs w:val="1"/>
                <w:color w:val="auto"/>
              </w:rPr>
              <w:t>Item 6.</w:t>
            </w:r>
          </w:p>
        </w:tc>
        <w:tc>
          <w:tcPr>
            <w:tcW w:w="5420" w:type="dxa"/>
            <w:vAlign w:val="bottom"/>
          </w:tcPr>
          <w:p>
            <w:pPr>
              <w:ind w:left="100"/>
              <w:spacing w:after="0"/>
              <w:rPr>
                <w:sz w:val="20"/>
                <w:szCs w:val="20"/>
                <w:color w:val="auto"/>
              </w:rPr>
            </w:pPr>
            <w:r>
              <w:rPr>
                <w:rFonts w:ascii="Arial" w:cs="Arial" w:eastAsia="Arial" w:hAnsi="Arial"/>
                <w:sz w:val="17"/>
                <w:szCs w:val="17"/>
                <w:color w:val="auto"/>
              </w:rPr>
              <w:t>Shareholder proposal: report on extended producer responsibility.</w:t>
            </w:r>
          </w:p>
        </w:tc>
        <w:tc>
          <w:tcPr>
            <w:tcW w:w="1200" w:type="dxa"/>
            <w:vAlign w:val="bottom"/>
          </w:tcPr>
          <w:p>
            <w:pPr>
              <w:ind w:left="960"/>
              <w:spacing w:after="0" w:line="171" w:lineRule="exact"/>
              <w:rPr>
                <w:sz w:val="20"/>
                <w:szCs w:val="20"/>
                <w:color w:val="auto"/>
              </w:rPr>
            </w:pPr>
            <w:r>
              <w:rPr>
                <w:rFonts w:ascii="MS PGothic" w:cs="MS PGothic" w:eastAsia="MS PGothic" w:hAnsi="MS PGothic"/>
                <w:sz w:val="17"/>
                <w:szCs w:val="17"/>
                <w:color w:val="auto"/>
              </w:rPr>
              <w:t>☐</w:t>
            </w:r>
          </w:p>
        </w:tc>
        <w:tc>
          <w:tcPr>
            <w:tcW w:w="620" w:type="dxa"/>
            <w:vAlign w:val="bottom"/>
          </w:tcPr>
          <w:p>
            <w:pPr>
              <w:ind w:left="80"/>
              <w:spacing w:after="0"/>
              <w:rPr>
                <w:sz w:val="20"/>
                <w:szCs w:val="20"/>
                <w:color w:val="auto"/>
              </w:rPr>
            </w:pPr>
            <w:r>
              <w:rPr>
                <w:rFonts w:ascii="Arial" w:cs="Arial" w:eastAsia="Arial" w:hAnsi="Arial"/>
                <w:sz w:val="17"/>
                <w:szCs w:val="17"/>
                <w:color w:val="auto"/>
              </w:rPr>
              <w:t>For</w:t>
            </w:r>
          </w:p>
        </w:tc>
        <w:tc>
          <w:tcPr>
            <w:tcW w:w="1520" w:type="dxa"/>
            <w:vAlign w:val="bottom"/>
          </w:tcPr>
          <w:p>
            <w:pPr>
              <w:ind w:left="3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Against</w:t>
            </w:r>
          </w:p>
        </w:tc>
        <w:tc>
          <w:tcPr>
            <w:tcW w:w="1200" w:type="dxa"/>
            <w:vAlign w:val="bottom"/>
          </w:tcPr>
          <w:p>
            <w:pPr>
              <w:ind w:left="3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Abstain</w:t>
            </w:r>
          </w:p>
        </w:tc>
      </w:tr>
      <w:tr>
        <w:trPr>
          <w:trHeight w:val="307"/>
        </w:trPr>
        <w:tc>
          <w:tcPr>
            <w:tcW w:w="600" w:type="dxa"/>
            <w:vAlign w:val="bottom"/>
          </w:tcPr>
          <w:p>
            <w:pPr>
              <w:spacing w:after="0"/>
              <w:rPr>
                <w:sz w:val="20"/>
                <w:szCs w:val="20"/>
                <w:color w:val="auto"/>
              </w:rPr>
            </w:pPr>
            <w:r>
              <w:rPr>
                <w:rFonts w:ascii="Arial" w:cs="Arial" w:eastAsia="Arial" w:hAnsi="Arial"/>
                <w:sz w:val="17"/>
                <w:szCs w:val="17"/>
                <w:b w:val="1"/>
                <w:bCs w:val="1"/>
                <w:color w:val="auto"/>
              </w:rPr>
              <w:t>Item 7.</w:t>
            </w:r>
          </w:p>
        </w:tc>
        <w:tc>
          <w:tcPr>
            <w:tcW w:w="5420" w:type="dxa"/>
            <w:vAlign w:val="bottom"/>
          </w:tcPr>
          <w:p>
            <w:pPr>
              <w:ind w:left="100"/>
              <w:spacing w:after="0"/>
              <w:rPr>
                <w:sz w:val="20"/>
                <w:szCs w:val="20"/>
                <w:color w:val="auto"/>
              </w:rPr>
            </w:pPr>
            <w:r>
              <w:rPr>
                <w:rFonts w:ascii="Arial" w:cs="Arial" w:eastAsia="Arial" w:hAnsi="Arial"/>
                <w:sz w:val="17"/>
                <w:szCs w:val="17"/>
                <w:color w:val="auto"/>
              </w:rPr>
              <w:t>Shareholder proposal: report on lobbying.</w:t>
            </w:r>
          </w:p>
        </w:tc>
        <w:tc>
          <w:tcPr>
            <w:tcW w:w="1200" w:type="dxa"/>
            <w:vAlign w:val="bottom"/>
          </w:tcPr>
          <w:p>
            <w:pPr>
              <w:ind w:left="960"/>
              <w:spacing w:after="0" w:line="171" w:lineRule="exact"/>
              <w:rPr>
                <w:sz w:val="20"/>
                <w:szCs w:val="20"/>
                <w:color w:val="auto"/>
              </w:rPr>
            </w:pPr>
            <w:r>
              <w:rPr>
                <w:rFonts w:ascii="MS PGothic" w:cs="MS PGothic" w:eastAsia="MS PGothic" w:hAnsi="MS PGothic"/>
                <w:sz w:val="17"/>
                <w:szCs w:val="17"/>
                <w:color w:val="auto"/>
              </w:rPr>
              <w:t>☐</w:t>
            </w:r>
          </w:p>
        </w:tc>
        <w:tc>
          <w:tcPr>
            <w:tcW w:w="620" w:type="dxa"/>
            <w:vAlign w:val="bottom"/>
          </w:tcPr>
          <w:p>
            <w:pPr>
              <w:ind w:left="80"/>
              <w:spacing w:after="0"/>
              <w:rPr>
                <w:sz w:val="20"/>
                <w:szCs w:val="20"/>
                <w:color w:val="auto"/>
              </w:rPr>
            </w:pPr>
            <w:r>
              <w:rPr>
                <w:rFonts w:ascii="Arial" w:cs="Arial" w:eastAsia="Arial" w:hAnsi="Arial"/>
                <w:sz w:val="17"/>
                <w:szCs w:val="17"/>
                <w:color w:val="auto"/>
              </w:rPr>
              <w:t>For</w:t>
            </w:r>
          </w:p>
        </w:tc>
        <w:tc>
          <w:tcPr>
            <w:tcW w:w="1520" w:type="dxa"/>
            <w:vAlign w:val="bottom"/>
          </w:tcPr>
          <w:p>
            <w:pPr>
              <w:ind w:left="30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Against</w:t>
            </w:r>
          </w:p>
        </w:tc>
        <w:tc>
          <w:tcPr>
            <w:tcW w:w="1200" w:type="dxa"/>
            <w:vAlign w:val="bottom"/>
          </w:tcPr>
          <w:p>
            <w:pPr>
              <w:ind w:left="38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Abstain</w:t>
            </w:r>
          </w:p>
        </w:tc>
      </w:tr>
    </w:tbl>
    <w:p>
      <w:pPr>
        <w:spacing w:after="0" w:line="128"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color w:val="auto"/>
        </w:rPr>
        <w:t xml:space="preserve">THIS PROXY, WHEN PROPERLY EXECUTED, WILL BE VOTED AS DIRECTED OR, IF PROPERLY SIGNED AND NO DIRECTION IS GIVEN, WILL BE VOTED </w:t>
      </w:r>
      <w:r>
        <w:rPr>
          <w:rFonts w:ascii="Arial" w:cs="Arial" w:eastAsia="Arial" w:hAnsi="Arial"/>
          <w:sz w:val="16"/>
          <w:szCs w:val="16"/>
          <w:u w:val="single" w:color="auto"/>
          <w:color w:val="auto"/>
        </w:rPr>
        <w:t>FOR</w:t>
      </w:r>
      <w:r>
        <w:rPr>
          <w:rFonts w:ascii="Arial" w:cs="Arial" w:eastAsia="Arial" w:hAnsi="Arial"/>
          <w:sz w:val="16"/>
          <w:szCs w:val="16"/>
          <w:color w:val="auto"/>
        </w:rPr>
        <w:t xml:space="preserve"> ITEMS 1, 2, 3 and 4 AND </w:t>
      </w:r>
      <w:r>
        <w:rPr>
          <w:rFonts w:ascii="Arial" w:cs="Arial" w:eastAsia="Arial" w:hAnsi="Arial"/>
          <w:sz w:val="16"/>
          <w:szCs w:val="16"/>
          <w:u w:val="single" w:color="auto"/>
          <w:color w:val="auto"/>
        </w:rPr>
        <w:t>AGAINST</w:t>
      </w:r>
      <w:r>
        <w:rPr>
          <w:rFonts w:ascii="Arial" w:cs="Arial" w:eastAsia="Arial" w:hAnsi="Arial"/>
          <w:sz w:val="16"/>
          <w:szCs w:val="16"/>
          <w:color w:val="auto"/>
        </w:rPr>
        <w:t xml:space="preserve"> ITEMS 5, 6 AND 7 IN ACCORDANCE WITH THE RECOMMENDATION OF THE BOARD OF DIRECTORS.</w:t>
      </w:r>
    </w:p>
    <w:p>
      <w:pPr>
        <w:spacing w:after="0" w:line="98" w:lineRule="exact"/>
        <w:rPr>
          <w:sz w:val="20"/>
          <w:szCs w:val="20"/>
          <w:color w:val="auto"/>
        </w:rPr>
      </w:pPr>
    </w:p>
    <w:p>
      <w:pPr>
        <w:ind w:left="360" w:hanging="358"/>
        <w:spacing w:after="0"/>
        <w:tabs>
          <w:tab w:leader="none" w:pos="360" w:val="left"/>
        </w:tabs>
        <w:numPr>
          <w:ilvl w:val="0"/>
          <w:numId w:val="132"/>
        </w:numPr>
        <w:rPr>
          <w:rFonts w:ascii="MS PGothic" w:cs="MS PGothic" w:eastAsia="MS PGothic" w:hAnsi="MS PGothic"/>
          <w:sz w:val="17"/>
          <w:szCs w:val="17"/>
          <w:color w:val="auto"/>
        </w:rPr>
      </w:pPr>
      <w:r>
        <w:rPr>
          <w:rFonts w:ascii="Arial" w:cs="Arial" w:eastAsia="Arial" w:hAnsi="Arial"/>
          <w:sz w:val="17"/>
          <w:szCs w:val="17"/>
          <w:color w:val="auto"/>
        </w:rPr>
        <w:t>I will attend the Annual Meeting.</w:t>
      </w:r>
    </w:p>
    <w:p>
      <w:pPr>
        <w:spacing w:after="0" w:line="85" w:lineRule="exact"/>
        <w:rPr>
          <w:rFonts w:ascii="MS PGothic" w:cs="MS PGothic" w:eastAsia="MS PGothic" w:hAnsi="MS PGothic"/>
          <w:sz w:val="17"/>
          <w:szCs w:val="17"/>
          <w:color w:val="auto"/>
        </w:rPr>
      </w:pPr>
    </w:p>
    <w:p>
      <w:pPr>
        <w:ind w:left="360" w:hanging="358"/>
        <w:spacing w:after="0"/>
        <w:tabs>
          <w:tab w:leader="none" w:pos="360" w:val="left"/>
        </w:tabs>
        <w:numPr>
          <w:ilvl w:val="0"/>
          <w:numId w:val="132"/>
        </w:numPr>
        <w:rPr>
          <w:rFonts w:ascii="MS PGothic" w:cs="MS PGothic" w:eastAsia="MS PGothic" w:hAnsi="MS PGothic"/>
          <w:sz w:val="17"/>
          <w:szCs w:val="17"/>
          <w:color w:val="auto"/>
        </w:rPr>
      </w:pPr>
      <w:r>
        <w:rPr>
          <w:rFonts w:ascii="Arial" w:cs="Arial" w:eastAsia="Arial" w:hAnsi="Arial"/>
          <w:sz w:val="17"/>
          <w:szCs w:val="17"/>
          <w:color w:val="auto"/>
        </w:rPr>
        <w:t>I will bring a guest to the Annual Meeting (one guest allowed).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-12700</wp:posOffset>
            </wp:positionV>
            <wp:extent cx="16103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Signature(s) in Box</w:t>
      </w:r>
    </w:p>
    <w:p>
      <w:pPr>
        <w:spacing w:after="0" w:line="7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Please sign exactly as your name(s) appears on proxy card. If joint tenancy</w:t>
      </w:r>
    </w:p>
    <w:p>
      <w:pPr>
        <w:spacing w:after="0" w:line="2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owners, each should sign personally. Trustees, administrators, etc., should</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include title and authority. Corporations should provide full name of corporation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and title of authorized officer signing the proxy card.</w:t>
      </w:r>
    </w:p>
    <w:p>
      <w:pPr>
        <w:sectPr>
          <w:pgSz w:w="11900" w:h="16838" w:orient="portrait"/>
          <w:cols w:equalWidth="0" w:num="1">
            <w:col w:w="11420"/>
          </w:cols>
          <w:pgMar w:left="240" w:top="443" w:right="239" w:bottom="1440" w:gutter="0" w:footer="0" w:header="0"/>
          <w:type w:val="continuous"/>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140970</wp:posOffset>
            </wp:positionH>
            <wp:positionV relativeFrom="page">
              <wp:posOffset>88900</wp:posOffset>
            </wp:positionV>
            <wp:extent cx="7295515"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5515"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2755265</wp:posOffset>
            </wp:positionH>
            <wp:positionV relativeFrom="paragraph">
              <wp:posOffset>194945</wp:posOffset>
            </wp:positionV>
            <wp:extent cx="1746250" cy="6013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46250" cy="601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KRAFT FOODS INC.</w:t>
      </w:r>
    </w:p>
    <w:p>
      <w:pPr>
        <w:spacing w:after="0" w:line="163"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ANNUAL MEETING OF SHAREHOLDERS</w:t>
      </w:r>
    </w:p>
    <w:p>
      <w:pPr>
        <w:spacing w:after="0" w:line="163"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Wednesday, May 23, 2012</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9:00 a.m. CDT</w:t>
      </w:r>
    </w:p>
    <w:p>
      <w:pPr>
        <w:spacing w:after="0" w:line="151"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North Shore Center for the Performing Arts in Skokie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9501 Skokie Boulevard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Skokie, IL 60077</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Kraft Foods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Lakes Drive</w:t>
      </w:r>
    </w:p>
    <w:p>
      <w:pPr>
        <w:spacing w:after="0" w:line="187" w:lineRule="auto"/>
        <w:rPr>
          <w:sz w:val="20"/>
          <w:szCs w:val="20"/>
          <w:color w:val="auto"/>
        </w:rPr>
      </w:pPr>
      <w:r>
        <w:rPr>
          <w:rFonts w:ascii="Arial" w:cs="Arial" w:eastAsia="Arial" w:hAnsi="Arial"/>
          <w:sz w:val="16"/>
          <w:szCs w:val="16"/>
          <w:b w:val="1"/>
          <w:bCs w:val="1"/>
          <w:color w:val="auto"/>
        </w:rPr>
        <w:t>Northfield, IL 60093</w:t>
      </w:r>
    </w:p>
    <w:p>
      <w:pPr>
        <w:jc w:val="right"/>
        <w:spacing w:after="0"/>
        <w:rPr>
          <w:sz w:val="20"/>
          <w:szCs w:val="20"/>
          <w:color w:val="auto"/>
        </w:rPr>
      </w:pPr>
      <w:r>
        <w:rPr>
          <w:rFonts w:ascii="Arial" w:cs="Arial" w:eastAsia="Arial" w:hAnsi="Arial"/>
          <w:sz w:val="17"/>
          <w:szCs w:val="17"/>
          <w:b w:val="1"/>
          <w:bCs w:val="1"/>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156845</wp:posOffset>
            </wp:positionV>
            <wp:extent cx="72536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This proxy is solicited by the Board of Directors for use at the Annual Meeting on May 23, 2012.</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The shares of stock you hold in your account or in a dividend reinvestment account will be voted as you specify on the reverse side.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no choice is specified, the proxy will be voted “FOR” Items 1, 2, 3 and 4 and “AGAINST” Items 5, 6 and 7.</w:t>
      </w:r>
    </w:p>
    <w:p>
      <w:pPr>
        <w:spacing w:after="0" w:line="167" w:lineRule="exact"/>
        <w:rPr>
          <w:sz w:val="20"/>
          <w:szCs w:val="20"/>
          <w:color w:val="auto"/>
        </w:rPr>
      </w:pPr>
    </w:p>
    <w:p>
      <w:pPr>
        <w:jc w:val="both"/>
        <w:ind w:right="340"/>
        <w:spacing w:after="0" w:line="261" w:lineRule="auto"/>
        <w:rPr>
          <w:sz w:val="20"/>
          <w:szCs w:val="20"/>
          <w:color w:val="auto"/>
        </w:rPr>
      </w:pPr>
      <w:r>
        <w:rPr>
          <w:rFonts w:ascii="Arial" w:cs="Arial" w:eastAsia="Arial" w:hAnsi="Arial"/>
          <w:sz w:val="17"/>
          <w:szCs w:val="17"/>
          <w:color w:val="auto"/>
        </w:rPr>
        <w:t>By signing the proxy, you revoke all prior proxies and appoint Carol J. Ward and Phuong Lam and each or either of them with full power of substitution, to vote your shares on the matters shown on the reverse side of this card and any other matters which may come before the Annual Meeting or any postponements or adjournments thereof.</w:t>
      </w:r>
    </w:p>
    <w:p>
      <w:pPr>
        <w:spacing w:after="0" w:line="130"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In addition, if you are a current or former Kraft Foods employee and have investments in the Kraft Foods Stock Fund(s) of the Kraft Foods Inc. Thrift/TIP 401(k) Plan(s) and/or the Kraft Foods Canada Optional Pension Plan(s)/ Employee Savings Plan on March 15, 2012, you are directing the plan(s) trustee(s) how to vote the shares allocated to your account(s). If your voting instructions are not received by 11:59 p.m. CDT on May 18, 2012, as described in the Proxy Statement, the trustee(s) will vote the shares allocated to your Kraft Foods Stock Fund account(s) in the same proportion as the respective plan shares for which voting instructions have been received, unless contrary to the Employee Retirement Income Security Act of 1974 (ERISA).</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Vote by Internet, Telephone or Mail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24 Hours a Day, 7 Days a Week</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Your Internet or phone vote authorizes the named proxies to vote your shares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193675</wp:posOffset>
            </wp:positionV>
            <wp:extent cx="186690" cy="1784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6690" cy="178435"/>
                    </a:xfrm>
                    <a:prstGeom prst="rect">
                      <a:avLst/>
                    </a:prstGeom>
                    <a:noFill/>
                  </pic:spPr>
                </pic:pic>
              </a:graphicData>
            </a:graphic>
          </wp:anchor>
        </w:drawing>
        <w:drawing>
          <wp:anchor simplePos="0" relativeHeight="251657728" behindDoc="1" locked="0" layoutInCell="0" allowOverlap="1">
            <wp:simplePos x="0" y="0"/>
            <wp:positionH relativeFrom="column">
              <wp:posOffset>3599815</wp:posOffset>
            </wp:positionH>
            <wp:positionV relativeFrom="paragraph">
              <wp:posOffset>193675</wp:posOffset>
            </wp:positionV>
            <wp:extent cx="211455" cy="1784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1455" cy="178435"/>
                    </a:xfrm>
                    <a:prstGeom prst="rect">
                      <a:avLst/>
                    </a:prstGeom>
                    <a:noFill/>
                  </pic:spPr>
                </pic:pic>
              </a:graphicData>
            </a:graphic>
          </wp:anchor>
        </w:drawing>
        <w:drawing>
          <wp:anchor simplePos="0" relativeHeight="251657728" behindDoc="1" locked="0" layoutInCell="0" allowOverlap="1">
            <wp:simplePos x="0" y="0"/>
            <wp:positionH relativeFrom="column">
              <wp:posOffset>6012180</wp:posOffset>
            </wp:positionH>
            <wp:positionV relativeFrom="paragraph">
              <wp:posOffset>241935</wp:posOffset>
            </wp:positionV>
            <wp:extent cx="170815" cy="1301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0815" cy="13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780" w:type="dxa"/>
        <w:tblCellMar>
          <w:top w:w="0" w:type="dxa"/>
          <w:left w:w="0" w:type="dxa"/>
          <w:bottom w:w="0" w:type="dxa"/>
          <w:right w:w="0" w:type="dxa"/>
        </w:tblCellMar>
      </w:tblPr>
      <w:tr>
        <w:trPr>
          <w:trHeight w:val="205"/>
        </w:trPr>
        <w:tc>
          <w:tcPr>
            <w:tcW w:w="3040" w:type="dxa"/>
            <w:vAlign w:val="bottom"/>
          </w:tcPr>
          <w:p>
            <w:pPr>
              <w:jc w:val="center"/>
              <w:ind w:right="617"/>
              <w:spacing w:after="0"/>
              <w:rPr>
                <w:sz w:val="20"/>
                <w:szCs w:val="20"/>
                <w:color w:val="auto"/>
              </w:rPr>
            </w:pPr>
            <w:r>
              <w:rPr>
                <w:rFonts w:ascii="Arial" w:cs="Arial" w:eastAsia="Arial" w:hAnsi="Arial"/>
                <w:sz w:val="17"/>
                <w:szCs w:val="17"/>
                <w:b w:val="1"/>
                <w:bCs w:val="1"/>
                <w:color w:val="auto"/>
              </w:rPr>
              <w:t>INTERNET</w:t>
            </w:r>
          </w:p>
        </w:tc>
        <w:tc>
          <w:tcPr>
            <w:tcW w:w="4020" w:type="dxa"/>
            <w:vAlign w:val="bottom"/>
          </w:tcPr>
          <w:p>
            <w:pPr>
              <w:jc w:val="center"/>
              <w:spacing w:after="0"/>
              <w:rPr>
                <w:sz w:val="20"/>
                <w:szCs w:val="20"/>
                <w:color w:val="auto"/>
              </w:rPr>
            </w:pPr>
            <w:r>
              <w:rPr>
                <w:rFonts w:ascii="Arial" w:cs="Arial" w:eastAsia="Arial" w:hAnsi="Arial"/>
                <w:sz w:val="17"/>
                <w:szCs w:val="17"/>
                <w:b w:val="1"/>
                <w:bCs w:val="1"/>
                <w:color w:val="auto"/>
                <w:w w:val="99"/>
              </w:rPr>
              <w:t>PHONE</w:t>
            </w:r>
          </w:p>
        </w:tc>
        <w:tc>
          <w:tcPr>
            <w:tcW w:w="2840" w:type="dxa"/>
            <w:vAlign w:val="bottom"/>
          </w:tcPr>
          <w:p>
            <w:pPr>
              <w:jc w:val="center"/>
              <w:ind w:left="597"/>
              <w:spacing w:after="0"/>
              <w:rPr>
                <w:sz w:val="20"/>
                <w:szCs w:val="20"/>
                <w:color w:val="auto"/>
              </w:rPr>
            </w:pPr>
            <w:r>
              <w:rPr>
                <w:rFonts w:ascii="Arial" w:cs="Arial" w:eastAsia="Arial" w:hAnsi="Arial"/>
                <w:sz w:val="17"/>
                <w:szCs w:val="17"/>
                <w:b w:val="1"/>
                <w:bCs w:val="1"/>
                <w:color w:val="auto"/>
              </w:rPr>
              <w:t>MAIL</w:t>
            </w:r>
          </w:p>
        </w:tc>
      </w:tr>
      <w:tr>
        <w:trPr>
          <w:trHeight w:val="216"/>
        </w:trPr>
        <w:tc>
          <w:tcPr>
            <w:tcW w:w="3040" w:type="dxa"/>
            <w:vAlign w:val="bottom"/>
          </w:tcPr>
          <w:p>
            <w:pPr>
              <w:jc w:val="center"/>
              <w:ind w:right="617"/>
              <w:spacing w:after="0"/>
              <w:rPr>
                <w:sz w:val="20"/>
                <w:szCs w:val="20"/>
                <w:color w:val="auto"/>
              </w:rPr>
            </w:pPr>
            <w:r>
              <w:rPr>
                <w:rFonts w:ascii="Arial" w:cs="Arial" w:eastAsia="Arial" w:hAnsi="Arial"/>
                <w:sz w:val="17"/>
                <w:szCs w:val="17"/>
                <w:b w:val="1"/>
                <w:bCs w:val="1"/>
                <w:color w:val="auto"/>
                <w:w w:val="88"/>
              </w:rPr>
              <w:t>www.eproxy.com/kft</w:t>
            </w:r>
          </w:p>
        </w:tc>
        <w:tc>
          <w:tcPr>
            <w:tcW w:w="4020" w:type="dxa"/>
            <w:vAlign w:val="bottom"/>
          </w:tcPr>
          <w:p>
            <w:pPr>
              <w:jc w:val="center"/>
              <w:spacing w:after="0"/>
              <w:rPr>
                <w:sz w:val="20"/>
                <w:szCs w:val="20"/>
                <w:color w:val="auto"/>
              </w:rPr>
            </w:pPr>
            <w:r>
              <w:rPr>
                <w:rFonts w:ascii="Arial" w:cs="Arial" w:eastAsia="Arial" w:hAnsi="Arial"/>
                <w:sz w:val="17"/>
                <w:szCs w:val="17"/>
                <w:b w:val="1"/>
                <w:bCs w:val="1"/>
                <w:color w:val="auto"/>
                <w:w w:val="89"/>
              </w:rPr>
              <w:t>1-800-560-1965</w:t>
            </w:r>
          </w:p>
        </w:tc>
        <w:tc>
          <w:tcPr>
            <w:tcW w:w="2840" w:type="dxa"/>
            <w:vAlign w:val="bottom"/>
          </w:tcPr>
          <w:p>
            <w:pPr>
              <w:spacing w:after="0"/>
              <w:rPr>
                <w:sz w:val="18"/>
                <w:szCs w:val="18"/>
                <w:color w:val="auto"/>
              </w:rPr>
            </w:pPr>
          </w:p>
        </w:tc>
      </w:tr>
      <w:tr>
        <w:trPr>
          <w:trHeight w:val="543"/>
        </w:trPr>
        <w:tc>
          <w:tcPr>
            <w:tcW w:w="3040" w:type="dxa"/>
            <w:vAlign w:val="bottom"/>
          </w:tcPr>
          <w:p>
            <w:pPr>
              <w:jc w:val="center"/>
              <w:ind w:right="617"/>
              <w:spacing w:after="0"/>
              <w:rPr>
                <w:sz w:val="20"/>
                <w:szCs w:val="20"/>
                <w:color w:val="auto"/>
              </w:rPr>
            </w:pPr>
            <w:r>
              <w:rPr>
                <w:rFonts w:ascii="Arial" w:cs="Arial" w:eastAsia="Arial" w:hAnsi="Arial"/>
                <w:sz w:val="17"/>
                <w:szCs w:val="17"/>
                <w:color w:val="auto"/>
                <w:w w:val="89"/>
              </w:rPr>
              <w:t>Use the Internet to vote your proxy</w:t>
            </w:r>
          </w:p>
        </w:tc>
        <w:tc>
          <w:tcPr>
            <w:tcW w:w="4020" w:type="dxa"/>
            <w:vAlign w:val="bottom"/>
          </w:tcPr>
          <w:p>
            <w:pPr>
              <w:jc w:val="center"/>
              <w:spacing w:after="0"/>
              <w:rPr>
                <w:sz w:val="20"/>
                <w:szCs w:val="20"/>
                <w:color w:val="auto"/>
              </w:rPr>
            </w:pPr>
            <w:r>
              <w:rPr>
                <w:rFonts w:ascii="Arial" w:cs="Arial" w:eastAsia="Arial" w:hAnsi="Arial"/>
                <w:sz w:val="17"/>
                <w:szCs w:val="17"/>
                <w:color w:val="auto"/>
                <w:w w:val="86"/>
              </w:rPr>
              <w:t>Use a touch-tone telephone to</w:t>
            </w:r>
          </w:p>
        </w:tc>
        <w:tc>
          <w:tcPr>
            <w:tcW w:w="2840" w:type="dxa"/>
            <w:vAlign w:val="bottom"/>
          </w:tcPr>
          <w:p>
            <w:pPr>
              <w:jc w:val="center"/>
              <w:ind w:left="617"/>
              <w:spacing w:after="0"/>
              <w:rPr>
                <w:sz w:val="20"/>
                <w:szCs w:val="20"/>
                <w:color w:val="auto"/>
              </w:rPr>
            </w:pPr>
            <w:r>
              <w:rPr>
                <w:rFonts w:ascii="Arial" w:cs="Arial" w:eastAsia="Arial" w:hAnsi="Arial"/>
                <w:sz w:val="17"/>
                <w:szCs w:val="17"/>
                <w:color w:val="auto"/>
                <w:w w:val="89"/>
              </w:rPr>
              <w:t>Mark, sign and date your proxy</w:t>
            </w:r>
          </w:p>
        </w:tc>
      </w:tr>
      <w:tr>
        <w:trPr>
          <w:trHeight w:val="205"/>
        </w:trPr>
        <w:tc>
          <w:tcPr>
            <w:tcW w:w="3040" w:type="dxa"/>
            <w:vAlign w:val="bottom"/>
          </w:tcPr>
          <w:p>
            <w:pPr>
              <w:jc w:val="center"/>
              <w:ind w:right="617"/>
              <w:spacing w:after="0"/>
              <w:rPr>
                <w:sz w:val="20"/>
                <w:szCs w:val="20"/>
                <w:color w:val="auto"/>
              </w:rPr>
            </w:pPr>
            <w:r>
              <w:rPr>
                <w:rFonts w:ascii="Arial" w:cs="Arial" w:eastAsia="Arial" w:hAnsi="Arial"/>
                <w:sz w:val="17"/>
                <w:szCs w:val="17"/>
                <w:color w:val="auto"/>
                <w:w w:val="91"/>
              </w:rPr>
              <w:t>until 11:59 p.m. (CDT) on</w:t>
            </w:r>
          </w:p>
        </w:tc>
        <w:tc>
          <w:tcPr>
            <w:tcW w:w="4020" w:type="dxa"/>
            <w:vAlign w:val="bottom"/>
          </w:tcPr>
          <w:p>
            <w:pPr>
              <w:jc w:val="center"/>
              <w:spacing w:after="0"/>
              <w:rPr>
                <w:sz w:val="20"/>
                <w:szCs w:val="20"/>
                <w:color w:val="auto"/>
              </w:rPr>
            </w:pPr>
            <w:r>
              <w:rPr>
                <w:rFonts w:ascii="Arial" w:cs="Arial" w:eastAsia="Arial" w:hAnsi="Arial"/>
                <w:sz w:val="17"/>
                <w:szCs w:val="17"/>
                <w:color w:val="auto"/>
                <w:w w:val="91"/>
              </w:rPr>
              <w:t>vote your proxy until 11:59 p.m. (CDT)</w:t>
            </w:r>
          </w:p>
        </w:tc>
        <w:tc>
          <w:tcPr>
            <w:tcW w:w="2840" w:type="dxa"/>
            <w:vAlign w:val="bottom"/>
          </w:tcPr>
          <w:p>
            <w:pPr>
              <w:jc w:val="center"/>
              <w:ind w:left="597"/>
              <w:spacing w:after="0"/>
              <w:rPr>
                <w:sz w:val="20"/>
                <w:szCs w:val="20"/>
                <w:color w:val="auto"/>
              </w:rPr>
            </w:pPr>
            <w:r>
              <w:rPr>
                <w:rFonts w:ascii="Arial" w:cs="Arial" w:eastAsia="Arial" w:hAnsi="Arial"/>
                <w:sz w:val="17"/>
                <w:szCs w:val="17"/>
                <w:color w:val="auto"/>
                <w:w w:val="89"/>
              </w:rPr>
              <w:t>card and return it in the</w:t>
            </w:r>
          </w:p>
        </w:tc>
      </w:tr>
      <w:tr>
        <w:trPr>
          <w:trHeight w:val="212"/>
        </w:trPr>
        <w:tc>
          <w:tcPr>
            <w:tcW w:w="3040" w:type="dxa"/>
            <w:vAlign w:val="bottom"/>
          </w:tcPr>
          <w:p>
            <w:pPr>
              <w:jc w:val="center"/>
              <w:ind w:right="637"/>
              <w:spacing w:after="0"/>
              <w:rPr>
                <w:sz w:val="20"/>
                <w:szCs w:val="20"/>
                <w:color w:val="auto"/>
              </w:rPr>
            </w:pPr>
            <w:r>
              <w:rPr>
                <w:rFonts w:ascii="Arial" w:cs="Arial" w:eastAsia="Arial" w:hAnsi="Arial"/>
                <w:sz w:val="17"/>
                <w:szCs w:val="17"/>
                <w:color w:val="auto"/>
                <w:w w:val="87"/>
              </w:rPr>
              <w:t>Tuesday, May 22, 2012.</w:t>
            </w:r>
          </w:p>
        </w:tc>
        <w:tc>
          <w:tcPr>
            <w:tcW w:w="4020" w:type="dxa"/>
            <w:vAlign w:val="bottom"/>
          </w:tcPr>
          <w:p>
            <w:pPr>
              <w:jc w:val="center"/>
              <w:spacing w:after="0"/>
              <w:rPr>
                <w:sz w:val="20"/>
                <w:szCs w:val="20"/>
                <w:color w:val="auto"/>
              </w:rPr>
            </w:pPr>
            <w:r>
              <w:rPr>
                <w:rFonts w:ascii="Arial" w:cs="Arial" w:eastAsia="Arial" w:hAnsi="Arial"/>
                <w:sz w:val="17"/>
                <w:szCs w:val="17"/>
                <w:color w:val="auto"/>
                <w:w w:val="87"/>
              </w:rPr>
              <w:t>on Tuesday, May 22, 2012.</w:t>
            </w:r>
          </w:p>
        </w:tc>
        <w:tc>
          <w:tcPr>
            <w:tcW w:w="2840" w:type="dxa"/>
            <w:vAlign w:val="bottom"/>
          </w:tcPr>
          <w:p>
            <w:pPr>
              <w:jc w:val="center"/>
              <w:ind w:left="597"/>
              <w:spacing w:after="0"/>
              <w:rPr>
                <w:sz w:val="20"/>
                <w:szCs w:val="20"/>
                <w:color w:val="auto"/>
              </w:rPr>
            </w:pPr>
            <w:r>
              <w:rPr>
                <w:rFonts w:ascii="Arial" w:cs="Arial" w:eastAsia="Arial" w:hAnsi="Arial"/>
                <w:sz w:val="17"/>
                <w:szCs w:val="17"/>
                <w:color w:val="auto"/>
                <w:w w:val="87"/>
              </w:rPr>
              <w:t>postage-paid envelope provided.</w:t>
            </w: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If you vote your proxy by Internet or by telephone, you do NOT need to mail back your proxy card.</w:t>
      </w:r>
    </w:p>
    <w:sectPr>
      <w:pgSz w:w="11900" w:h="16838" w:orient="portrait"/>
      <w:cols w:equalWidth="0" w:num="1">
        <w:col w:w="11420"/>
      </w:cols>
      <w:pgMar w:left="240" w:top="4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lvl w:ilvl="1">
      <w:lvlJc w:val="left"/>
      <w:lvlText w:val="(%2)"/>
      <w:numFmt w:val="decimal"/>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1)"/>
      <w:numFmt w:val="decimal"/>
      <w:start w:val="1"/>
    </w:lvl>
  </w:abstractNum>
  <w:abstractNum w:abstractNumId="5">
    <w:nsid w:val="6590700B"/>
    <w:multiLevelType w:val="hybridMultilevel"/>
    <w:lvl w:ilvl="0">
      <w:lvlJc w:val="left"/>
      <w:lvlText w:val="(%1)"/>
      <w:numFmt w:val="decimal"/>
      <w:start w:val="2"/>
    </w:lvl>
  </w:abstractNum>
  <w:abstractNum w:abstractNumId="6">
    <w:nsid w:val="15014ACB"/>
    <w:multiLevelType w:val="hybridMultilevel"/>
    <w:lvl w:ilvl="0">
      <w:lvlJc w:val="left"/>
      <w:lvlText w:val="(%1)"/>
      <w:numFmt w:val="decimal"/>
      <w:start w:val="3"/>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1)"/>
      <w:numFmt w:val="decimal"/>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
      <w:numFmt w:val="bullet"/>
      <w:start w:val="1"/>
    </w:lvl>
  </w:abstractNum>
  <w:abstractNum w:abstractNumId="40">
    <w:nsid w:val="885E1B"/>
    <w:multiLevelType w:val="hybridMultilevel"/>
    <w:lvl w:ilvl="0">
      <w:lvlJc w:val="left"/>
      <w:lvlText w:val="•"/>
      <w:numFmt w:val="bullet"/>
      <w:start w:val="1"/>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1)"/>
      <w:numFmt w:val="decimal"/>
      <w:start w:val="1"/>
    </w:lvl>
  </w:abstractNum>
  <w:abstractNum w:abstractNumId="43">
    <w:nsid w:val="1716703B"/>
    <w:multiLevelType w:val="hybridMultilevel"/>
    <w:lvl w:ilvl="0">
      <w:lvlJc w:val="left"/>
      <w:lvlText w:val="(%1)"/>
      <w:numFmt w:val="decimal"/>
      <w:start w:val="1"/>
    </w:lvl>
  </w:abstractNum>
  <w:abstractNum w:abstractNumId="44">
    <w:nsid w:val="14E17E33"/>
    <w:multiLevelType w:val="hybridMultilevel"/>
    <w:lvl w:ilvl="0">
      <w:lvlJc w:val="left"/>
      <w:lvlText w:val="(%1)"/>
      <w:numFmt w:val="decimal"/>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1)"/>
      <w:numFmt w:val="decimal"/>
    </w:lvl>
    <w:lvl w:ilvl="1">
      <w:lvlJc w:val="left"/>
      <w:lvlText w:val="•"/>
      <w:numFmt w:val="bullet"/>
      <w:start w:val="1"/>
    </w:lvl>
  </w:abstractNum>
  <w:abstractNum w:abstractNumId="48">
    <w:nsid w:val="2DF6D648"/>
    <w:multiLevelType w:val="hybridMultilevel"/>
    <w:lvl w:ilvl="0">
      <w:lvlJc w:val="left"/>
      <w:lvlText w:val="•"/>
      <w:numFmt w:val="bullet"/>
      <w:start w:val="1"/>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1)"/>
      <w:numFmt w:val="decimal"/>
      <w:start w:val="1"/>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
      <w:numFmt w:val="bullet"/>
      <w:start w:val="1"/>
    </w:lvl>
  </w:abstractNum>
  <w:abstractNum w:abstractNumId="53">
    <w:nsid w:val="CC1016F"/>
    <w:multiLevelType w:val="hybridMultilevel"/>
    <w:lvl w:ilvl="0">
      <w:lvlJc w:val="left"/>
      <w:lvlText w:val="(%1)"/>
      <w:numFmt w:val="decimal"/>
      <w:start w:val="1"/>
    </w:lvl>
  </w:abstractNum>
  <w:abstractNum w:abstractNumId="54">
    <w:nsid w:val="43F18422"/>
    <w:multiLevelType w:val="hybridMultilevel"/>
    <w:lvl w:ilvl="0">
      <w:lvlJc w:val="left"/>
      <w:lvlText w:val="•"/>
      <w:numFmt w:val="bullet"/>
      <w:start w:val="1"/>
    </w:lvl>
  </w:abstractNum>
  <w:abstractNum w:abstractNumId="55">
    <w:nsid w:val="60EF0119"/>
    <w:multiLevelType w:val="hybridMultilevel"/>
    <w:lvl w:ilvl="0">
      <w:lvlJc w:val="left"/>
      <w:lvlText w:val="(%1)"/>
      <w:numFmt w:val="decimal"/>
      <w:start w:val="1"/>
    </w:lvl>
  </w:abstractNum>
  <w:abstractNum w:abstractNumId="56">
    <w:nsid w:val="26F324BA"/>
    <w:multiLevelType w:val="hybridMultilevel"/>
    <w:lvl w:ilvl="0">
      <w:lvlJc w:val="left"/>
      <w:lvlText w:val="(%1)"/>
      <w:numFmt w:val="decimal"/>
      <w:start w:val="1"/>
    </w:lvl>
  </w:abstractNum>
  <w:abstractNum w:abstractNumId="57">
    <w:nsid w:val="7F01579B"/>
    <w:multiLevelType w:val="hybridMultilevel"/>
    <w:lvl w:ilvl="0">
      <w:lvlJc w:val="left"/>
      <w:lvlText w:val="(%1)"/>
      <w:numFmt w:val="decimal"/>
      <w:start w:val="1"/>
    </w:lvl>
  </w:abstractNum>
  <w:abstractNum w:abstractNumId="58">
    <w:nsid w:val="49DA307D"/>
    <w:multiLevelType w:val="hybridMultilevel"/>
    <w:lvl w:ilvl="0">
      <w:lvlJc w:val="left"/>
      <w:lvlText w:val="•"/>
      <w:numFmt w:val="bullet"/>
      <w:start w:val="1"/>
    </w:lvl>
  </w:abstractNum>
  <w:abstractNum w:abstractNumId="59">
    <w:nsid w:val="7055A5F5"/>
    <w:multiLevelType w:val="hybridMultilevel"/>
    <w:lvl w:ilvl="0">
      <w:lvlJc w:val="left"/>
      <w:lvlText w:val="•"/>
      <w:numFmt w:val="bullet"/>
      <w:start w:val="1"/>
    </w:lvl>
    <w:lvl w:ilvl="1">
      <w:lvlJc w:val="left"/>
      <w:lvlText w:val="(%2)"/>
      <w:numFmt w:val="decimal"/>
      <w:start w:val="1"/>
    </w:lvl>
  </w:abstractNum>
  <w:abstractNum w:abstractNumId="60">
    <w:nsid w:val="5FB8370B"/>
    <w:multiLevelType w:val="hybridMultilevel"/>
    <w:lvl w:ilvl="0">
      <w:lvlJc w:val="left"/>
      <w:lvlText w:val="•"/>
      <w:numFmt w:val="bullet"/>
      <w:start w:val="1"/>
    </w:lvl>
  </w:abstractNum>
  <w:abstractNum w:abstractNumId="61">
    <w:nsid w:val="50801EE1"/>
    <w:multiLevelType w:val="hybridMultilevel"/>
    <w:lvl w:ilvl="0">
      <w:lvlJc w:val="left"/>
      <w:lvlText w:val="(%1)"/>
      <w:numFmt w:val="decimal"/>
      <w:start w:val="1"/>
    </w:lvl>
  </w:abstractNum>
  <w:abstractNum w:abstractNumId="62">
    <w:nsid w:val="488AC1A"/>
    <w:multiLevelType w:val="hybridMultilevel"/>
    <w:lvl w:ilvl="0">
      <w:lvlJc w:val="left"/>
      <w:lvlText w:val="(%1)"/>
      <w:numFmt w:val="decimal"/>
      <w:start w:val="1"/>
    </w:lvl>
  </w:abstractNum>
  <w:abstractNum w:abstractNumId="63">
    <w:nsid w:val="5FB8011C"/>
    <w:multiLevelType w:val="hybridMultilevel"/>
    <w:lvl w:ilvl="0">
      <w:lvlJc w:val="left"/>
      <w:lvlText w:val="•"/>
      <w:numFmt w:val="bullet"/>
      <w:start w:val="1"/>
    </w:lvl>
    <w:lvl w:ilvl="1">
      <w:lvlJc w:val="left"/>
      <w:lvlText w:val="\endash "/>
      <w:numFmt w:val="bullet"/>
      <w:start w:val="1"/>
    </w:lvl>
  </w:abstractNum>
  <w:abstractNum w:abstractNumId="64">
    <w:nsid w:val="6AA78F7F"/>
    <w:multiLevelType w:val="hybridMultilevel"/>
    <w:lvl w:ilvl="0">
      <w:lvlJc w:val="left"/>
      <w:lvlText w:val="(%1)"/>
      <w:numFmt w:val="decimal"/>
      <w:start w:val="1"/>
    </w:lvl>
  </w:abstractNum>
  <w:abstractNum w:abstractNumId="65">
    <w:nsid w:val="7672BD23"/>
    <w:multiLevelType w:val="hybridMultilevel"/>
    <w:lvl w:ilvl="0">
      <w:lvlJc w:val="left"/>
      <w:lvlText w:val="•"/>
      <w:numFmt w:val="bullet"/>
      <w:start w:val="1"/>
    </w:lvl>
  </w:abstractNum>
  <w:abstractNum w:abstractNumId="66">
    <w:nsid w:val="6FC75AF8"/>
    <w:multiLevelType w:val="hybridMultilevel"/>
    <w:lvl w:ilvl="0">
      <w:lvlJc w:val="left"/>
      <w:lvlText w:val="•"/>
      <w:numFmt w:val="bullet"/>
      <w:start w:val="1"/>
    </w:lvl>
  </w:abstractNum>
  <w:abstractNum w:abstractNumId="67">
    <w:nsid w:val="6A5F7029"/>
    <w:multiLevelType w:val="hybridMultilevel"/>
    <w:lvl w:ilvl="0">
      <w:lvlJc w:val="left"/>
      <w:lvlText w:val="(%1)"/>
      <w:numFmt w:val="decimal"/>
      <w:start w:val="1"/>
    </w:lvl>
  </w:abstractNum>
  <w:abstractNum w:abstractNumId="68">
    <w:nsid w:val="7D5E18F8"/>
    <w:multiLevelType w:val="hybridMultilevel"/>
    <w:lvl w:ilvl="0">
      <w:lvlJc w:val="left"/>
      <w:lvlText w:val="(%1)"/>
      <w:numFmt w:val="decimal"/>
      <w:start w:val="2"/>
    </w:lvl>
  </w:abstractNum>
  <w:abstractNum w:abstractNumId="69">
    <w:nsid w:val="5F3534A4"/>
    <w:multiLevelType w:val="hybridMultilevel"/>
    <w:lvl w:ilvl="0">
      <w:lvlJc w:val="left"/>
      <w:lvlText w:val="%1"/>
      <w:numFmt w:val="decimal"/>
      <w:start w:val="1"/>
    </w:lvl>
    <w:lvl w:ilvl="1">
      <w:lvlJc w:val="left"/>
      <w:lvlText w:val="(%2)"/>
      <w:numFmt w:val="lowerLetter"/>
      <w:start w:val="1"/>
    </w:lvl>
  </w:abstractNum>
  <w:abstractNum w:abstractNumId="70">
    <w:nsid w:val="73A1821B"/>
    <w:multiLevelType w:val="hybridMultilevel"/>
    <w:lvl w:ilvl="0">
      <w:lvlJc w:val="left"/>
      <w:lvlText w:val="(%1)"/>
      <w:numFmt w:val="decimal"/>
      <w:start w:val="6"/>
    </w:lvl>
    <w:lvl w:ilvl="1">
      <w:lvlJc w:val="left"/>
      <w:lvlText w:val="%2"/>
      <w:numFmt w:val="lowerLetter"/>
      <w:start w:val="1"/>
    </w:lvl>
  </w:abstractNum>
  <w:abstractNum w:abstractNumId="71">
    <w:nsid w:val="7DE67713"/>
    <w:multiLevelType w:val="hybridMultilevel"/>
    <w:lvl w:ilvl="0">
      <w:lvlJc w:val="left"/>
      <w:lvlText w:val="(%1)"/>
      <w:numFmt w:val="decimal"/>
      <w:start w:val="1"/>
    </w:lvl>
  </w:abstractNum>
  <w:abstractNum w:abstractNumId="72">
    <w:nsid w:val="555C55B5"/>
    <w:multiLevelType w:val="hybridMultilevel"/>
    <w:lvl w:ilvl="0">
      <w:lvlJc w:val="left"/>
      <w:lvlText w:val="(%1)"/>
      <w:numFmt w:val="decimal"/>
      <w:start w:val="1"/>
    </w:lvl>
  </w:abstractNum>
  <w:abstractNum w:abstractNumId="73">
    <w:nsid w:val="3FA62ACA"/>
    <w:multiLevelType w:val="hybridMultilevel"/>
    <w:lvl w:ilvl="0">
      <w:lvlJc w:val="left"/>
      <w:lvlText w:val="(%1)"/>
      <w:numFmt w:val="decimal"/>
      <w:start w:val="2"/>
    </w:lvl>
  </w:abstractNum>
  <w:abstractNum w:abstractNumId="74">
    <w:nsid w:val="14FCE74E"/>
    <w:multiLevelType w:val="hybridMultilevel"/>
    <w:lvl w:ilvl="0">
      <w:lvlJc w:val="left"/>
      <w:lvlText w:val="(%1)"/>
      <w:numFmt w:val="decimal"/>
      <w:start w:val="1"/>
    </w:lvl>
  </w:abstractNum>
  <w:abstractNum w:abstractNumId="75">
    <w:nsid w:val="6A3DD3E8"/>
    <w:multiLevelType w:val="hybridMultilevel"/>
    <w:lvl w:ilvl="0">
      <w:lvlJc w:val="left"/>
      <w:lvlText w:val="(%1)"/>
      <w:numFmt w:val="decimal"/>
      <w:start w:val="1"/>
    </w:lvl>
    <w:lvl w:ilvl="1">
      <w:lvlJc w:val="left"/>
      <w:lvlText w:val="•"/>
      <w:numFmt w:val="bullet"/>
      <w:start w:val="1"/>
    </w:lvl>
  </w:abstractNum>
  <w:abstractNum w:abstractNumId="76">
    <w:nsid w:val="71C91298"/>
    <w:multiLevelType w:val="hybridMultilevel"/>
    <w:lvl w:ilvl="0">
      <w:lvlJc w:val="left"/>
      <w:lvlText w:val="•"/>
      <w:numFmt w:val="bullet"/>
      <w:start w:val="1"/>
    </w:lvl>
  </w:abstractNum>
  <w:abstractNum w:abstractNumId="77">
    <w:nsid w:val="9DAF632"/>
    <w:multiLevelType w:val="hybridMultilevel"/>
    <w:lvl w:ilvl="0">
      <w:lvlJc w:val="left"/>
      <w:lvlText w:val="(%1)"/>
      <w:numFmt w:val="decimal"/>
      <w:start w:val="2"/>
    </w:lvl>
    <w:lvl w:ilvl="1">
      <w:lvlJc w:val="left"/>
      <w:lvlText w:val="•"/>
      <w:numFmt w:val="bullet"/>
      <w:start w:val="1"/>
    </w:lvl>
  </w:abstractNum>
  <w:abstractNum w:abstractNumId="78">
    <w:nsid w:val="53299938"/>
    <w:multiLevelType w:val="hybridMultilevel"/>
    <w:lvl w:ilvl="0">
      <w:lvlJc w:val="left"/>
      <w:lvlText w:val="•"/>
      <w:numFmt w:val="bullet"/>
      <w:start w:val="1"/>
    </w:lvl>
    <w:lvl w:ilvl="1">
      <w:lvlJc w:val="left"/>
      <w:lvlText w:val="(%2)"/>
      <w:numFmt w:val="lowerLetter"/>
      <w:start w:val="1"/>
    </w:lvl>
  </w:abstractNum>
  <w:abstractNum w:abstractNumId="79">
    <w:nsid w:val="1FBFE8E0"/>
    <w:multiLevelType w:val="hybridMultilevel"/>
    <w:lvl w:ilvl="0">
      <w:lvlJc w:val="left"/>
      <w:lvlText w:val="•"/>
      <w:numFmt w:val="bullet"/>
      <w:start w:val="1"/>
    </w:lvl>
  </w:abstractNum>
  <w:abstractNum w:abstractNumId="80">
    <w:nsid w:val="5092CA79"/>
    <w:multiLevelType w:val="hybridMultilevel"/>
    <w:lvl w:ilvl="0">
      <w:lvlJc w:val="left"/>
      <w:lvlText w:val="•"/>
      <w:numFmt w:val="bullet"/>
      <w:start w:val="1"/>
    </w:lvl>
  </w:abstractNum>
  <w:abstractNum w:abstractNumId="81">
    <w:nsid w:val="1D545C4D"/>
    <w:multiLevelType w:val="hybridMultilevel"/>
    <w:lvl w:ilvl="0">
      <w:lvlJc w:val="left"/>
      <w:lvlText w:val="(%1)"/>
      <w:numFmt w:val="decimal"/>
      <w:start w:val="1"/>
    </w:lvl>
  </w:abstractNum>
  <w:abstractNum w:abstractNumId="82">
    <w:nsid w:val="59ADEA3D"/>
    <w:multiLevelType w:val="hybridMultilevel"/>
    <w:lvl w:ilvl="0">
      <w:lvlJc w:val="left"/>
      <w:lvlText w:val="(%1)"/>
      <w:numFmt w:val="decimal"/>
      <w:start w:val="2"/>
    </w:lvl>
  </w:abstractNum>
  <w:abstractNum w:abstractNumId="83">
    <w:nsid w:val="288F1A34"/>
    <w:multiLevelType w:val="hybridMultilevel"/>
    <w:lvl w:ilvl="0">
      <w:lvlJc w:val="left"/>
      <w:lvlText w:val="•"/>
      <w:numFmt w:val="bullet"/>
      <w:start w:val="1"/>
    </w:lvl>
  </w:abstractNum>
  <w:abstractNum w:abstractNumId="84">
    <w:nsid w:val="2A155DBC"/>
    <w:multiLevelType w:val="hybridMultilevel"/>
    <w:lvl w:ilvl="0">
      <w:lvlJc w:val="left"/>
      <w:lvlText w:val="(%1)"/>
      <w:numFmt w:val="decimal"/>
      <w:start w:val="1"/>
    </w:lvl>
  </w:abstractNum>
  <w:abstractNum w:abstractNumId="85">
    <w:nsid w:val="1D9F6E5F"/>
    <w:multiLevelType w:val="hybridMultilevel"/>
    <w:lvl w:ilvl="0">
      <w:lvlJc w:val="left"/>
      <w:lvlText w:val="(%1)"/>
      <w:numFmt w:val="decimal"/>
      <w:start w:val="1"/>
    </w:lvl>
  </w:abstractNum>
  <w:abstractNum w:abstractNumId="86">
    <w:nsid w:val="97E1B4E"/>
    <w:multiLevelType w:val="hybridMultilevel"/>
    <w:lvl w:ilvl="0">
      <w:lvlJc w:val="left"/>
      <w:lvlText w:val="(%1)"/>
      <w:numFmt w:val="decimal"/>
      <w:start w:val="1"/>
    </w:lvl>
  </w:abstractNum>
  <w:abstractNum w:abstractNumId="87">
    <w:nsid w:val="51088277"/>
    <w:multiLevelType w:val="hybridMultilevel"/>
    <w:lvl w:ilvl="0">
      <w:lvlJc w:val="left"/>
      <w:lvlText w:val="(%1)"/>
      <w:numFmt w:val="decimal"/>
      <w:start w:val="1"/>
    </w:lvl>
  </w:abstractNum>
  <w:abstractNum w:abstractNumId="88">
    <w:nsid w:val="1CA0C5FA"/>
    <w:multiLevelType w:val="hybridMultilevel"/>
    <w:lvl w:ilvl="0">
      <w:lvlJc w:val="left"/>
      <w:lvlText w:val="(%1)"/>
      <w:numFmt w:val="decimal"/>
      <w:start w:val="4"/>
    </w:lvl>
  </w:abstractNum>
  <w:abstractNum w:abstractNumId="89">
    <w:nsid w:val="53584BCB"/>
    <w:multiLevelType w:val="hybridMultilevel"/>
    <w:lvl w:ilvl="0">
      <w:lvlJc w:val="left"/>
      <w:lvlText w:val="*"/>
      <w:numFmt w:val="bullet"/>
      <w:start w:val="1"/>
    </w:lvl>
  </w:abstractNum>
  <w:abstractNum w:abstractNumId="90">
    <w:nsid w:val="415E286C"/>
    <w:multiLevelType w:val="hybridMultilevel"/>
    <w:lvl w:ilvl="0">
      <w:lvlJc w:val="left"/>
      <w:lvlText w:val="(%1)"/>
      <w:numFmt w:val="decimal"/>
      <w:start w:val="1"/>
    </w:lvl>
  </w:abstractNum>
  <w:abstractNum w:abstractNumId="91">
    <w:nsid w:val="7C58FD05"/>
    <w:multiLevelType w:val="hybridMultilevel"/>
    <w:lvl w:ilvl="0">
      <w:lvlJc w:val="left"/>
      <w:lvlText w:val="•"/>
      <w:numFmt w:val="bullet"/>
      <w:start w:val="1"/>
    </w:lvl>
  </w:abstractNum>
  <w:abstractNum w:abstractNumId="92">
    <w:nsid w:val="23D86AAC"/>
    <w:multiLevelType w:val="hybridMultilevel"/>
    <w:lvl w:ilvl="0">
      <w:lvlJc w:val="left"/>
      <w:lvlText w:val="•"/>
      <w:numFmt w:val="bullet"/>
      <w:start w:val="1"/>
    </w:lvl>
  </w:abstractNum>
  <w:abstractNum w:abstractNumId="93">
    <w:nsid w:val="45E6D486"/>
    <w:multiLevelType w:val="hybridMultilevel"/>
    <w:lvl w:ilvl="0">
      <w:lvlJc w:val="left"/>
      <w:lvlText w:val="•"/>
      <w:numFmt w:val="bullet"/>
      <w:start w:val="1"/>
    </w:lvl>
  </w:abstractNum>
  <w:abstractNum w:abstractNumId="94">
    <w:nsid w:val="5C10FE21"/>
    <w:multiLevelType w:val="hybridMultilevel"/>
    <w:lvl w:ilvl="0">
      <w:lvlJc w:val="left"/>
      <w:lvlText w:val="•"/>
      <w:numFmt w:val="bullet"/>
      <w:start w:val="1"/>
    </w:lvl>
  </w:abstractNum>
  <w:abstractNum w:abstractNumId="95">
    <w:nsid w:val="E7FFA2B"/>
    <w:multiLevelType w:val="hybridMultilevel"/>
    <w:lvl w:ilvl="0">
      <w:lvlJc w:val="left"/>
      <w:lvlText w:val="•"/>
      <w:numFmt w:val="bullet"/>
      <w:start w:val="1"/>
    </w:lvl>
  </w:abstractNum>
  <w:abstractNum w:abstractNumId="96">
    <w:nsid w:val="3C5991AA"/>
    <w:multiLevelType w:val="hybridMultilevel"/>
    <w:lvl w:ilvl="0">
      <w:lvlJc w:val="left"/>
      <w:lvlText w:val="•"/>
      <w:numFmt w:val="bullet"/>
      <w:start w:val="1"/>
    </w:lvl>
  </w:abstractNum>
  <w:abstractNum w:abstractNumId="97">
    <w:nsid w:val="4BD8591A"/>
    <w:multiLevelType w:val="hybridMultilevel"/>
    <w:lvl w:ilvl="0">
      <w:lvlJc w:val="left"/>
      <w:lvlText w:val="%1."/>
      <w:numFmt w:val="decimal"/>
      <w:start w:val="1"/>
    </w:lvl>
    <w:lvl w:ilvl="1">
      <w:lvlJc w:val="left"/>
      <w:lvlText w:val="%2."/>
      <w:numFmt w:val="lowerLetter"/>
      <w:start w:val="1"/>
    </w:lvl>
  </w:abstractNum>
  <w:abstractNum w:abstractNumId="98">
    <w:nsid w:val="78DF6A55"/>
    <w:multiLevelType w:val="hybridMultilevel"/>
    <w:lvl w:ilvl="0">
      <w:lvlJc w:val="left"/>
      <w:lvlText w:val="•"/>
      <w:numFmt w:val="bullet"/>
      <w:start w:val="1"/>
    </w:lvl>
  </w:abstractNum>
  <w:abstractNum w:abstractNumId="99">
    <w:nsid w:val="39B7AAA2"/>
    <w:multiLevelType w:val="hybridMultilevel"/>
    <w:lvl w:ilvl="0">
      <w:lvlJc w:val="left"/>
      <w:lvlText w:val="•"/>
      <w:numFmt w:val="bullet"/>
      <w:start w:val="1"/>
    </w:lvl>
  </w:abstractNum>
  <w:abstractNum w:abstractNumId="100">
    <w:nsid w:val="2B0D8DBE"/>
    <w:multiLevelType w:val="hybridMultilevel"/>
    <w:lvl w:ilvl="0">
      <w:lvlJc w:val="left"/>
      <w:lvlText w:val="%1."/>
      <w:numFmt w:val="decimal"/>
      <w:start w:val="1"/>
    </w:lvl>
  </w:abstractNum>
  <w:abstractNum w:abstractNumId="101">
    <w:nsid w:val="6C80EC70"/>
    <w:multiLevelType w:val="hybridMultilevel"/>
    <w:lvl w:ilvl="0">
      <w:lvlJc w:val="left"/>
      <w:lvlText w:val="%1."/>
      <w:numFmt w:val="decimal"/>
      <w:start w:val="2"/>
    </w:lvl>
  </w:abstractNum>
  <w:abstractNum w:abstractNumId="102">
    <w:nsid w:val="379E21B5"/>
    <w:multiLevelType w:val="hybridMultilevel"/>
    <w:lvl w:ilvl="0">
      <w:lvlJc w:val="left"/>
      <w:lvlText w:val="%1."/>
      <w:numFmt w:val="decimal"/>
      <w:start w:val="3"/>
    </w:lvl>
  </w:abstractNum>
  <w:abstractNum w:abstractNumId="103">
    <w:nsid w:val="69E373"/>
    <w:multiLevelType w:val="hybridMultilevel"/>
    <w:lvl w:ilvl="0">
      <w:lvlJc w:val="left"/>
      <w:lvlText w:val="%1."/>
      <w:numFmt w:val="decimal"/>
      <w:start w:val="4"/>
    </w:lvl>
  </w:abstractNum>
  <w:abstractNum w:abstractNumId="104">
    <w:nsid w:val="2C27173B"/>
    <w:multiLevelType w:val="hybridMultilevel"/>
    <w:lvl w:ilvl="0">
      <w:lvlJc w:val="left"/>
      <w:lvlText w:val="•"/>
      <w:numFmt w:val="bullet"/>
      <w:start w:val="1"/>
    </w:lvl>
  </w:abstractNum>
  <w:abstractNum w:abstractNumId="105">
    <w:nsid w:val="4C9B0904"/>
    <w:multiLevelType w:val="hybridMultilevel"/>
    <w:lvl w:ilvl="0">
      <w:lvlJc w:val="left"/>
      <w:lvlText w:val="%1."/>
      <w:numFmt w:val="decimal"/>
      <w:start w:val="5"/>
    </w:lvl>
  </w:abstractNum>
  <w:abstractNum w:abstractNumId="106">
    <w:nsid w:val="6AA7B75C"/>
    <w:multiLevelType w:val="hybridMultilevel"/>
    <w:lvl w:ilvl="0">
      <w:lvlJc w:val="left"/>
      <w:lvlText w:val="%1."/>
      <w:numFmt w:val="decimal"/>
      <w:start w:val="6"/>
    </w:lvl>
  </w:abstractNum>
  <w:abstractNum w:abstractNumId="107">
    <w:nsid w:val="1DF029D3"/>
    <w:multiLevelType w:val="hybridMultilevel"/>
    <w:lvl w:ilvl="0">
      <w:lvlJc w:val="left"/>
      <w:lvlText w:val="•"/>
      <w:numFmt w:val="bullet"/>
      <w:start w:val="1"/>
    </w:lvl>
    <w:lvl w:ilvl="1">
      <w:lvlJc w:val="left"/>
      <w:lvlText w:val="•"/>
      <w:numFmt w:val="bullet"/>
      <w:start w:val="1"/>
    </w:lvl>
  </w:abstractNum>
  <w:abstractNum w:abstractNumId="108">
    <w:nsid w:val="5675FF36"/>
    <w:multiLevelType w:val="hybridMultilevel"/>
    <w:lvl w:ilvl="0">
      <w:lvlJc w:val="left"/>
      <w:lvlText w:val="%1."/>
      <w:numFmt w:val="decimal"/>
      <w:start w:val="7"/>
    </w:lvl>
  </w:abstractNum>
  <w:abstractNum w:abstractNumId="109">
    <w:nsid w:val="3DD15094"/>
    <w:multiLevelType w:val="hybridMultilevel"/>
    <w:lvl w:ilvl="0">
      <w:lvlJc w:val="left"/>
      <w:lvlText w:val="%1."/>
      <w:numFmt w:val="decimal"/>
      <w:start w:val="8"/>
    </w:lvl>
  </w:abstractNum>
  <w:abstractNum w:abstractNumId="110">
    <w:nsid w:val="3DB012B3"/>
    <w:multiLevelType w:val="hybridMultilevel"/>
    <w:lvl w:ilvl="0">
      <w:lvlJc w:val="left"/>
      <w:lvlText w:val="%1."/>
      <w:numFmt w:val="decimal"/>
      <w:start w:val="9"/>
    </w:lvl>
  </w:abstractNum>
  <w:abstractNum w:abstractNumId="111">
    <w:nsid w:val="2708C9AF"/>
    <w:multiLevelType w:val="hybridMultilevel"/>
    <w:lvl w:ilvl="0">
      <w:lvlJc w:val="left"/>
      <w:lvlText w:val="%1."/>
      <w:numFmt w:val="decimal"/>
      <w:start w:val="10"/>
    </w:lvl>
  </w:abstractNum>
  <w:abstractNum w:abstractNumId="112">
    <w:nsid w:val="5B25ACE2"/>
    <w:multiLevelType w:val="hybridMultilevel"/>
    <w:lvl w:ilvl="0">
      <w:lvlJc w:val="left"/>
      <w:lvlText w:val="%1."/>
      <w:numFmt w:val="decimal"/>
      <w:start w:val="11"/>
    </w:lvl>
  </w:abstractNum>
  <w:abstractNum w:abstractNumId="113">
    <w:nsid w:val="175DFCF0"/>
    <w:multiLevelType w:val="hybridMultilevel"/>
    <w:lvl w:ilvl="0">
      <w:lvlJc w:val="left"/>
      <w:lvlText w:val="%1."/>
      <w:numFmt w:val="decimal"/>
      <w:start w:val="12"/>
    </w:lvl>
  </w:abstractNum>
  <w:abstractNum w:abstractNumId="114">
    <w:nsid w:val="4F97E3E4"/>
    <w:multiLevelType w:val="hybridMultilevel"/>
    <w:lvl w:ilvl="0">
      <w:lvlJc w:val="left"/>
      <w:lvlText w:val="•"/>
      <w:numFmt w:val="bullet"/>
      <w:start w:val="1"/>
    </w:lvl>
  </w:abstractNum>
  <w:abstractNum w:abstractNumId="115">
    <w:nsid w:val="53B0A9E"/>
    <w:multiLevelType w:val="hybridMultilevel"/>
    <w:lvl w:ilvl="0">
      <w:lvlJc w:val="left"/>
      <w:lvlText w:val="%1."/>
      <w:numFmt w:val="decimal"/>
      <w:start w:val="12"/>
    </w:lvl>
    <w:lvl w:ilvl="1">
      <w:lvlJc w:val="left"/>
      <w:lvlText w:val="•"/>
      <w:numFmt w:val="bullet"/>
      <w:start w:val="1"/>
    </w:lvl>
  </w:abstractNum>
  <w:abstractNum w:abstractNumId="116">
    <w:nsid w:val="34FD6B4F"/>
    <w:multiLevelType w:val="hybridMultilevel"/>
    <w:lvl w:ilvl="0">
      <w:lvlJc w:val="left"/>
      <w:lvlText w:val="%1."/>
      <w:numFmt w:val="decimal"/>
      <w:start w:val="14"/>
    </w:lvl>
  </w:abstractNum>
  <w:abstractNum w:abstractNumId="117">
    <w:nsid w:val="5915FF32"/>
    <w:multiLevelType w:val="hybridMultilevel"/>
    <w:lvl w:ilvl="0">
      <w:lvlJc w:val="left"/>
      <w:lvlText w:val="%1."/>
      <w:numFmt w:val="decimal"/>
      <w:start w:val="15"/>
    </w:lvl>
  </w:abstractNum>
  <w:abstractNum w:abstractNumId="118">
    <w:nsid w:val="56438D15"/>
    <w:multiLevelType w:val="hybridMultilevel"/>
    <w:lvl w:ilvl="0">
      <w:lvlJc w:val="left"/>
      <w:lvlText w:val="%1."/>
      <w:numFmt w:val="decimal"/>
      <w:start w:val="16"/>
    </w:lvl>
  </w:abstractNum>
  <w:abstractNum w:abstractNumId="119">
    <w:nsid w:val="519E3149"/>
    <w:multiLevelType w:val="hybridMultilevel"/>
    <w:lvl w:ilvl="0">
      <w:lvlJc w:val="left"/>
      <w:lvlText w:val="%1."/>
      <w:numFmt w:val="decimal"/>
      <w:start w:val="17"/>
    </w:lvl>
  </w:abstractNum>
  <w:abstractNum w:abstractNumId="120">
    <w:nsid w:val="2C6E4AFD"/>
    <w:multiLevelType w:val="hybridMultilevel"/>
    <w:lvl w:ilvl="0">
      <w:lvlJc w:val="left"/>
      <w:lvlText w:val="%1."/>
      <w:numFmt w:val="decimal"/>
      <w:start w:val="18"/>
    </w:lvl>
  </w:abstractNum>
  <w:abstractNum w:abstractNumId="121">
    <w:nsid w:val="17A1B582"/>
    <w:multiLevelType w:val="hybridMultilevel"/>
    <w:lvl w:ilvl="0">
      <w:lvlJc w:val="left"/>
      <w:lvlText w:val="%1."/>
      <w:numFmt w:val="decimal"/>
      <w:start w:val="19"/>
    </w:lvl>
  </w:abstractNum>
  <w:abstractNum w:abstractNumId="122">
    <w:nsid w:val="4DF72E4E"/>
    <w:multiLevelType w:val="hybridMultilevel"/>
    <w:lvl w:ilvl="0">
      <w:lvlJc w:val="left"/>
      <w:lvlText w:val="%1."/>
      <w:numFmt w:val="decimal"/>
      <w:start w:val="20"/>
    </w:lvl>
  </w:abstractNum>
  <w:abstractNum w:abstractNumId="123">
    <w:nsid w:val="5046B5A9"/>
    <w:multiLevelType w:val="hybridMultilevel"/>
    <w:lvl w:ilvl="0">
      <w:lvlJc w:val="left"/>
      <w:lvlText w:val="%1."/>
      <w:numFmt w:val="decimal"/>
      <w:start w:val="21"/>
    </w:lvl>
  </w:abstractNum>
  <w:abstractNum w:abstractNumId="124">
    <w:nsid w:val="5D888A08"/>
    <w:multiLevelType w:val="hybridMultilevel"/>
    <w:lvl w:ilvl="0">
      <w:lvlJc w:val="left"/>
      <w:lvlText w:val="%1."/>
      <w:numFmt w:val="decimal"/>
      <w:start w:val="22"/>
    </w:lvl>
  </w:abstractNum>
  <w:abstractNum w:abstractNumId="125">
    <w:nsid w:val="2A082C70"/>
    <w:multiLevelType w:val="hybridMultilevel"/>
    <w:lvl w:ilvl="0">
      <w:lvlJc w:val="left"/>
      <w:lvlText w:val="%1."/>
      <w:numFmt w:val="decimal"/>
      <w:start w:val="23"/>
    </w:lvl>
  </w:abstractNum>
  <w:abstractNum w:abstractNumId="126">
    <w:nsid w:val="5EC6AFD4"/>
    <w:multiLevelType w:val="hybridMultilevel"/>
    <w:lvl w:ilvl="0">
      <w:lvlJc w:val="left"/>
      <w:lvlText w:val="%1."/>
      <w:numFmt w:val="decimal"/>
      <w:start w:val="24"/>
    </w:lvl>
  </w:abstractNum>
  <w:abstractNum w:abstractNumId="127">
    <w:nsid w:val="19E21BB2"/>
    <w:multiLevelType w:val="hybridMultilevel"/>
    <w:lvl w:ilvl="0">
      <w:lvlJc w:val="left"/>
      <w:lvlText w:val="•"/>
      <w:numFmt w:val="bullet"/>
      <w:start w:val="1"/>
    </w:lvl>
  </w:abstractNum>
  <w:abstractNum w:abstractNumId="128">
    <w:nsid w:val="75E0858A"/>
    <w:multiLevelType w:val="hybridMultilevel"/>
    <w:lvl w:ilvl="0">
      <w:lvlJc w:val="left"/>
      <w:lvlText w:val="%1."/>
      <w:numFmt w:val="decimal"/>
      <w:start w:val="25"/>
    </w:lvl>
  </w:abstractNum>
  <w:abstractNum w:abstractNumId="129">
    <w:nsid w:val="57A61A29"/>
    <w:multiLevelType w:val="hybridMultilevel"/>
    <w:lvl w:ilvl="0">
      <w:lvlJc w:val="left"/>
      <w:lvlText w:val="(%1)"/>
      <w:numFmt w:val="decimal"/>
      <w:start w:val="1"/>
    </w:lvl>
  </w:abstractNum>
  <w:abstractNum w:abstractNumId="130">
    <w:nsid w:val="5399C654"/>
    <w:multiLevelType w:val="hybridMultilevel"/>
    <w:lvl w:ilvl="0">
      <w:lvlJc w:val="left"/>
      <w:lvlText w:val="(%1)"/>
      <w:numFmt w:val="decimal"/>
      <w:start w:val="1"/>
    </w:lvl>
  </w:abstractNum>
  <w:abstractNum w:abstractNumId="131">
    <w:nsid w:val="20EE134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2019-12-09T14:41:59Z</dcterms:created>
  <dcterms:modified xsi:type="dcterms:W3CDTF">2019-12-09T14:41:59Z</dcterms:modified>
</cp:coreProperties>
</file>