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20" w:after="283"/>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FORM 10-Q </w:t>
      </w:r>
    </w:p>
    <w:p>
      <w:pPr>
        <w:pStyle w:val="TextBody"/>
        <w:bidi w:val="0"/>
        <w:spacing w:lineRule="auto" w:line="288" w:before="60" w:after="283"/>
        <w:jc w:val="left"/>
        <w:rPr>
          <w:rFonts w:ascii="Arial;sans-serif" w:hAnsi="Arial;sans-serif"/>
          <w:b/>
          <w:color w:val="000000"/>
          <w:sz w:val="18"/>
        </w:rPr>
      </w:pPr>
      <w:r>
        <w:rPr>
          <w:rFonts w:ascii="Arial;sans-serif" w:hAnsi="Arial;sans-serif"/>
          <w:b/>
          <w:color w:val="000000"/>
          <w:sz w:val="18"/>
        </w:rPr>
        <w:t>(Mark One)</w:t>
      </w:r>
    </w:p>
    <w:tbl>
      <w:tblPr>
        <w:tblW w:w="100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quarterly period ended June 30, 2026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OR</w:t>
      </w:r>
    </w:p>
    <w:tbl>
      <w:tblPr>
        <w:tblW w:w="100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to                </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 xml:space="preserve">Commission file number 1-16483 </w:t>
      </w:r>
    </w:p>
    <w:p>
      <w:pPr>
        <w:pStyle w:val="TextBody"/>
        <w:bidi w:val="0"/>
        <w:spacing w:before="60" w:after="283"/>
        <w:jc w:val="center"/>
        <w:rPr/>
      </w:pPr>
      <w:r>
        <w:rPr/>
        <w:drawing>
          <wp:inline distT="0" distB="0" distL="0" distR="0">
            <wp:extent cx="100965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9650" cy="247650"/>
                    </a:xfrm>
                    <a:prstGeom prst="rect">
                      <a:avLst/>
                    </a:prstGeom>
                  </pic:spPr>
                </pic:pic>
              </a:graphicData>
            </a:graphic>
          </wp:inline>
        </w:drawing>
      </w:r>
      <w:bookmarkStart w:id="0" w:name="i-1"/>
      <w:bookmarkEnd w:id="0"/>
    </w:p>
    <w:p>
      <w:pPr>
        <w:pStyle w:val="TextBody"/>
        <w:bidi w:val="0"/>
        <w:spacing w:lineRule="auto" w:line="288" w:before="60" w:after="283"/>
        <w:jc w:val="center"/>
        <w:rPr>
          <w:rFonts w:ascii="Arial;sans-serif" w:hAnsi="Arial;sans-serif"/>
          <w:b/>
          <w:color w:val="000000"/>
          <w:sz w:val="28"/>
        </w:rPr>
      </w:pPr>
      <w:r>
        <w:rPr>
          <w:rFonts w:ascii="Arial;sans-serif" w:hAnsi="Arial;sans-serif"/>
          <w:b/>
          <w:color w:val="000000"/>
          <w:sz w:val="28"/>
        </w:rPr>
        <w:t xml:space="preserve">Mondelēz International, Inc.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6988" w:type="dxa"/>
        <w:jc w:val="center"/>
        <w:tblInd w:w="0" w:type="dxa"/>
        <w:tblLayout w:type="fixed"/>
        <w:tblCellMar>
          <w:top w:w="28" w:type="dxa"/>
          <w:left w:w="28" w:type="dxa"/>
          <w:bottom w:w="28" w:type="dxa"/>
          <w:right w:w="28" w:type="dxa"/>
        </w:tblCellMar>
      </w:tblPr>
      <w:tblGrid>
        <w:gridCol w:w="797"/>
        <w:gridCol w:w="699"/>
        <w:gridCol w:w="699"/>
        <w:gridCol w:w="699"/>
        <w:gridCol w:w="699"/>
        <w:gridCol w:w="740"/>
        <w:gridCol w:w="773"/>
        <w:gridCol w:w="773"/>
        <w:gridCol w:w="1109"/>
      </w:tblGrid>
      <w:tr>
        <w:trPr/>
        <w:tc>
          <w:tcPr>
            <w:tcW w:w="7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3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Virginia</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52-2284372</w:t>
            </w:r>
          </w:p>
        </w:tc>
      </w:tr>
      <w:tr>
        <w:trPr/>
        <w:tc>
          <w:tcPr>
            <w:tcW w:w="433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905 West Fulton Market, Suite 200</w:t>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Chicago,</w:t>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Illinois</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60607</w:t>
            </w:r>
          </w:p>
        </w:tc>
      </w:tr>
      <w:tr>
        <w:trPr/>
        <w:tc>
          <w:tcPr>
            <w:tcW w:w="43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lineRule="auto" w:line="288" w:before="0" w:after="0"/>
        <w:jc w:val="center"/>
        <w:rPr/>
      </w:pPr>
      <w:r>
        <w:rPr>
          <w:rFonts w:ascii="Arial;sans-serif" w:hAnsi="Arial;sans-serif"/>
          <w:b w:val="false"/>
          <w:color w:val="000000"/>
          <w:sz w:val="16"/>
        </w:rPr>
        <w:t xml:space="preserve">(Registrant’s telephone number, including area code) </w:t>
      </w:r>
      <w:r>
        <w:rPr>
          <w:rFonts w:ascii="Arial;sans-serif" w:hAnsi="Arial;sans-serif"/>
          <w:b/>
          <w:color w:val="000000"/>
          <w:sz w:val="16"/>
        </w:rPr>
        <w:t xml:space="preserve">(847) 943-4000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Not Applicable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(Former name, former address and former fiscal year, if changed since last report)</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076" w:type="dxa"/>
        <w:jc w:val="center"/>
        <w:tblInd w:w="0" w:type="dxa"/>
        <w:tblLayout w:type="fixed"/>
        <w:tblCellMar>
          <w:top w:w="28" w:type="dxa"/>
          <w:left w:w="28" w:type="dxa"/>
          <w:bottom w:w="28" w:type="dxa"/>
          <w:right w:w="28" w:type="dxa"/>
        </w:tblCellMar>
      </w:tblPr>
      <w:tblGrid>
        <w:gridCol w:w="1030"/>
        <w:gridCol w:w="904"/>
        <w:gridCol w:w="915"/>
        <w:gridCol w:w="109"/>
        <w:gridCol w:w="109"/>
        <w:gridCol w:w="109"/>
        <w:gridCol w:w="304"/>
        <w:gridCol w:w="304"/>
        <w:gridCol w:w="306"/>
        <w:gridCol w:w="109"/>
        <w:gridCol w:w="109"/>
        <w:gridCol w:w="109"/>
        <w:gridCol w:w="1071"/>
        <w:gridCol w:w="1071"/>
        <w:gridCol w:w="1517"/>
      </w:tblGrid>
      <w:tr>
        <w:trPr/>
        <w:tc>
          <w:tcPr>
            <w:tcW w:w="10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Class A 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1.625%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0.250%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0.750%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2.375% Notes due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 Notes due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MDLZ35A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1.375% Notes due 2041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3.875% Notes due 2045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lineRule="auto" w:line="288" w:before="20" w:after="283"/>
        <w:jc w:val="both"/>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80" w:after="283"/>
        <w:jc w:val="both"/>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80" w:after="283"/>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93"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699"/>
        <w:gridCol w:w="699"/>
        <w:gridCol w:w="703"/>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jc w:val="both"/>
        <w:rPr/>
      </w:pPr>
      <w:r>
        <w:rPr>
          <w:rFonts w:ascii="Arial;sans-serif" w:hAnsi="Arial;sans-serif"/>
          <w:b w:val="false"/>
          <w:color w:val="000000"/>
          <w:sz w:val="16"/>
        </w:rPr>
        <w:t>Indicate by check mark whether the registrant is a shell company (as defined in Rule 12b-2 of the Exchange Act). Yes  </w:t>
      </w:r>
      <w:r>
        <w:rPr>
          <w:color w:val="000000"/>
        </w:rPr>
        <w:t xml:space="preserve"> ☐  </w:t>
      </w:r>
      <w:r>
        <w:rPr>
          <w:rFonts w:ascii="Arial;sans-serif" w:hAnsi="Arial;sans-serif"/>
          <w:b w:val="false"/>
          <w:color w:val="000000"/>
          <w:sz w:val="16"/>
        </w:rPr>
        <w:t>No  </w:t>
      </w:r>
      <w:r>
        <w:rPr>
          <w:rFonts w:ascii="Wingdings;sans-serif" w:hAnsi="Wingdings;sans-serif"/>
          <w:b w:val="false"/>
          <w:color w:val="000000"/>
          <w:sz w:val="16"/>
        </w:rPr>
        <w:t>x</w:t>
      </w:r>
    </w:p>
    <w:p>
      <w:pPr>
        <w:pStyle w:val="TextBody"/>
        <w:bidi w:val="0"/>
        <w:spacing w:before="80" w:after="283"/>
        <w:jc w:val="both"/>
        <w:rPr/>
      </w:pPr>
      <w:r>
        <w:rPr/>
      </w:r>
    </w:p>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At July 24, 2026, there were 1,276,308,057 shares of the registrant’s Class A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1"/>
        <w:gridCol w:w="228"/>
        <w:gridCol w:w="231"/>
        <w:gridCol w:w="2919"/>
        <w:gridCol w:w="2919"/>
        <w:gridCol w:w="2925"/>
        <w:gridCol w:w="211"/>
        <w:gridCol w:w="211"/>
        <w:gridCol w:w="300"/>
      </w:tblGrid>
      <w:tr>
        <w:trPr/>
        <w:tc>
          <w:tcPr>
            <w:tcW w:w="2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Page No.</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10b02758484c5b9569a0148d11c5b5_10">
              <w:r>
                <w:rPr>
                  <w:rStyle w:val="InternetLink"/>
                  <w:rFonts w:ascii="Arial;sans-serif" w:hAnsi="Arial;sans-serif"/>
                  <w:b/>
                  <w:color w:val="0000FF"/>
                  <w:sz w:val="16"/>
                  <w:u w:val="single"/>
                </w:rPr>
                <w:t>PART I</w:t>
              </w:r>
            </w:hyperlink>
          </w:p>
        </w:tc>
        <w:tc>
          <w:tcPr>
            <w:tcW w:w="8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INFORMATION</w:t>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w:t>
            </w:r>
          </w:p>
        </w:tc>
        <w:tc>
          <w:tcPr>
            <w:tcW w:w="8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Statements (Unaudited)</w:t>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10b02758484c5b9569a0148d11c5b5_16">
              <w:r>
                <w:rPr>
                  <w:rStyle w:val="InternetLink"/>
                  <w:rFonts w:ascii="Arial;sans-serif" w:hAnsi="Arial;sans-serif"/>
                  <w:b w:val="false"/>
                  <w:color w:val="0000FF"/>
                  <w:sz w:val="16"/>
                  <w:u w:val="single"/>
                </w:rPr>
                <w:t>Condensed Consolidated Statements of Earnings for the Three and Six Months Ended June 30, 2026 and 2025</w:t>
              </w:r>
            </w:hyperlink>
          </w:p>
        </w:tc>
        <w:tc>
          <w:tcPr>
            <w:tcW w:w="7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10b02758484c5b9569a0148d11c5b5_16">
              <w:r>
                <w:rPr>
                  <w:rStyle w:val="InternetLink"/>
                  <w:rFonts w:ascii="Arial;sans-serif" w:hAnsi="Arial;sans-serif"/>
                  <w:b w:val="false"/>
                  <w:strike w:val="false"/>
                  <w:dstrike w:val="false"/>
                  <w:color w:val="000000"/>
                  <w:sz w:val="16"/>
                  <w:u w:val="none"/>
                  <w:effect w:val="none"/>
                </w:rPr>
                <w:t>1</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710b02758484c5b9569a0148d11c5b5_19">
              <w:r>
                <w:rPr>
                  <w:rStyle w:val="InternetLink"/>
                  <w:rFonts w:ascii="Arial;sans-serif" w:hAnsi="Arial;sans-serif"/>
                  <w:b w:val="false"/>
                  <w:color w:val="0000FF"/>
                  <w:sz w:val="16"/>
                  <w:u w:val="single"/>
                </w:rPr>
                <w:t>Condensed Consolidated Statements of Comprehensive Earnings for the Three and Six Months Ended June 30, 2026 and 2025</w:t>
              </w:r>
            </w:hyperlink>
          </w:p>
        </w:tc>
        <w:tc>
          <w:tcPr>
            <w:tcW w:w="7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10b02758484c5b9569a0148d11c5b5_19">
              <w:r>
                <w:rPr>
                  <w:rStyle w:val="InternetLink"/>
                  <w:rFonts w:ascii="Arial;sans-serif" w:hAnsi="Arial;sans-serif"/>
                  <w:b w:val="false"/>
                  <w:strike w:val="false"/>
                  <w:dstrike w:val="false"/>
                  <w:color w:val="000000"/>
                  <w:sz w:val="16"/>
                  <w:u w:val="none"/>
                  <w:effect w:val="none"/>
                </w:rPr>
                <w:t>2</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710b02758484c5b9569a0148d11c5b5_22">
              <w:r>
                <w:rPr>
                  <w:rStyle w:val="InternetLink"/>
                  <w:rFonts w:ascii="Arial;sans-serif" w:hAnsi="Arial;sans-serif"/>
                  <w:b w:val="false"/>
                  <w:color w:val="0000FF"/>
                  <w:sz w:val="16"/>
                  <w:u w:val="single"/>
                </w:rPr>
                <w:t>Condensed Consolidated Balance Sheets at June 30, 2026 and December 31, 2025</w:t>
              </w:r>
            </w:hyperlink>
          </w:p>
        </w:tc>
        <w:tc>
          <w:tcPr>
            <w:tcW w:w="7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10b02758484c5b9569a0148d11c5b5_22">
              <w:r>
                <w:rPr>
                  <w:rStyle w:val="InternetLink"/>
                  <w:rFonts w:ascii="Arial;sans-serif" w:hAnsi="Arial;sans-serif"/>
                  <w:b w:val="false"/>
                  <w:strike w:val="false"/>
                  <w:dstrike w:val="false"/>
                  <w:color w:val="000000"/>
                  <w:sz w:val="16"/>
                  <w:u w:val="none"/>
                  <w:effect w:val="none"/>
                </w:rPr>
                <w:t>3</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710b02758484c5b9569a0148d11c5b5_25">
              <w:r>
                <w:rPr>
                  <w:rStyle w:val="InternetLink"/>
                  <w:rFonts w:ascii="Arial;sans-serif" w:hAnsi="Arial;sans-serif"/>
                  <w:b w:val="false"/>
                  <w:color w:val="0000FF"/>
                  <w:sz w:val="16"/>
                  <w:u w:val="single"/>
                </w:rPr>
                <w:t>Condensed Consolidated Statements of Equity for the Three and Six Months Ended June 30, 2026 and 2025</w:t>
              </w:r>
            </w:hyperlink>
          </w:p>
        </w:tc>
        <w:tc>
          <w:tcPr>
            <w:tcW w:w="7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10b02758484c5b9569a0148d11c5b5_25">
              <w:r>
                <w:rPr>
                  <w:rStyle w:val="InternetLink"/>
                  <w:rFonts w:ascii="Arial;sans-serif" w:hAnsi="Arial;sans-serif"/>
                  <w:b w:val="false"/>
                  <w:strike w:val="false"/>
                  <w:dstrike w:val="false"/>
                  <w:color w:val="000000"/>
                  <w:sz w:val="16"/>
                  <w:u w:val="none"/>
                  <w:effect w:val="none"/>
                </w:rPr>
                <w:t>4</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710b02758484c5b9569a0148d11c5b5_28">
              <w:r>
                <w:rPr>
                  <w:rStyle w:val="InternetLink"/>
                  <w:rFonts w:ascii="Arial;sans-serif" w:hAnsi="Arial;sans-serif"/>
                  <w:b w:val="false"/>
                  <w:color w:val="0000FF"/>
                  <w:sz w:val="16"/>
                  <w:u w:val="single"/>
                </w:rPr>
                <w:t>Condensed Consolidated Statements of Cash Flows for the Six Months Ended June 30, 2026 and 2025</w:t>
              </w:r>
            </w:hyperlink>
          </w:p>
        </w:tc>
        <w:tc>
          <w:tcPr>
            <w:tcW w:w="7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10b02758484c5b9569a0148d11c5b5_28">
              <w:r>
                <w:rPr>
                  <w:rStyle w:val="InternetLink"/>
                  <w:rFonts w:ascii="Arial;sans-serif" w:hAnsi="Arial;sans-serif"/>
                  <w:b w:val="false"/>
                  <w:strike w:val="false"/>
                  <w:dstrike w:val="false"/>
                  <w:color w:val="000000"/>
                  <w:sz w:val="16"/>
                  <w:u w:val="none"/>
                  <w:effect w:val="none"/>
                </w:rPr>
                <w:t>5</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710b02758484c5b9569a0148d11c5b5_31">
              <w:r>
                <w:rPr>
                  <w:rStyle w:val="InternetLink"/>
                  <w:rFonts w:ascii="Arial;sans-serif" w:hAnsi="Arial;sans-serif"/>
                  <w:b w:val="false"/>
                  <w:color w:val="0000FF"/>
                  <w:sz w:val="16"/>
                  <w:u w:val="single"/>
                </w:rPr>
                <w:t>Notes to Condensed Consolidated Financial Statements</w:t>
              </w:r>
            </w:hyperlink>
          </w:p>
        </w:tc>
        <w:tc>
          <w:tcPr>
            <w:tcW w:w="7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10b02758484c5b9569a0148d11c5b5_31">
              <w:r>
                <w:rPr>
                  <w:rStyle w:val="InternetLink"/>
                  <w:rFonts w:ascii="Arial;sans-serif" w:hAnsi="Arial;sans-serif"/>
                  <w:b w:val="false"/>
                  <w:strike w:val="false"/>
                  <w:dstrike w:val="false"/>
                  <w:color w:val="000000"/>
                  <w:sz w:val="16"/>
                  <w:u w:val="none"/>
                  <w:effect w:val="none"/>
                </w:rPr>
                <w:t>6</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2.</w:t>
            </w:r>
          </w:p>
        </w:tc>
        <w:tc>
          <w:tcPr>
            <w:tcW w:w="876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710b02758484c5b9569a0148d11c5b5_82">
              <w:r>
                <w:rPr>
                  <w:rStyle w:val="InternetLink"/>
                  <w:rFonts w:ascii="Arial;sans-serif" w:hAnsi="Arial;sans-serif"/>
                  <w:b w:val="false"/>
                  <w:color w:val="0000FF"/>
                  <w:sz w:val="16"/>
                  <w:u w:val="single"/>
                </w:rPr>
                <w:t>Management’s Discussion and Analysis of Financial Condition and Results of Operations</w:t>
              </w:r>
            </w:hyperlink>
          </w:p>
        </w:tc>
        <w:tc>
          <w:tcPr>
            <w:tcW w:w="7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10b02758484c5b9569a0148d11c5b5_82">
              <w:r>
                <w:rPr>
                  <w:rStyle w:val="InternetLink"/>
                  <w:rFonts w:ascii="Arial;sans-serif" w:hAnsi="Arial;sans-serif"/>
                  <w:b w:val="false"/>
                  <w:strike w:val="false"/>
                  <w:dstrike w:val="false"/>
                  <w:color w:val="000000"/>
                  <w:sz w:val="16"/>
                  <w:u w:val="none"/>
                  <w:effect w:val="none"/>
                </w:rPr>
                <w:t>26</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3.</w:t>
            </w:r>
          </w:p>
        </w:tc>
        <w:tc>
          <w:tcPr>
            <w:tcW w:w="8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10b02758484c5b9569a0148d11c5b5_124">
              <w:r>
                <w:rPr>
                  <w:rStyle w:val="InternetLink"/>
                  <w:rFonts w:ascii="Arial;sans-serif" w:hAnsi="Arial;sans-serif"/>
                  <w:b w:val="false"/>
                  <w:color w:val="0000FF"/>
                  <w:sz w:val="16"/>
                  <w:u w:val="single"/>
                </w:rPr>
                <w:t>Quantitative and Qualitative Disclosures about Market Risk</w:t>
              </w:r>
            </w:hyperlink>
          </w:p>
        </w:tc>
        <w:tc>
          <w:tcPr>
            <w:tcW w:w="7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10b02758484c5b9569a0148d11c5b5_124">
              <w:r>
                <w:rPr>
                  <w:rStyle w:val="InternetLink"/>
                  <w:rFonts w:ascii="Arial;sans-serif" w:hAnsi="Arial;sans-serif"/>
                  <w:b w:val="false"/>
                  <w:strike w:val="false"/>
                  <w:dstrike w:val="false"/>
                  <w:color w:val="000000"/>
                  <w:sz w:val="16"/>
                  <w:u w:val="none"/>
                  <w:effect w:val="none"/>
                </w:rPr>
                <w:t>48</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4.</w:t>
            </w:r>
          </w:p>
        </w:tc>
        <w:tc>
          <w:tcPr>
            <w:tcW w:w="8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10b02758484c5b9569a0148d11c5b5_127">
              <w:r>
                <w:rPr>
                  <w:rStyle w:val="InternetLink"/>
                  <w:rFonts w:ascii="Arial;sans-serif" w:hAnsi="Arial;sans-serif"/>
                  <w:b w:val="false"/>
                  <w:color w:val="0000FF"/>
                  <w:sz w:val="16"/>
                  <w:u w:val="single"/>
                </w:rPr>
                <w:t>Controls and Procedures</w:t>
              </w:r>
            </w:hyperlink>
          </w:p>
        </w:tc>
        <w:tc>
          <w:tcPr>
            <w:tcW w:w="7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10b02758484c5b9569a0148d11c5b5_127">
              <w:r>
                <w:rPr>
                  <w:rStyle w:val="InternetLink"/>
                  <w:rFonts w:ascii="Arial;sans-serif" w:hAnsi="Arial;sans-serif"/>
                  <w:b w:val="false"/>
                  <w:strike w:val="false"/>
                  <w:dstrike w:val="false"/>
                  <w:color w:val="000000"/>
                  <w:sz w:val="16"/>
                  <w:u w:val="none"/>
                  <w:effect w:val="none"/>
                </w:rPr>
                <w:t>48</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10b02758484c5b9569a0148d11c5b5_130">
              <w:r>
                <w:rPr>
                  <w:rStyle w:val="InternetLink"/>
                  <w:rFonts w:ascii="Arial;sans-serif" w:hAnsi="Arial;sans-serif"/>
                  <w:b/>
                  <w:color w:val="0000FF"/>
                  <w:sz w:val="16"/>
                  <w:u w:val="single"/>
                </w:rPr>
                <w:t>PART II</w:t>
              </w:r>
            </w:hyperlink>
          </w:p>
        </w:tc>
        <w:tc>
          <w:tcPr>
            <w:tcW w:w="8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INFORMATION</w:t>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w:t>
            </w:r>
          </w:p>
        </w:tc>
        <w:tc>
          <w:tcPr>
            <w:tcW w:w="8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10b02758484c5b9569a0148d11c5b5_133">
              <w:r>
                <w:rPr>
                  <w:rStyle w:val="InternetLink"/>
                  <w:rFonts w:ascii="Arial;sans-serif" w:hAnsi="Arial;sans-serif"/>
                  <w:b w:val="false"/>
                  <w:color w:val="0000FF"/>
                  <w:sz w:val="16"/>
                  <w:u w:val="single"/>
                </w:rPr>
                <w:t>Legal Proceedings</w:t>
              </w:r>
            </w:hyperlink>
          </w:p>
        </w:tc>
        <w:tc>
          <w:tcPr>
            <w:tcW w:w="7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10b02758484c5b9569a0148d11c5b5_133">
              <w:r>
                <w:rPr>
                  <w:rStyle w:val="InternetLink"/>
                  <w:rFonts w:ascii="Arial;sans-serif" w:hAnsi="Arial;sans-serif"/>
                  <w:b w:val="false"/>
                  <w:strike w:val="false"/>
                  <w:dstrike w:val="false"/>
                  <w:color w:val="000000"/>
                  <w:sz w:val="16"/>
                  <w:u w:val="none"/>
                  <w:effect w:val="none"/>
                </w:rPr>
                <w:t>49</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1A.</w:t>
            </w:r>
          </w:p>
        </w:tc>
        <w:tc>
          <w:tcPr>
            <w:tcW w:w="8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10b02758484c5b9569a0148d11c5b5_136">
              <w:r>
                <w:rPr>
                  <w:rStyle w:val="InternetLink"/>
                  <w:rFonts w:ascii="Arial;sans-serif" w:hAnsi="Arial;sans-serif"/>
                  <w:b w:val="false"/>
                  <w:color w:val="0000FF"/>
                  <w:sz w:val="16"/>
                  <w:u w:val="single"/>
                </w:rPr>
                <w:t>Risk Factors</w:t>
              </w:r>
            </w:hyperlink>
          </w:p>
        </w:tc>
        <w:tc>
          <w:tcPr>
            <w:tcW w:w="7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10b02758484c5b9569a0148d11c5b5_136">
              <w:r>
                <w:rPr>
                  <w:rStyle w:val="InternetLink"/>
                  <w:rFonts w:ascii="Arial;sans-serif" w:hAnsi="Arial;sans-serif"/>
                  <w:b w:val="false"/>
                  <w:strike w:val="false"/>
                  <w:dstrike w:val="false"/>
                  <w:color w:val="000000"/>
                  <w:sz w:val="16"/>
                  <w:u w:val="none"/>
                  <w:effect w:val="none"/>
                </w:rPr>
                <w:t>49</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2.</w:t>
            </w:r>
          </w:p>
        </w:tc>
        <w:tc>
          <w:tcPr>
            <w:tcW w:w="8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10b02758484c5b9569a0148d11c5b5_139">
              <w:r>
                <w:rPr>
                  <w:rStyle w:val="InternetLink"/>
                  <w:rFonts w:ascii="Arial;sans-serif" w:hAnsi="Arial;sans-serif"/>
                  <w:b w:val="false"/>
                  <w:color w:val="0000FF"/>
                  <w:sz w:val="16"/>
                  <w:u w:val="single"/>
                </w:rPr>
                <w:t>Unregistered Sales of Equity Securities and Use of Proceeds</w:t>
              </w:r>
            </w:hyperlink>
          </w:p>
        </w:tc>
        <w:tc>
          <w:tcPr>
            <w:tcW w:w="7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10b02758484c5b9569a0148d11c5b5_139">
              <w:r>
                <w:rPr>
                  <w:rStyle w:val="InternetLink"/>
                  <w:rFonts w:ascii="Arial;sans-serif" w:hAnsi="Arial;sans-serif"/>
                  <w:b w:val="false"/>
                  <w:strike w:val="false"/>
                  <w:dstrike w:val="false"/>
                  <w:color w:val="000000"/>
                  <w:sz w:val="16"/>
                  <w:u w:val="none"/>
                  <w:effect w:val="none"/>
                </w:rPr>
                <w:t>49</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5.</w:t>
            </w:r>
          </w:p>
        </w:tc>
        <w:tc>
          <w:tcPr>
            <w:tcW w:w="8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10b02758484c5b9569a0148d11c5b5_142">
              <w:r>
                <w:rPr>
                  <w:rStyle w:val="InternetLink"/>
                  <w:rFonts w:ascii="Arial;sans-serif" w:hAnsi="Arial;sans-serif"/>
                  <w:b w:val="false"/>
                  <w:color w:val="0000FF"/>
                  <w:sz w:val="16"/>
                  <w:u w:val="single"/>
                </w:rPr>
                <w:t>Other Information</w:t>
              </w:r>
            </w:hyperlink>
          </w:p>
        </w:tc>
        <w:tc>
          <w:tcPr>
            <w:tcW w:w="7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10b02758484c5b9569a0148d11c5b5_142">
              <w:r>
                <w:rPr>
                  <w:rStyle w:val="InternetLink"/>
                  <w:rFonts w:ascii="Arial;sans-serif" w:hAnsi="Arial;sans-serif"/>
                  <w:b w:val="false"/>
                  <w:strike w:val="false"/>
                  <w:dstrike w:val="false"/>
                  <w:color w:val="000000"/>
                  <w:sz w:val="16"/>
                  <w:u w:val="none"/>
                  <w:effect w:val="none"/>
                </w:rPr>
                <w:t>49</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6.</w:t>
            </w:r>
          </w:p>
        </w:tc>
        <w:tc>
          <w:tcPr>
            <w:tcW w:w="8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10b02758484c5b9569a0148d11c5b5_148">
              <w:r>
                <w:rPr>
                  <w:rStyle w:val="InternetLink"/>
                  <w:rFonts w:ascii="Arial;sans-serif" w:hAnsi="Arial;sans-serif"/>
                  <w:b w:val="false"/>
                  <w:color w:val="0000FF"/>
                  <w:sz w:val="16"/>
                  <w:u w:val="single"/>
                </w:rPr>
                <w:t>Exhibits</w:t>
              </w:r>
            </w:hyperlink>
          </w:p>
        </w:tc>
        <w:tc>
          <w:tcPr>
            <w:tcW w:w="7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10b02758484c5b9569a0148d11c5b5_148">
              <w:r>
                <w:rPr>
                  <w:rStyle w:val="InternetLink"/>
                  <w:rFonts w:ascii="Arial;sans-serif" w:hAnsi="Arial;sans-serif"/>
                  <w:b w:val="false"/>
                  <w:strike w:val="false"/>
                  <w:dstrike w:val="false"/>
                  <w:color w:val="000000"/>
                  <w:sz w:val="16"/>
                  <w:u w:val="none"/>
                  <w:effect w:val="none"/>
                </w:rPr>
                <w:t>50</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3"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710b02758484c5b9569a0148d11c5b5_151">
              <w:r>
                <w:rPr>
                  <w:rStyle w:val="InternetLink"/>
                  <w:rFonts w:ascii="Arial;sans-serif" w:hAnsi="Arial;sans-serif"/>
                  <w:b w:val="false"/>
                  <w:color w:val="0000FF"/>
                  <w:sz w:val="16"/>
                  <w:u w:val="single"/>
                </w:rPr>
                <w:t>Signature</w:t>
              </w:r>
            </w:hyperlink>
          </w:p>
        </w:tc>
        <w:tc>
          <w:tcPr>
            <w:tcW w:w="7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10b02758484c5b9569a0148d11c5b5_151">
              <w:r>
                <w:rPr>
                  <w:rStyle w:val="InternetLink"/>
                  <w:rFonts w:ascii="Arial;sans-serif" w:hAnsi="Arial;sans-serif"/>
                  <w:b w:val="false"/>
                  <w:strike w:val="false"/>
                  <w:dstrike w:val="false"/>
                  <w:color w:val="000000"/>
                  <w:sz w:val="16"/>
                  <w:u w:val="none"/>
                  <w:effect w:val="none"/>
                </w:rPr>
                <w:t>51</w:t>
              </w:r>
            </w:hyperlink>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 this report, for all periods presented, “we,” “us,” “our,” “the Company” and “Mondelēz International” refer to Mondelēz International, Inc. and subsidiaries. References to “Common Stock” refer to our Class A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92785"/>
                <wp:effectExtent l="0" t="0" r="0" b="0"/>
                <wp:wrapNone/>
                <wp:docPr id="3" name="Frame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14325" cy="209550"/>
                                                </a:xfrm>
                                                <a:prstGeom prst="rect">
                                                  <a:avLst/>
                                                </a:prstGeom>
                                              </pic:spPr>
                                            </pic:pic>
                                          </a:graphicData>
                                        </a:graphic>
                                      </wp:inline>
                                    </w:drawing>
                                  </w:r>
                                  <w:bookmarkStart w:id="1" w:name="i-2"/>
                                  <w:bookmarkEnd w:id="1"/>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314325" cy="209550"/>
                                          </a:xfrm>
                                          <a:prstGeom prst="rect">
                                            <a:avLst/>
                                          </a:prstGeom>
                                        </pic:spPr>
                                      </pic:pic>
                                    </a:graphicData>
                                  </a:graphic>
                                </wp:inline>
                              </w:drawing>
                            </w:r>
                            <w:bookmarkStart w:id="2" w:name="i-2"/>
                            <w:bookmarkEnd w:id="2"/>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Earnings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per share data)</w:t>
      </w:r>
    </w:p>
    <w:p>
      <w:pPr>
        <w:pStyle w:val="TextBody"/>
        <w:bidi w:val="0"/>
        <w:spacing w:lineRule="auto" w:line="288" w:before="0" w:after="0"/>
        <w:jc w:val="center"/>
        <w:rPr/>
      </w:pPr>
      <w:r>
        <w:rPr>
          <w:rFonts w:ascii="Arial;sans-serif" w:hAnsi="Arial;sans-serif"/>
          <w:b/>
          <w:color w:val="000000"/>
          <w:sz w:val="20"/>
        </w:rPr>
        <w:t>(Unaudited)</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816"/>
        <w:gridCol w:w="1590"/>
        <w:gridCol w:w="1605"/>
        <w:gridCol w:w="219"/>
        <w:gridCol w:w="673"/>
        <w:gridCol w:w="113"/>
        <w:gridCol w:w="113"/>
        <w:gridCol w:w="113"/>
        <w:gridCol w:w="113"/>
        <w:gridCol w:w="219"/>
        <w:gridCol w:w="673"/>
        <w:gridCol w:w="113"/>
        <w:gridCol w:w="109"/>
        <w:gridCol w:w="109"/>
        <w:gridCol w:w="109"/>
        <w:gridCol w:w="211"/>
        <w:gridCol w:w="751"/>
        <w:gridCol w:w="109"/>
        <w:gridCol w:w="109"/>
        <w:gridCol w:w="109"/>
        <w:gridCol w:w="109"/>
        <w:gridCol w:w="211"/>
        <w:gridCol w:w="751"/>
        <w:gridCol w:w="158"/>
      </w:tblGrid>
      <w:tr>
        <w:trPr/>
        <w:tc>
          <w:tcPr>
            <w:tcW w:w="181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5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18,297 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 impairments and exit costs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divestiture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Benefit plan non-service income/(expense)</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5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equity method investment transactions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 net earnings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Noncontrolling interest earnings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earnings attributable to Mondelēz International</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 share data:</w:t>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Basic earnings per share attributable to Mondelēz International</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Diluted earnings per share attributable to Mondelēz International</w:t>
            </w:r>
          </w:p>
        </w:tc>
        <w:tc>
          <w:tcPr>
            <w:tcW w:w="2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0.49 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0.80 </w:t>
            </w:r>
          </w:p>
        </w:tc>
        <w:tc>
          <w:tcPr>
            <w:tcW w:w="1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92785"/>
                <wp:effectExtent l="0" t="0" r="0" b="0"/>
                <wp:wrapNone/>
                <wp:docPr id="6" name="Frame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314325" cy="209550"/>
                                                </a:xfrm>
                                                <a:prstGeom prst="rect">
                                                  <a:avLst/>
                                                </a:prstGeom>
                                              </pic:spPr>
                                            </pic:pic>
                                          </a:graphicData>
                                        </a:graphic>
                                      </wp:inline>
                                    </w:drawing>
                                  </w:r>
                                  <w:bookmarkStart w:id="3" w:name="i-3"/>
                                  <w:bookmarkEnd w:id="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314325" cy="209550"/>
                                          </a:xfrm>
                                          <a:prstGeom prst="rect">
                                            <a:avLst/>
                                          </a:prstGeom>
                                        </pic:spPr>
                                      </pic:pic>
                                    </a:graphicData>
                                  </a:graphic>
                                </wp:inline>
                              </w:drawing>
                            </w:r>
                            <w:bookmarkStart w:id="4" w:name="i-3"/>
                            <w:bookmarkEnd w:id="4"/>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Earnings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00"/>
        <w:gridCol w:w="1657"/>
        <w:gridCol w:w="1680"/>
        <w:gridCol w:w="218"/>
        <w:gridCol w:w="668"/>
        <w:gridCol w:w="112"/>
        <w:gridCol w:w="112"/>
        <w:gridCol w:w="112"/>
        <w:gridCol w:w="112"/>
        <w:gridCol w:w="218"/>
        <w:gridCol w:w="668"/>
        <w:gridCol w:w="112"/>
        <w:gridCol w:w="109"/>
        <w:gridCol w:w="109"/>
        <w:gridCol w:w="109"/>
        <w:gridCol w:w="211"/>
        <w:gridCol w:w="646"/>
        <w:gridCol w:w="109"/>
        <w:gridCol w:w="109"/>
        <w:gridCol w:w="109"/>
        <w:gridCol w:w="109"/>
        <w:gridCol w:w="211"/>
        <w:gridCol w:w="646"/>
        <w:gridCol w:w="159"/>
      </w:tblGrid>
      <w:tr>
        <w:trPr/>
        <w:tc>
          <w:tcPr>
            <w:tcW w:w="1900"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52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earnings/(losses), net of tax:</w:t>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other benefit plans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cash flow hedges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earnings/(losses)</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Comprehensive earnings</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Comprehensive earnings/(losses) attributable to noncontrolling interests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Comprehensive earnings attributable to Mondelēz International</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92785"/>
                <wp:effectExtent l="0" t="0" r="0" b="0"/>
                <wp:wrapNone/>
                <wp:docPr id="9" name="Frame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314325" cy="209550"/>
                                                </a:xfrm>
                                                <a:prstGeom prst="rect">
                                                  <a:avLst/>
                                                </a:prstGeom>
                                              </pic:spPr>
                                            </pic:pic>
                                          </a:graphicData>
                                        </a:graphic>
                                      </wp:inline>
                                    </w:drawing>
                                  </w:r>
                                  <w:bookmarkStart w:id="5" w:name="i-4"/>
                                  <w:bookmarkEnd w:id="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314325" cy="209550"/>
                                          </a:xfrm>
                                          <a:prstGeom prst="rect">
                                            <a:avLst/>
                                          </a:prstGeom>
                                        </pic:spPr>
                                      </pic:pic>
                                    </a:graphicData>
                                  </a:graphic>
                                </wp:inline>
                              </w:drawing>
                            </w:r>
                            <w:bookmarkStart w:id="6" w:name="i-4"/>
                            <w:bookmarkEnd w:id="6"/>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59"/>
        <w:gridCol w:w="2285"/>
        <w:gridCol w:w="2317"/>
        <w:gridCol w:w="211"/>
        <w:gridCol w:w="751"/>
        <w:gridCol w:w="109"/>
        <w:gridCol w:w="109"/>
        <w:gridCol w:w="109"/>
        <w:gridCol w:w="109"/>
        <w:gridCol w:w="291"/>
        <w:gridCol w:w="1039"/>
        <w:gridCol w:w="216"/>
      </w:tblGrid>
      <w:tr>
        <w:trPr/>
        <w:tc>
          <w:tcPr>
            <w:tcW w:w="2659"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Trade receivables, less allowance ($30 and $35, respectively)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receivables, less allowance ($35 and $35, respectively)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19,628 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pension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71,487 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borrowings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employment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21,864 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operating lease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pension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postretirement health care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45,596 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8)</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no par value (5,000,000,000 shares authorized, 1,996,537,778 shares issued)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32,322 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(11,364)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(716,000,458 and 714,961,364 shares, respectively)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(31,533)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Mondelēz International Shareholders’ Equity</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25,838 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25,891 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71,487 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92785"/>
                <wp:effectExtent l="0" t="0" r="0" b="0"/>
                <wp:wrapNone/>
                <wp:docPr id="12" name="Frame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314325" cy="209550"/>
                                                </a:xfrm>
                                                <a:prstGeom prst="rect">
                                                  <a:avLst/>
                                                </a:prstGeom>
                                              </pic:spPr>
                                            </pic:pic>
                                          </a:graphicData>
                                        </a:graphic>
                                      </wp:inline>
                                    </w:drawing>
                                  </w:r>
                                  <w:bookmarkStart w:id="7" w:name="i-5"/>
                                  <w:bookmarkEnd w:id="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10"/>
                                          <a:stretch>
                                            <a:fillRect/>
                                          </a:stretch>
                                        </pic:blipFill>
                                        <pic:spPr bwMode="auto">
                                          <a:xfrm>
                                            <a:off x="0" y="0"/>
                                            <a:ext cx="314325" cy="209550"/>
                                          </a:xfrm>
                                          <a:prstGeom prst="rect">
                                            <a:avLst/>
                                          </a:prstGeom>
                                        </pic:spPr>
                                      </pic:pic>
                                    </a:graphicData>
                                  </a:graphic>
                                </wp:inline>
                              </w:drawing>
                            </w:r>
                            <w:bookmarkStart w:id="8" w:name="i-5"/>
                            <w:bookmarkEnd w:id="8"/>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73"/>
        <w:gridCol w:w="539"/>
        <w:gridCol w:w="545"/>
        <w:gridCol w:w="181"/>
        <w:gridCol w:w="406"/>
        <w:gridCol w:w="109"/>
        <w:gridCol w:w="109"/>
        <w:gridCol w:w="109"/>
        <w:gridCol w:w="109"/>
        <w:gridCol w:w="181"/>
        <w:gridCol w:w="571"/>
        <w:gridCol w:w="109"/>
        <w:gridCol w:w="109"/>
        <w:gridCol w:w="109"/>
        <w:gridCol w:w="109"/>
        <w:gridCol w:w="181"/>
        <w:gridCol w:w="571"/>
        <w:gridCol w:w="109"/>
        <w:gridCol w:w="109"/>
        <w:gridCol w:w="109"/>
        <w:gridCol w:w="109"/>
        <w:gridCol w:w="230"/>
        <w:gridCol w:w="726"/>
        <w:gridCol w:w="140"/>
        <w:gridCol w:w="109"/>
        <w:gridCol w:w="109"/>
        <w:gridCol w:w="109"/>
        <w:gridCol w:w="181"/>
        <w:gridCol w:w="593"/>
        <w:gridCol w:w="109"/>
        <w:gridCol w:w="109"/>
        <w:gridCol w:w="109"/>
        <w:gridCol w:w="109"/>
        <w:gridCol w:w="331"/>
        <w:gridCol w:w="550"/>
        <w:gridCol w:w="200"/>
        <w:gridCol w:w="109"/>
        <w:gridCol w:w="109"/>
        <w:gridCol w:w="109"/>
        <w:gridCol w:w="181"/>
        <w:gridCol w:w="571"/>
        <w:gridCol w:w="156"/>
      </w:tblGrid>
      <w:tr>
        <w:trPr/>
        <w:tc>
          <w:tcPr>
            <w:tcW w:w="7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Mondelēz International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w:t>
              <w:br/>
              <w:t>Comprehensive</w:t>
              <w:br/>
              <w:t>Earnings/</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Equity</w:t>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Three Months Ended June 30, 2026</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April 1, 2026</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(11,406)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Exercise of stock options and issuance of</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Cash dividends declared ($0.500 per share)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Dividends paid on noncontrolling interest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and other activities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June 30, 2026</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(11,283)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Six Months Ended June 30, 2026</w:t>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January 1, 2026</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(11,364)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Exercise of stock options and issuance of</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Cash dividends declared ($1.000 per share)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Dividends paid on noncontrolling interest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and other activities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June 30, 2026</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(11,283)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Three Months Ended June 30, 2025</w:t>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April 1, 2025</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(11,979)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Exercise of stock options and issuance of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Cash dividends declared ($0.470 per share)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Dividends paid on noncontrolling interest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and other activities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June 30, 2025</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(11,561)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Six Months Ended June 30, 2025</w:t>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January 1, 2025</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(12,471)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Exercise of stock options and issuance of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Cash dividends declared ($0.940 per share)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Dividends paid on noncontrolling interest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and other activities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June 30, 2025</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(11,561)</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26,247 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92785"/>
                <wp:effectExtent l="0" t="0" r="0" b="0"/>
                <wp:wrapNone/>
                <wp:docPr id="15" name="Frame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314325" cy="209550"/>
                                                </a:xfrm>
                                                <a:prstGeom prst="rect">
                                                  <a:avLst/>
                                                </a:prstGeom>
                                              </pic:spPr>
                                            </pic:pic>
                                          </a:graphicData>
                                        </a:graphic>
                                      </wp:inline>
                                    </w:drawing>
                                  </w:r>
                                  <w:bookmarkStart w:id="9" w:name="i-6"/>
                                  <w:bookmarkEnd w:id="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2"/>
                                          <a:stretch>
                                            <a:fillRect/>
                                          </a:stretch>
                                        </pic:blipFill>
                                        <pic:spPr bwMode="auto">
                                          <a:xfrm>
                                            <a:off x="0" y="0"/>
                                            <a:ext cx="314325" cy="209550"/>
                                          </a:xfrm>
                                          <a:prstGeom prst="rect">
                                            <a:avLst/>
                                          </a:prstGeom>
                                        </pic:spPr>
                                      </pic:pic>
                                    </a:graphicData>
                                  </a:graphic>
                                </wp:inline>
                              </w:drawing>
                            </w:r>
                            <w:bookmarkStart w:id="10" w:name="i-6"/>
                            <w:bookmarkEnd w:id="10"/>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8724" w:type="dxa"/>
        <w:jc w:val="left"/>
        <w:tblInd w:w="0" w:type="dxa"/>
        <w:tblLayout w:type="fixed"/>
        <w:tblCellMar>
          <w:top w:w="28" w:type="dxa"/>
          <w:left w:w="28" w:type="dxa"/>
          <w:bottom w:w="28" w:type="dxa"/>
          <w:right w:w="28" w:type="dxa"/>
        </w:tblCellMar>
      </w:tblPr>
      <w:tblGrid>
        <w:gridCol w:w="2344"/>
        <w:gridCol w:w="2062"/>
        <w:gridCol w:w="2074"/>
        <w:gridCol w:w="211"/>
        <w:gridCol w:w="616"/>
        <w:gridCol w:w="109"/>
        <w:gridCol w:w="109"/>
        <w:gridCol w:w="109"/>
        <w:gridCol w:w="109"/>
        <w:gridCol w:w="211"/>
        <w:gridCol w:w="616"/>
        <w:gridCol w:w="154"/>
      </w:tblGrid>
      <w:tr>
        <w:trPr/>
        <w:tc>
          <w:tcPr>
            <w:tcW w:w="2344"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BY/(USED IN)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earnings to operating cash flows: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income tax provision/(benefit)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impairments and accelerated 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on divestiture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on equity method investment transactions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 net earnings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from equity method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(gain)/loss on derivative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Contingent consideration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items,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Change in assets and liabilities, </w:t>
              <w:br/>
              <w:t>   net of acquisitions and divestitures: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pension and postretirement assets and liabilities,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BY/(USED IN) 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net of cash received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divestitures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derivative settlements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Payments for derivative settlements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sales of property, plant and equipment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BY/(USED IN) 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Issuances of commercial paper, maturities greater than 90 days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commercial paper, maturities greater than 90 days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(repayment)/issuance of short-term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proceeds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repayments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(Decrease)/increase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692785"/>
                <wp:effectExtent l="0" t="0" r="0" b="0"/>
                <wp:wrapNone/>
                <wp:docPr id="18" name="Frame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314325" cy="209550"/>
                                                </a:xfrm>
                                                <a:prstGeom prst="rect">
                                                  <a:avLst/>
                                                </a:prstGeom>
                                              </pic:spPr>
                                            </pic:pic>
                                          </a:graphicData>
                                        </a:graphic>
                                      </wp:inline>
                                    </w:drawing>
                                  </w:r>
                                  <w:bookmarkStart w:id="11" w:name="i-7"/>
                                  <w:bookmarkEnd w:id="1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4"/>
                                          <a:stretch>
                                            <a:fillRect/>
                                          </a:stretch>
                                        </pic:blipFill>
                                        <pic:spPr bwMode="auto">
                                          <a:xfrm>
                                            <a:off x="0" y="0"/>
                                            <a:ext cx="314325" cy="209550"/>
                                          </a:xfrm>
                                          <a:prstGeom prst="rect">
                                            <a:avLst/>
                                          </a:prstGeom>
                                        </pic:spPr>
                                      </pic:pic>
                                    </a:graphicData>
                                  </a:graphic>
                                </wp:inline>
                              </w:drawing>
                            </w:r>
                            <w:bookmarkStart w:id="12" w:name="i-7"/>
                            <w:bookmarkEnd w:id="12"/>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1. Basis of Presentation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Principles of Consolidation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in common stock or in-substance common stock over which we exercise significant influence under the equity method of accounting.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Highly Inflationary Accounting</w:t>
      </w:r>
    </w:p>
    <w:p>
      <w:pPr>
        <w:pStyle w:val="TextBody"/>
        <w:bidi w:val="0"/>
        <w:spacing w:lineRule="auto" w:line="288" w:before="0" w:after="0"/>
        <w:jc w:val="both"/>
        <w:rPr/>
      </w:pPr>
      <w:r>
        <w:rPr>
          <w:rFonts w:ascii="Arial;sans-serif" w:hAnsi="Arial;sans-serif"/>
          <w:b w:val="false"/>
          <w:color w:val="000000"/>
          <w:sz w:val="20"/>
        </w:rPr>
        <w:t>As of June 30, 2026, our consolidated entities in Argentina, Türkiye, Egypt and Nigeria</w:t>
      </w:r>
      <w:r>
        <w:rPr>
          <w:color w:val="000000"/>
        </w:rPr>
        <w:t xml:space="preserve"> </w:t>
      </w:r>
      <w:r>
        <w:rPr>
          <w:rFonts w:ascii="Arial;sans-serif" w:hAnsi="Arial;sans-serif"/>
          <w:b w:val="false"/>
          <w:color w:val="000000"/>
          <w:sz w:val="20"/>
        </w:rPr>
        <w:t>are operating in highly inflationary economies and represent 1.6%, 0.5%, 0.5%</w:t>
      </w:r>
      <w:r>
        <w:rPr>
          <w:color w:val="000000"/>
        </w:rPr>
        <w:t xml:space="preserve"> </w:t>
      </w:r>
      <w:r>
        <w:rPr>
          <w:rFonts w:ascii="Arial;sans-serif" w:hAnsi="Arial;sans-serif"/>
          <w:b w:val="false"/>
          <w:color w:val="000000"/>
          <w:sz w:val="20"/>
        </w:rPr>
        <w:t>and 0.3%, respectively,</w:t>
      </w:r>
      <w:r>
        <w:rPr>
          <w:color w:val="000000"/>
        </w:rPr>
        <w:t xml:space="preserve"> </w:t>
      </w:r>
      <w:r>
        <w:rPr>
          <w:rFonts w:ascii="Arial;sans-serif" w:hAnsi="Arial;sans-serif"/>
          <w:b w:val="false"/>
          <w:color w:val="000000"/>
          <w:sz w:val="20"/>
        </w:rPr>
        <w:t>of our consolidated net revenues for the three months ended June 30, 2026 and 1.4%, 0.5%, 0.5% and 0.3% of our consolidated net revenues for the six months ended June 30, 2026. The aggregate losses from remeasurements of monetary assets and liabilities into our reporting currency for the highly inflationary countries were $11 million and $8 million for the three months ended June 30, 2026 and 2025, respectively, and $16 million and $15 million for the six months ended June 30, 2026 and 2025, respectively. Given the continued volatility of these currencies, impacts to our financial statements in future periods could be significantly different from historical levels.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Cash Equivalents and Restricted Cash</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Cash and cash equivalents include demand deposits with banks and all highly liquid investments with original maturities of three months or less. Restricted cash primarily includes cash held on behalf of financial institutions in accordance with accounts receivable factoring arrangements and letters of credit arrangements with legally restricted cash collateral provisions. Restricted cash is recorded within other current assets and was $43 million as of June 30, 2026 and $70 million as of December 31, 2025. Total cash, cash equivalents and restricted cash was $1,759 million as of June 30, 2026 and $2,195 million as of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Allowances for Credit Losses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allowances for credit losses consisted of:</w:t>
      </w:r>
    </w:p>
    <w:tbl>
      <w:tblPr>
        <w:tblW w:w="10205" w:type="dxa"/>
        <w:jc w:val="center"/>
        <w:tblInd w:w="0" w:type="dxa"/>
        <w:tblLayout w:type="fixed"/>
        <w:tblCellMar>
          <w:top w:w="28" w:type="dxa"/>
          <w:left w:w="28" w:type="dxa"/>
          <w:bottom w:w="28" w:type="dxa"/>
          <w:right w:w="28" w:type="dxa"/>
        </w:tblCellMar>
      </w:tblPr>
      <w:tblGrid>
        <w:gridCol w:w="1171"/>
        <w:gridCol w:w="784"/>
        <w:gridCol w:w="787"/>
        <w:gridCol w:w="616"/>
        <w:gridCol w:w="1099"/>
        <w:gridCol w:w="321"/>
        <w:gridCol w:w="109"/>
        <w:gridCol w:w="109"/>
        <w:gridCol w:w="109"/>
        <w:gridCol w:w="733"/>
        <w:gridCol w:w="1309"/>
        <w:gridCol w:w="383"/>
        <w:gridCol w:w="109"/>
        <w:gridCol w:w="109"/>
        <w:gridCol w:w="109"/>
        <w:gridCol w:w="667"/>
        <w:gridCol w:w="1189"/>
        <w:gridCol w:w="492"/>
      </w:tblGrid>
      <w:tr>
        <w:trPr/>
        <w:tc>
          <w:tcPr>
            <w:tcW w:w="117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Trade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Other Current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Long-Term Receivables</w:t>
            </w:r>
          </w:p>
        </w:tc>
      </w:tr>
      <w:tr>
        <w:trPr/>
        <w:tc>
          <w:tcPr>
            <w:tcW w:w="27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2026</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recovery for expected credit losses</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vAlign w:val="center"/>
          </w:tcPr>
          <w:p>
            <w:pPr>
              <w:pStyle w:val="TableContents"/>
              <w:bidi w:val="0"/>
              <w:spacing w:before="0" w:after="283"/>
              <w:jc w:val="left"/>
              <w:rPr>
                <w:sz w:val="4"/>
                <w:szCs w:val="4"/>
              </w:rPr>
            </w:pPr>
            <w:r>
              <w:rPr>
                <w:sz w:val="4"/>
                <w:szCs w:val="4"/>
              </w:rPr>
            </w:r>
          </w:p>
        </w:tc>
        <w:tc>
          <w:tcPr>
            <w:tcW w:w="2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8" w:type="dxa"/>
            <w:gridSpan w:val="3"/>
            <w:tcBorders/>
            <w:vAlign w:val="center"/>
          </w:tcPr>
          <w:p>
            <w:pPr>
              <w:pStyle w:val="TableContents"/>
              <w:bidi w:val="0"/>
              <w:spacing w:before="0" w:after="283"/>
              <w:jc w:val="left"/>
              <w:rPr>
                <w:sz w:val="4"/>
                <w:szCs w:val="4"/>
              </w:rPr>
            </w:pPr>
            <w:r>
              <w:rPr>
                <w:sz w:val="4"/>
                <w:szCs w:val="4"/>
              </w:rPr>
            </w:r>
          </w:p>
        </w:tc>
      </w:tr>
      <w:tr>
        <w:trPr/>
        <w:tc>
          <w:tcPr>
            <w:tcW w:w="2742" w:type="dxa"/>
            <w:gridSpan w:val="3"/>
            <w:tcBorders/>
            <w:vAlign w:val="center"/>
          </w:tcPr>
          <w:p>
            <w:pPr>
              <w:pStyle w:val="TableContents"/>
              <w:bidi w:val="0"/>
              <w:spacing w:before="0" w:after="283"/>
              <w:jc w:val="left"/>
              <w:rPr>
                <w:sz w:val="4"/>
                <w:szCs w:val="4"/>
              </w:rPr>
            </w:pPr>
            <w:r>
              <w:rPr>
                <w:sz w:val="4"/>
                <w:szCs w:val="4"/>
              </w:rPr>
            </w:r>
          </w:p>
        </w:tc>
        <w:tc>
          <w:tcPr>
            <w:tcW w:w="2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8" w:type="dxa"/>
            <w:gridSpan w:val="3"/>
            <w:tcBorders/>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 and other</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Transfers of Financial Assets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outstanding principal amount of receivables under our uncommitted revolving non-recourse accounts receivable factoring arrangements amounted to $585 million as of June 30, 2026 and $674 million as of December 31, 2025. The incremental costs of factoring receivables under these arrangements were recorded in selling, general and administrative expenses in the condensed consolidated statements of earnings and were not material for all periods presented. The proceeds from the sales of receivables are included in cash from operating activities in the condensed consolidated statements of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92785"/>
                <wp:effectExtent l="0" t="0" r="0" b="0"/>
                <wp:wrapNone/>
                <wp:docPr id="21" name="Frame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314325" cy="209550"/>
                                                </a:xfrm>
                                                <a:prstGeom prst="rect">
                                                  <a:avLst/>
                                                </a:prstGeom>
                                              </pic:spPr>
                                            </pic:pic>
                                          </a:graphicData>
                                        </a:graphic>
                                      </wp:inline>
                                    </w:drawing>
                                  </w:r>
                                  <w:bookmarkStart w:id="13" w:name="i-8"/>
                                  <w:bookmarkEnd w:id="1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6"/>
                                          <a:stretch>
                                            <a:fillRect/>
                                          </a:stretch>
                                        </pic:blipFill>
                                        <pic:spPr bwMode="auto">
                                          <a:xfrm>
                                            <a:off x="0" y="0"/>
                                            <a:ext cx="314325" cy="209550"/>
                                          </a:xfrm>
                                          <a:prstGeom prst="rect">
                                            <a:avLst/>
                                          </a:prstGeom>
                                        </pic:spPr>
                                      </pic:pic>
                                    </a:graphicData>
                                  </a:graphic>
                                </wp:inline>
                              </w:drawing>
                            </w:r>
                            <w:bookmarkStart w:id="14" w:name="i-8"/>
                            <w:bookmarkEnd w:id="14"/>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Non-Cash Lease Transactions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recorded $105 million in operating lease and $102 million in finance lease right-of-use assets obtained in exchange for lease obligations during the six months ended June 30, 2026 and $71 million in operating lease and $94 million in finance lease right-of-use assets obtained in exchange for lease obligations during the six months ended June 30,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Supply Chain Financing</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part of our continued efforts to improve our working capital efficiency, we have worked with our suppliers over the past several years to optimize our terms and conditions, which include the extension of payment terms. We also facilitate voluntary supply chain financing (“SCF”) programs through several participating financial institutions. Amounts due to our suppliers that elected to participate in the SCF program are included in accounts payable in our condensed consolidated balance sheets. Our outstanding obligations confirmed as valid under our SCF program are $2.9 billion and $3.6 billion as of June 30, 2026 and December 31, 2025,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New Accounting Pronouncements - Adopted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July 2025, the FASB issued an ASU which introduces a practical expedient that allows entities to measure expected credit losses on current accounts receivable and current contract assets by assuming that the conditions existing at the balance sheet date remain unchanged over the remaining life of those assets. The guidance is intended to simplify the application of the current expected credit loss model by reducing the need to develop forward-looking forecasts for short-term trade receivables. We adopted the practical expedient on a prospective basis during the quarter ended March 31, 2026 and the impact on our consolidated financial statements was not material.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September 2025, the FASB issued an ASU that refines the scope of derivative accounting by introducing a new exception for contracts whose underlyings are based on the operations or activities of one of the parties among other updates. The ASU is effective for interim and annual periods beginning after December 15, 2026, with early adoption permitted. The guidance may be applied either on a prospective or modified retrospective basis. We early adopted the ASU on a modified retrospective basis effective January 1, 2026, and there was no impact on our consolidated financial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New Accounting Pronouncements - Not Yet Adopted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November 2024, the FASB issued an ASU that will require incremental disclosures in the notes to the financial statements to disaggregate income statement expense line items into specified expense categories and to provide additional information about certain expenses. The ASU is effective for the first annual reporting period beginning after December 15, 2026 and for interim reporting periods within annual reporting periods beginning after December 15, 2027. Early adoption is permitted. The guidance may be applied either on a prospective or retrospective basis. We currently expect to adopt the guidance when it becomes effective, for our annual reporting for the year ending December 31, 2027 and for our interim reporting in the first quarter of 2028. We are currently assessing the impact on our consolidated financial statements and related disclosures, as well as whether we will adopt the guidance on a prospective or retrospective basis.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September 2025, the FASB issued an ASU that improves the accounting for internal-use software by replacing the previous capitalization guidance, which focused on a project's stage of development, with a principles-based "probable-to-complete" recognition threshold. The ASU is effective for interim and annual periods beginning after December 15, 2027, with early adoption permitted. The guidance may be applied on a prospective or retrospective basis. We are currently assessing the impact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December 2025, the FASB issued an ASU that establishes accounting guidance for government grants received by a business entity, including grants related to an asset and grants related to income. The ASU is effective for interim and annual periods beginning after December 15, 2028, with early adoption permitted. The guidance may be applied on a modified prospective, modified retrospective or retrospective basis. We are currently assessing the impact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May 2026, the FASB issued an ASU that establishes guidance for the recognition, measurement, presentation and disclosure of environmental credits and environmental credit obligations. The ASU is effective for annual periods beginning after December 15, 2027, with early adoption permitted. The guidance must be applied retrospectively. We are currently assessing the impact on our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92785"/>
                <wp:effectExtent l="0" t="0" r="0" b="0"/>
                <wp:wrapNone/>
                <wp:docPr id="24" name="Frame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314325" cy="209550"/>
                                                </a:xfrm>
                                                <a:prstGeom prst="rect">
                                                  <a:avLst/>
                                                </a:prstGeom>
                                              </pic:spPr>
                                            </pic:pic>
                                          </a:graphicData>
                                        </a:graphic>
                                      </wp:inline>
                                    </w:drawing>
                                  </w:r>
                                  <w:bookmarkStart w:id="15" w:name="i-9"/>
                                  <w:bookmarkEnd w:id="1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8"/>
                                          <a:stretch>
                                            <a:fillRect/>
                                          </a:stretch>
                                        </pic:blipFill>
                                        <pic:spPr bwMode="auto">
                                          <a:xfrm>
                                            <a:off x="0" y="0"/>
                                            <a:ext cx="314325" cy="209550"/>
                                          </a:xfrm>
                                          <a:prstGeom prst="rect">
                                            <a:avLst/>
                                          </a:prstGeom>
                                        </pic:spPr>
                                      </pic:pic>
                                    </a:graphicData>
                                  </a:graphic>
                                </wp:inline>
                              </w:drawing>
                            </w:r>
                            <w:bookmarkStart w:id="16" w:name="i-9"/>
                            <w:bookmarkEnd w:id="16"/>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2. Inventories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Inventories consisted of the following:</w:t>
      </w:r>
    </w:p>
    <w:tbl>
      <w:tblPr>
        <w:tblW w:w="5200" w:type="dxa"/>
        <w:jc w:val="left"/>
        <w:tblInd w:w="0" w:type="dxa"/>
        <w:tblLayout w:type="fixed"/>
        <w:tblCellMar>
          <w:top w:w="28" w:type="dxa"/>
          <w:left w:w="28" w:type="dxa"/>
          <w:bottom w:w="28" w:type="dxa"/>
          <w:right w:w="28" w:type="dxa"/>
        </w:tblCellMar>
      </w:tblPr>
      <w:tblGrid>
        <w:gridCol w:w="565"/>
        <w:gridCol w:w="496"/>
        <w:gridCol w:w="499"/>
        <w:gridCol w:w="268"/>
        <w:gridCol w:w="823"/>
        <w:gridCol w:w="138"/>
        <w:gridCol w:w="109"/>
        <w:gridCol w:w="109"/>
        <w:gridCol w:w="109"/>
        <w:gridCol w:w="435"/>
        <w:gridCol w:w="1332"/>
        <w:gridCol w:w="317"/>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product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Inventories</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4,419 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3. Property, Plant and Equipment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plant and equipment consisted of the following:</w:t>
      </w:r>
    </w:p>
    <w:tbl>
      <w:tblPr>
        <w:tblW w:w="6941" w:type="dxa"/>
        <w:jc w:val="center"/>
        <w:tblInd w:w="0" w:type="dxa"/>
        <w:tblLayout w:type="fixed"/>
        <w:tblCellMar>
          <w:top w:w="28" w:type="dxa"/>
          <w:left w:w="28" w:type="dxa"/>
          <w:bottom w:w="28" w:type="dxa"/>
          <w:right w:w="28" w:type="dxa"/>
        </w:tblCellMar>
      </w:tblPr>
      <w:tblGrid>
        <w:gridCol w:w="1195"/>
        <w:gridCol w:w="1050"/>
        <w:gridCol w:w="1055"/>
        <w:gridCol w:w="242"/>
        <w:gridCol w:w="863"/>
        <w:gridCol w:w="125"/>
        <w:gridCol w:w="109"/>
        <w:gridCol w:w="109"/>
        <w:gridCol w:w="109"/>
        <w:gridCol w:w="394"/>
        <w:gridCol w:w="1403"/>
        <w:gridCol w:w="287"/>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and land improvements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building improvements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14,610 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20,062 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(9,395)</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10,667 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six months ended June 30, 2026, capital expenditures of $654 million excluded $346 million of accrued capital expenditures remaining unpaid at June 30, 2026 and included payment for the $481 million of capital expenditures that were accrued and unpaid at December 31, 2025. For the six months ended June 30, 2025, capital expenditures of $582 million excluded $366 million of accrued capital expenditures remaining unpaid at June 30, 2025 and included payment for the $458 million of capital expenditures that were accrued and unpaid at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92785"/>
                <wp:effectExtent l="0" t="0" r="0" b="0"/>
                <wp:wrapNone/>
                <wp:docPr id="27" name="Frame1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314325" cy="209550"/>
                                                </a:xfrm>
                                                <a:prstGeom prst="rect">
                                                  <a:avLst/>
                                                </a:prstGeom>
                                              </pic:spPr>
                                            </pic:pic>
                                          </a:graphicData>
                                        </a:graphic>
                                      </wp:inline>
                                    </w:drawing>
                                  </w:r>
                                  <w:bookmarkStart w:id="17" w:name="i-10"/>
                                  <w:bookmarkEnd w:id="1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20"/>
                                          <a:stretch>
                                            <a:fillRect/>
                                          </a:stretch>
                                        </pic:blipFill>
                                        <pic:spPr bwMode="auto">
                                          <a:xfrm>
                                            <a:off x="0" y="0"/>
                                            <a:ext cx="314325" cy="209550"/>
                                          </a:xfrm>
                                          <a:prstGeom prst="rect">
                                            <a:avLst/>
                                          </a:prstGeom>
                                        </pic:spPr>
                                      </pic:pic>
                                    </a:graphicData>
                                  </a:graphic>
                                </wp:inline>
                              </w:drawing>
                            </w:r>
                            <w:bookmarkStart w:id="18" w:name="i-10"/>
                            <w:bookmarkEnd w:id="18"/>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4. Goodwill and Intangible Assets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Goodwill</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goodwill consisted of:</w:t>
      </w:r>
    </w:p>
    <w:p>
      <w:pPr>
        <w:pStyle w:val="TextBody"/>
        <w:bidi w:val="0"/>
        <w:spacing w:before="0" w:after="0"/>
        <w:jc w:val="both"/>
        <w:rPr/>
      </w:pPr>
      <w:r>
        <w:rPr/>
      </w:r>
    </w:p>
    <w:tbl>
      <w:tblPr>
        <w:tblW w:w="9605" w:type="dxa"/>
        <w:jc w:val="left"/>
        <w:tblInd w:w="0" w:type="dxa"/>
        <w:tblLayout w:type="fixed"/>
        <w:tblCellMar>
          <w:top w:w="28" w:type="dxa"/>
          <w:left w:w="28" w:type="dxa"/>
          <w:bottom w:w="28" w:type="dxa"/>
          <w:right w:w="28" w:type="dxa"/>
        </w:tblCellMar>
      </w:tblPr>
      <w:tblGrid>
        <w:gridCol w:w="1016"/>
        <w:gridCol w:w="894"/>
        <w:gridCol w:w="895"/>
        <w:gridCol w:w="262"/>
        <w:gridCol w:w="803"/>
        <w:gridCol w:w="135"/>
        <w:gridCol w:w="109"/>
        <w:gridCol w:w="109"/>
        <w:gridCol w:w="109"/>
        <w:gridCol w:w="211"/>
        <w:gridCol w:w="646"/>
        <w:gridCol w:w="109"/>
        <w:gridCol w:w="109"/>
        <w:gridCol w:w="109"/>
        <w:gridCol w:w="109"/>
        <w:gridCol w:w="211"/>
        <w:gridCol w:w="646"/>
        <w:gridCol w:w="109"/>
        <w:gridCol w:w="109"/>
        <w:gridCol w:w="109"/>
        <w:gridCol w:w="109"/>
        <w:gridCol w:w="245"/>
        <w:gridCol w:w="873"/>
        <w:gridCol w:w="126"/>
        <w:gridCol w:w="109"/>
        <w:gridCol w:w="109"/>
        <w:gridCol w:w="109"/>
        <w:gridCol w:w="211"/>
        <w:gridCol w:w="751"/>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 America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 America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millions)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10,802 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Intangible Assets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Intangible assets consisted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4"/>
        <w:gridCol w:w="443"/>
        <w:gridCol w:w="444"/>
        <w:gridCol w:w="228"/>
        <w:gridCol w:w="814"/>
        <w:gridCol w:w="118"/>
        <w:gridCol w:w="109"/>
        <w:gridCol w:w="109"/>
        <w:gridCol w:w="109"/>
        <w:gridCol w:w="275"/>
        <w:gridCol w:w="846"/>
        <w:gridCol w:w="143"/>
        <w:gridCol w:w="109"/>
        <w:gridCol w:w="109"/>
        <w:gridCol w:w="109"/>
        <w:gridCol w:w="224"/>
        <w:gridCol w:w="799"/>
        <w:gridCol w:w="115"/>
        <w:gridCol w:w="109"/>
        <w:gridCol w:w="109"/>
        <w:gridCol w:w="109"/>
        <w:gridCol w:w="228"/>
        <w:gridCol w:w="814"/>
        <w:gridCol w:w="118"/>
        <w:gridCol w:w="109"/>
        <w:gridCol w:w="109"/>
        <w:gridCol w:w="109"/>
        <w:gridCol w:w="275"/>
        <w:gridCol w:w="846"/>
        <w:gridCol w:w="143"/>
        <w:gridCol w:w="109"/>
        <w:gridCol w:w="109"/>
        <w:gridCol w:w="109"/>
        <w:gridCol w:w="223"/>
        <w:gridCol w:w="797"/>
        <w:gridCol w:w="17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millions)</w:t>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Indefinite-life intangible assets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Definite-life intangible assets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22,042 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(2,533)</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22,124 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(2,496)</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19,628 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Indefinite-life intangible assets consist principally of brand names purchased through our acquisitions of Nabisco Holdings Corp., the global </w:t>
      </w:r>
      <w:r>
        <w:rPr>
          <w:rFonts w:ascii="Arial;sans-serif" w:hAnsi="Arial;sans-serif"/>
          <w:b w:val="false"/>
          <w:i/>
          <w:color w:val="000000"/>
          <w:sz w:val="20"/>
        </w:rPr>
        <w:t>LU</w:t>
      </w:r>
      <w:r>
        <w:rPr>
          <w:color w:val="000000"/>
        </w:rPr>
        <w:t xml:space="preserve"> </w:t>
      </w:r>
      <w:r>
        <w:rPr>
          <w:rFonts w:ascii="Arial;sans-serif" w:hAnsi="Arial;sans-serif"/>
          <w:b w:val="false"/>
          <w:color w:val="000000"/>
          <w:sz w:val="20"/>
        </w:rPr>
        <w:t>biscuit business of Groupe Danone S.A., Cadbury Limited and Clif Bar. Definite-life intangible assets consist primarily of customer-related intangibles, process technology and trademarks. The weighted-average amortization period for our definite-life intangible assets is approximately 16 years, which is primarily driven by recently acquired customer-related intangibles.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Amortization expense for definite-life intangible assets was $26 million and $38 million for the three months ended June 30, 2026 and 2025, respectively, and $53 million and $75 million for the six months ended June 30, 2026 and 2025,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Impairment Assessments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test our reporting units and indefinite-life intangible assets for impairment annually as of July 1, or more frequently if events or circumstances indicate it is more likely than not that the fair value of a reporting unit or brand is less than its carrying amount. During the second quarter of 2026, we evaluated our goodwill impairment risk and intangible asset impairment risk through an assessment of potential triggering events. We considered qualitative and quantitative information in our assessment and concluded there were no impairment indicators.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our 2025 annual impairment test, we recognized impairment charges of $33 million related to two biscuit brands in the Europe segment, one biscuit brand in the Asia, Middle East and Africa ("AMEA") segment and one candy brand in the Latin America segment.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Including the four brand intangibles for which we recognized impairments in 2025, we identified five brand intangibles, as part of our annual test, for which fair value exceeded book value by less than 10%. The aggregate carrying value of those five brand intangibles was $1.5 billion as of June 30, 2026. We are closely monitoring the performance of those brands and if there are adverse changes to the related sales and earnings forecasts in the future, whether caused by business-specific or broader macroeconomic factors, one or more of those indefinite-life intangible assets could become impaired.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92785"/>
                <wp:effectExtent l="0" t="0" r="0" b="0"/>
                <wp:wrapNone/>
                <wp:docPr id="30" name="Frame1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314325" cy="209550"/>
                                                </a:xfrm>
                                                <a:prstGeom prst="rect">
                                                  <a:avLst/>
                                                </a:prstGeom>
                                              </pic:spPr>
                                            </pic:pic>
                                          </a:graphicData>
                                        </a:graphic>
                                      </wp:inline>
                                    </w:drawing>
                                  </w:r>
                                  <w:bookmarkStart w:id="19" w:name="i-11"/>
                                  <w:bookmarkEnd w:id="1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2"/>
                                          <a:stretch>
                                            <a:fillRect/>
                                          </a:stretch>
                                        </pic:blipFill>
                                        <pic:spPr bwMode="auto">
                                          <a:xfrm>
                                            <a:off x="0" y="0"/>
                                            <a:ext cx="314325" cy="209550"/>
                                          </a:xfrm>
                                          <a:prstGeom prst="rect">
                                            <a:avLst/>
                                          </a:prstGeom>
                                        </pic:spPr>
                                      </pic:pic>
                                    </a:graphicData>
                                  </a:graphic>
                                </wp:inline>
                              </w:drawing>
                            </w:r>
                            <w:bookmarkStart w:id="20" w:name="i-11"/>
                            <w:bookmarkEnd w:id="20"/>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5. Debt and Borrowing Arrangements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Short-Term Borrowings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short-term borrowings and related weighted-average interest rates consisted of:</w:t>
      </w:r>
    </w:p>
    <w:tbl>
      <w:tblPr>
        <w:tblW w:w="8132" w:type="dxa"/>
        <w:jc w:val="left"/>
        <w:tblInd w:w="0" w:type="dxa"/>
        <w:tblLayout w:type="fixed"/>
        <w:tblCellMar>
          <w:top w:w="28" w:type="dxa"/>
          <w:left w:w="28" w:type="dxa"/>
          <w:bottom w:w="28" w:type="dxa"/>
          <w:right w:w="28" w:type="dxa"/>
        </w:tblCellMar>
      </w:tblPr>
      <w:tblGrid>
        <w:gridCol w:w="902"/>
        <w:gridCol w:w="792"/>
        <w:gridCol w:w="795"/>
        <w:gridCol w:w="242"/>
        <w:gridCol w:w="742"/>
        <w:gridCol w:w="127"/>
        <w:gridCol w:w="109"/>
        <w:gridCol w:w="109"/>
        <w:gridCol w:w="109"/>
        <w:gridCol w:w="270"/>
        <w:gridCol w:w="271"/>
        <w:gridCol w:w="656"/>
        <w:gridCol w:w="109"/>
        <w:gridCol w:w="109"/>
        <w:gridCol w:w="109"/>
        <w:gridCol w:w="242"/>
        <w:gridCol w:w="742"/>
        <w:gridCol w:w="127"/>
        <w:gridCol w:w="123"/>
        <w:gridCol w:w="123"/>
        <w:gridCol w:w="123"/>
        <w:gridCol w:w="238"/>
        <w:gridCol w:w="238"/>
        <w:gridCol w:w="725"/>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br/>
              <w:t>Outstanding</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 Rate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Bank loans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borrowings</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uncommitted and committed credit facilities available include:</w:t>
      </w:r>
    </w:p>
    <w:tbl>
      <w:tblPr>
        <w:tblW w:w="9534" w:type="dxa"/>
        <w:jc w:val="left"/>
        <w:tblInd w:w="0" w:type="dxa"/>
        <w:tblLayout w:type="fixed"/>
        <w:tblCellMar>
          <w:top w:w="28" w:type="dxa"/>
          <w:left w:w="28" w:type="dxa"/>
          <w:bottom w:w="28" w:type="dxa"/>
          <w:right w:w="28" w:type="dxa"/>
        </w:tblCellMar>
      </w:tblPr>
      <w:tblGrid>
        <w:gridCol w:w="939"/>
        <w:gridCol w:w="826"/>
        <w:gridCol w:w="830"/>
        <w:gridCol w:w="359"/>
        <w:gridCol w:w="820"/>
        <w:gridCol w:w="185"/>
        <w:gridCol w:w="109"/>
        <w:gridCol w:w="109"/>
        <w:gridCol w:w="109"/>
        <w:gridCol w:w="476"/>
        <w:gridCol w:w="850"/>
        <w:gridCol w:w="249"/>
        <w:gridCol w:w="109"/>
        <w:gridCol w:w="109"/>
        <w:gridCol w:w="109"/>
        <w:gridCol w:w="359"/>
        <w:gridCol w:w="820"/>
        <w:gridCol w:w="185"/>
        <w:gridCol w:w="121"/>
        <w:gridCol w:w="121"/>
        <w:gridCol w:w="121"/>
        <w:gridCol w:w="461"/>
        <w:gridCol w:w="821"/>
        <w:gridCol w:w="337"/>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Facility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Borrowed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Facility Amount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Borrowed Amount</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Uncommitted credit facilities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Credit facilities </w:t>
            </w:r>
            <w:r>
              <w:rPr>
                <w:rFonts w:ascii="Arial;sans-serif" w:hAnsi="Arial;sans-serif"/>
                <w:b w:val="false"/>
                <w:color w:val="000000"/>
                <w:sz w:val="13"/>
              </w:rPr>
              <w:t>(1)</w:t>
            </w:r>
            <w:r>
              <w:rPr>
                <w:rFonts w:ascii="Arial;sans-serif" w:hAnsi="Arial;sans-serif"/>
                <w:b w:val="false"/>
                <w:color w:val="000000"/>
                <w:sz w:val="20"/>
              </w:rPr>
              <w:t>:</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18, 2026</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17, 2027</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19, 2030</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hanging="270"/>
        <w:jc w:val="both"/>
        <w:rPr>
          <w:rFonts w:ascii="Arial;sans-serif" w:hAnsi="Arial;sans-serif"/>
          <w:b w:val="false"/>
          <w:color w:val="000000"/>
          <w:sz w:val="16"/>
        </w:rPr>
      </w:pPr>
      <w:r>
        <w:rPr>
          <w:rFonts w:ascii="Arial;sans-serif" w:hAnsi="Arial;sans-serif"/>
          <w:b w:val="false"/>
          <w:color w:val="000000"/>
          <w:sz w:val="16"/>
        </w:rPr>
        <w:t>(1)On February 18, 2026, our $1.5 billion 364-day senior unsecured revolving credit agreement dated as of February 19, 2025 expired and we entered into a $1.5 billion 364-day senior unsecured revolving credit agreement that will expire on February 17, 2027.</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maintain senior unsecured revolving credit facilities for general corporate purposes, including working capital needs, and to support our commercial paper program. The revolving credit agreements include a covenant that we maintain a minimum shareholders' equity of at least $25.0 billion, excluding accumulated other comprehensive earnings/(losses), the cumulative effects of any changes in accounting principles and earnings/(losses) recognized in connection with any mark-to-market accounting for pensions and other retirement plans. At June 30, 2026, we complied with this covenant. The revolving credit facility also contains customary representations, covenants and events of default. There are no credit rating triggers, provisions or other financial covenants that could require us to post collateral as security.</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Debt Repayments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During the six months ended June 30, 2026, we repaid the following notes (in millions):</w:t>
      </w:r>
    </w:p>
    <w:tbl>
      <w:tblPr>
        <w:tblW w:w="5585" w:type="dxa"/>
        <w:jc w:val="left"/>
        <w:tblInd w:w="0" w:type="dxa"/>
        <w:tblLayout w:type="fixed"/>
        <w:tblCellMar>
          <w:top w:w="28" w:type="dxa"/>
          <w:left w:w="28" w:type="dxa"/>
          <w:bottom w:w="28" w:type="dxa"/>
          <w:right w:w="28" w:type="dxa"/>
        </w:tblCellMar>
      </w:tblPr>
      <w:tblGrid>
        <w:gridCol w:w="407"/>
        <w:gridCol w:w="357"/>
        <w:gridCol w:w="360"/>
        <w:gridCol w:w="109"/>
        <w:gridCol w:w="109"/>
        <w:gridCol w:w="109"/>
        <w:gridCol w:w="449"/>
        <w:gridCol w:w="449"/>
        <w:gridCol w:w="451"/>
        <w:gridCol w:w="109"/>
        <w:gridCol w:w="109"/>
        <w:gridCol w:w="109"/>
        <w:gridCol w:w="250"/>
        <w:gridCol w:w="250"/>
        <w:gridCol w:w="251"/>
        <w:gridCol w:w="109"/>
        <w:gridCol w:w="109"/>
        <w:gridCol w:w="109"/>
        <w:gridCol w:w="404"/>
        <w:gridCol w:w="404"/>
        <w:gridCol w:w="572"/>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USD Equivalent</w:t>
            </w:r>
          </w:p>
        </w:tc>
      </w:tr>
      <w:tr>
        <w:trPr/>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$222</w:t>
            </w:r>
          </w:p>
        </w:tc>
      </w:tr>
    </w:tbl>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During the six months ended June 30, 2025, we repaid the following notes (in millions):</w:t>
      </w:r>
    </w:p>
    <w:tbl>
      <w:tblPr>
        <w:tblW w:w="5390" w:type="dxa"/>
        <w:jc w:val="left"/>
        <w:tblInd w:w="0" w:type="dxa"/>
        <w:tblLayout w:type="fixed"/>
        <w:tblCellMar>
          <w:top w:w="28" w:type="dxa"/>
          <w:left w:w="28" w:type="dxa"/>
          <w:bottom w:w="28" w:type="dxa"/>
          <w:right w:w="28" w:type="dxa"/>
        </w:tblCellMar>
      </w:tblPr>
      <w:tblGrid>
        <w:gridCol w:w="407"/>
        <w:gridCol w:w="357"/>
        <w:gridCol w:w="360"/>
        <w:gridCol w:w="109"/>
        <w:gridCol w:w="109"/>
        <w:gridCol w:w="109"/>
        <w:gridCol w:w="384"/>
        <w:gridCol w:w="384"/>
        <w:gridCol w:w="386"/>
        <w:gridCol w:w="109"/>
        <w:gridCol w:w="109"/>
        <w:gridCol w:w="109"/>
        <w:gridCol w:w="250"/>
        <w:gridCol w:w="250"/>
        <w:gridCol w:w="251"/>
        <w:gridCol w:w="109"/>
        <w:gridCol w:w="109"/>
        <w:gridCol w:w="109"/>
        <w:gridCol w:w="404"/>
        <w:gridCol w:w="404"/>
        <w:gridCol w:w="572"/>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USD Equivalent</w:t>
            </w:r>
          </w:p>
        </w:tc>
      </w:tr>
      <w:tr>
        <w:trPr/>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$417</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$750</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92785"/>
                <wp:effectExtent l="0" t="0" r="0" b="0"/>
                <wp:wrapNone/>
                <wp:docPr id="33" name="Frame1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314325" cy="209550"/>
                                                </a:xfrm>
                                                <a:prstGeom prst="rect">
                                                  <a:avLst/>
                                                </a:prstGeom>
                                              </pic:spPr>
                                            </pic:pic>
                                          </a:graphicData>
                                        </a:graphic>
                                      </wp:inline>
                                    </w:drawing>
                                  </w:r>
                                  <w:bookmarkStart w:id="21" w:name="i-12"/>
                                  <w:bookmarkEnd w:id="2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4"/>
                                          <a:stretch>
                                            <a:fillRect/>
                                          </a:stretch>
                                        </pic:blipFill>
                                        <pic:spPr bwMode="auto">
                                          <a:xfrm>
                                            <a:off x="0" y="0"/>
                                            <a:ext cx="314325" cy="209550"/>
                                          </a:xfrm>
                                          <a:prstGeom prst="rect">
                                            <a:avLst/>
                                          </a:prstGeom>
                                        </pic:spPr>
                                      </pic:pic>
                                    </a:graphicData>
                                  </a:graphic>
                                </wp:inline>
                              </w:drawing>
                            </w:r>
                            <w:bookmarkStart w:id="22" w:name="i-12"/>
                            <w:bookmarkEnd w:id="22"/>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Debt Issuances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six months ended June 30, 2026, we issued the following notes (in millions):</w:t>
      </w:r>
    </w:p>
    <w:p>
      <w:pPr>
        <w:pStyle w:val="TextBody"/>
        <w:bidi w:val="0"/>
        <w:spacing w:before="0" w:after="0"/>
        <w:jc w:val="both"/>
        <w:rPr/>
      </w:pPr>
      <w:r>
        <w:rPr/>
      </w:r>
    </w:p>
    <w:tbl>
      <w:tblPr>
        <w:tblW w:w="8130" w:type="dxa"/>
        <w:jc w:val="left"/>
        <w:tblInd w:w="0" w:type="dxa"/>
        <w:tblLayout w:type="fixed"/>
        <w:tblCellMar>
          <w:top w:w="28" w:type="dxa"/>
          <w:left w:w="28" w:type="dxa"/>
          <w:bottom w:w="28" w:type="dxa"/>
          <w:right w:w="28" w:type="dxa"/>
        </w:tblCellMar>
      </w:tblPr>
      <w:tblGrid>
        <w:gridCol w:w="445"/>
        <w:gridCol w:w="391"/>
        <w:gridCol w:w="393"/>
        <w:gridCol w:w="109"/>
        <w:gridCol w:w="109"/>
        <w:gridCol w:w="109"/>
        <w:gridCol w:w="369"/>
        <w:gridCol w:w="369"/>
        <w:gridCol w:w="371"/>
        <w:gridCol w:w="109"/>
        <w:gridCol w:w="109"/>
        <w:gridCol w:w="109"/>
        <w:gridCol w:w="489"/>
        <w:gridCol w:w="489"/>
        <w:gridCol w:w="492"/>
        <w:gridCol w:w="109"/>
        <w:gridCol w:w="109"/>
        <w:gridCol w:w="109"/>
        <w:gridCol w:w="494"/>
        <w:gridCol w:w="494"/>
        <w:gridCol w:w="496"/>
        <w:gridCol w:w="109"/>
        <w:gridCol w:w="109"/>
        <w:gridCol w:w="109"/>
        <w:gridCol w:w="448"/>
        <w:gridCol w:w="448"/>
        <w:gridCol w:w="634"/>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Principal Amount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USD Equivalent</w:t>
            </w:r>
          </w:p>
        </w:tc>
      </w:tr>
      <w:tr>
        <w:trPr/>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April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Fr.325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$411</w:t>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April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Fr.245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$309</w:t>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April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Fr.280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$354</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six months ended June 30, 2025, we issued the following notes (in millions):</w:t>
      </w:r>
    </w:p>
    <w:p>
      <w:pPr>
        <w:pStyle w:val="TextBody"/>
        <w:bidi w:val="0"/>
        <w:spacing w:before="0" w:after="0"/>
        <w:jc w:val="both"/>
        <w:rPr/>
      </w:pPr>
      <w:r>
        <w:rPr/>
      </w:r>
    </w:p>
    <w:tbl>
      <w:tblPr>
        <w:tblW w:w="7814" w:type="dxa"/>
        <w:jc w:val="left"/>
        <w:tblInd w:w="0" w:type="dxa"/>
        <w:tblLayout w:type="fixed"/>
        <w:tblCellMar>
          <w:top w:w="28" w:type="dxa"/>
          <w:left w:w="28" w:type="dxa"/>
          <w:bottom w:w="28" w:type="dxa"/>
          <w:right w:w="28" w:type="dxa"/>
        </w:tblCellMar>
      </w:tblPr>
      <w:tblGrid>
        <w:gridCol w:w="445"/>
        <w:gridCol w:w="391"/>
        <w:gridCol w:w="393"/>
        <w:gridCol w:w="109"/>
        <w:gridCol w:w="109"/>
        <w:gridCol w:w="109"/>
        <w:gridCol w:w="369"/>
        <w:gridCol w:w="369"/>
        <w:gridCol w:w="371"/>
        <w:gridCol w:w="109"/>
        <w:gridCol w:w="109"/>
        <w:gridCol w:w="109"/>
        <w:gridCol w:w="384"/>
        <w:gridCol w:w="384"/>
        <w:gridCol w:w="386"/>
        <w:gridCol w:w="109"/>
        <w:gridCol w:w="109"/>
        <w:gridCol w:w="109"/>
        <w:gridCol w:w="494"/>
        <w:gridCol w:w="494"/>
        <w:gridCol w:w="496"/>
        <w:gridCol w:w="109"/>
        <w:gridCol w:w="109"/>
        <w:gridCol w:w="109"/>
        <w:gridCol w:w="448"/>
        <w:gridCol w:w="448"/>
        <w:gridCol w:w="634"/>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Principal Amount</w:t>
              <w:br/>
              <w:t>USD Equivalent</w:t>
            </w:r>
          </w:p>
        </w:tc>
      </w:tr>
      <w:tr>
        <w:trPr/>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$700</w:t>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w:t>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$400</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of Our Debt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fair value of our short-term borrowings reflects current market interest rates and approximates the amounts we have recorded on our condensed consolidated balance sheets. The fair value of our long-term debt, excluding finance lease obligations, was determined using quoted prices in active markets (Level 1 valuation data). </w:t>
      </w:r>
    </w:p>
    <w:p>
      <w:pPr>
        <w:pStyle w:val="TextBody"/>
        <w:bidi w:val="0"/>
        <w:spacing w:before="0" w:after="0"/>
        <w:jc w:val="both"/>
        <w:rPr/>
      </w:pPr>
      <w:r>
        <w:rPr/>
      </w:r>
    </w:p>
    <w:tbl>
      <w:tblPr>
        <w:tblW w:w="5440" w:type="dxa"/>
        <w:jc w:val="left"/>
        <w:tblInd w:w="0" w:type="dxa"/>
        <w:tblLayout w:type="fixed"/>
        <w:tblCellMar>
          <w:top w:w="28" w:type="dxa"/>
          <w:left w:w="28" w:type="dxa"/>
          <w:bottom w:w="28" w:type="dxa"/>
          <w:right w:w="28" w:type="dxa"/>
        </w:tblCellMar>
      </w:tblPr>
      <w:tblGrid>
        <w:gridCol w:w="505"/>
        <w:gridCol w:w="444"/>
        <w:gridCol w:w="445"/>
        <w:gridCol w:w="322"/>
        <w:gridCol w:w="1147"/>
        <w:gridCol w:w="166"/>
        <w:gridCol w:w="109"/>
        <w:gridCol w:w="109"/>
        <w:gridCol w:w="109"/>
        <w:gridCol w:w="394"/>
        <w:gridCol w:w="1403"/>
        <w:gridCol w:w="287"/>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Carrying Value</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21,205 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Interest and Other Expense, net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Interest and other expense, net consisted of:</w:t>
      </w:r>
    </w:p>
    <w:tbl>
      <w:tblPr>
        <w:tblW w:w="7726" w:type="dxa"/>
        <w:jc w:val="left"/>
        <w:tblInd w:w="0" w:type="dxa"/>
        <w:tblLayout w:type="fixed"/>
        <w:tblCellMar>
          <w:top w:w="28" w:type="dxa"/>
          <w:left w:w="28" w:type="dxa"/>
          <w:bottom w:w="28" w:type="dxa"/>
          <w:right w:w="28" w:type="dxa"/>
        </w:tblCellMar>
      </w:tblPr>
      <w:tblGrid>
        <w:gridCol w:w="1026"/>
        <w:gridCol w:w="900"/>
        <w:gridCol w:w="908"/>
        <w:gridCol w:w="259"/>
        <w:gridCol w:w="591"/>
        <w:gridCol w:w="133"/>
        <w:gridCol w:w="133"/>
        <w:gridCol w:w="133"/>
        <w:gridCol w:w="133"/>
        <w:gridCol w:w="259"/>
        <w:gridCol w:w="591"/>
        <w:gridCol w:w="133"/>
        <w:gridCol w:w="109"/>
        <w:gridCol w:w="109"/>
        <w:gridCol w:w="109"/>
        <w:gridCol w:w="235"/>
        <w:gridCol w:w="537"/>
        <w:gridCol w:w="121"/>
        <w:gridCol w:w="121"/>
        <w:gridCol w:w="121"/>
        <w:gridCol w:w="121"/>
        <w:gridCol w:w="235"/>
        <w:gridCol w:w="537"/>
        <w:gridCol w:w="172"/>
      </w:tblGrid>
      <w:tr>
        <w:trPr/>
        <w:tc>
          <w:tcPr>
            <w:tcW w:w="102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net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Other income, net includes amortization of amounts excluded from our assessment of hedge effectiveness related to our net investment hedge derivative contracts, foreign currency transaction gains and losses on certain foreign currency denominated assets and liabilities, gains and losses on certain foreign currency and interest rate derivative contracts, interest income and other non-operating items. Refer to Note 6, </w:t>
      </w:r>
      <w:r>
        <w:rPr>
          <w:rFonts w:ascii="Arial;sans-serif" w:hAnsi="Arial;sans-serif"/>
          <w:b w:val="false"/>
          <w:i/>
          <w:color w:val="000000"/>
          <w:sz w:val="20"/>
        </w:rPr>
        <w:t>Financial Instruments</w:t>
      </w:r>
      <w:r>
        <w:rPr>
          <w:color w:val="000000"/>
        </w:rPr>
        <w:t xml:space="preserve"> </w:t>
      </w:r>
      <w:r>
        <w:rPr>
          <w:rFonts w:ascii="Arial;sans-serif" w:hAnsi="Arial;sans-serif"/>
          <w:b w:val="false"/>
          <w:color w:val="000000"/>
          <w:sz w:val="20"/>
        </w:rPr>
        <w:t>for additional information about our hedging activities.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92785"/>
                <wp:effectExtent l="0" t="0" r="0" b="0"/>
                <wp:wrapNone/>
                <wp:docPr id="36" name="Frame1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314325" cy="209550"/>
                                                </a:xfrm>
                                                <a:prstGeom prst="rect">
                                                  <a:avLst/>
                                                </a:prstGeom>
                                              </pic:spPr>
                                            </pic:pic>
                                          </a:graphicData>
                                        </a:graphic>
                                      </wp:inline>
                                    </w:drawing>
                                  </w:r>
                                  <w:bookmarkStart w:id="23" w:name="i-13"/>
                                  <w:bookmarkEnd w:id="2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6"/>
                                          <a:stretch>
                                            <a:fillRect/>
                                          </a:stretch>
                                        </pic:blipFill>
                                        <pic:spPr bwMode="auto">
                                          <a:xfrm>
                                            <a:off x="0" y="0"/>
                                            <a:ext cx="314325" cy="209550"/>
                                          </a:xfrm>
                                          <a:prstGeom prst="rect">
                                            <a:avLst/>
                                          </a:prstGeom>
                                        </pic:spPr>
                                      </pic:pic>
                                    </a:graphicData>
                                  </a:graphic>
                                </wp:inline>
                              </w:drawing>
                            </w:r>
                            <w:bookmarkStart w:id="24" w:name="i-13"/>
                            <w:bookmarkEnd w:id="24"/>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6. Financial Instruments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Derivatives and Hedging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Derivative instruments and corresponding hedge type were recorded at fair value in the condensed consolidated balance sheets as follows:</w:t>
      </w:r>
    </w:p>
    <w:tbl>
      <w:tblPr>
        <w:tblW w:w="9590" w:type="dxa"/>
        <w:jc w:val="left"/>
        <w:tblInd w:w="0" w:type="dxa"/>
        <w:tblLayout w:type="fixed"/>
        <w:tblCellMar>
          <w:top w:w="28" w:type="dxa"/>
          <w:left w:w="28" w:type="dxa"/>
          <w:bottom w:w="28" w:type="dxa"/>
          <w:right w:w="28" w:type="dxa"/>
        </w:tblCellMar>
      </w:tblPr>
      <w:tblGrid>
        <w:gridCol w:w="1054"/>
        <w:gridCol w:w="925"/>
        <w:gridCol w:w="930"/>
        <w:gridCol w:w="474"/>
        <w:gridCol w:w="474"/>
        <w:gridCol w:w="476"/>
        <w:gridCol w:w="109"/>
        <w:gridCol w:w="109"/>
        <w:gridCol w:w="109"/>
        <w:gridCol w:w="213"/>
        <w:gridCol w:w="652"/>
        <w:gridCol w:w="111"/>
        <w:gridCol w:w="109"/>
        <w:gridCol w:w="109"/>
        <w:gridCol w:w="109"/>
        <w:gridCol w:w="213"/>
        <w:gridCol w:w="652"/>
        <w:gridCol w:w="111"/>
        <w:gridCol w:w="109"/>
        <w:gridCol w:w="109"/>
        <w:gridCol w:w="109"/>
        <w:gridCol w:w="257"/>
        <w:gridCol w:w="586"/>
        <w:gridCol w:w="133"/>
        <w:gridCol w:w="109"/>
        <w:gridCol w:w="109"/>
        <w:gridCol w:w="109"/>
        <w:gridCol w:w="213"/>
        <w:gridCol w:w="652"/>
        <w:gridCol w:w="156"/>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w:t>
              <w:br/>
              <w:t>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Liability</w:t>
              <w:b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w:t>
              <w:br/>
              <w:t>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Liability</w:t>
              <w:br/>
              <w:t>Derivatives</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Type of Hedge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Derivatives designated as</w:t>
            </w:r>
          </w:p>
          <w:p>
            <w:pPr>
              <w:pStyle w:val="TableContents"/>
              <w:bidi w:val="0"/>
              <w:spacing w:lineRule="auto" w:line="240" w:before="0" w:after="0"/>
              <w:jc w:val="left"/>
              <w:rPr/>
            </w:pPr>
            <w:r>
              <w:rPr>
                <w:rFonts w:ascii="Arial;sans-serif" w:hAnsi="Arial;sans-serif"/>
                <w:b/>
                <w:color w:val="000000"/>
                <w:sz w:val="20"/>
              </w:rPr>
              <w:t xml:space="preserve">accounting hedges </w:t>
            </w:r>
            <w:r>
              <w:rPr>
                <w:rFonts w:ascii="Arial;sans-serif" w:hAnsi="Arial;sans-serif"/>
                <w:b/>
                <w:color w:val="000000"/>
                <w:sz w:val="13"/>
              </w:rPr>
              <w:t>(2)</w:t>
            </w:r>
            <w:r>
              <w:rPr>
                <w:rFonts w:ascii="Arial;sans-serif" w:hAnsi="Arial;sans-serif"/>
                <w:b/>
                <w:color w:val="000000"/>
                <w:sz w:val="20"/>
              </w:rPr>
              <w:t>:</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NIH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CF/FV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Cross-currency swap contracts</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CF/NIH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Derivatives not designated as </w:t>
              <w:br/>
              <w:t>   accounting hedges: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fair value</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(1)Derivative contracts designated as either cash flow ("CF"), fair value ("FV") or net investment hedging ("NIH") instruments.</w:t>
      </w:r>
    </w:p>
    <w:p>
      <w:pPr>
        <w:pStyle w:val="TextBody"/>
        <w:bidi w:val="0"/>
        <w:spacing w:lineRule="auto" w:line="288" w:before="0" w:after="0"/>
        <w:ind w:left="0" w:right="0" w:hanging="360"/>
        <w:jc w:val="both"/>
        <w:rPr/>
      </w:pPr>
      <w:r>
        <w:rPr>
          <w:rFonts w:ascii="Arial;sans-serif" w:hAnsi="Arial;sans-serif"/>
          <w:b w:val="false"/>
          <w:color w:val="000000"/>
          <w:sz w:val="16"/>
        </w:rPr>
        <w:t xml:space="preserve">(2)We designate some of our non-U.S. dollar denominated debt to hedge a portion of our net investments in our non-U.S. operations. This debt is not reflected in the table above, but is included in long-term debt discussed in Note 5, </w:t>
      </w:r>
      <w:r>
        <w:rPr>
          <w:rFonts w:ascii="Arial;sans-serif" w:hAnsi="Arial;sans-serif"/>
          <w:b w:val="false"/>
          <w:i/>
          <w:color w:val="000000"/>
          <w:sz w:val="16"/>
        </w:rPr>
        <w:t>Debt and Borrowing Arrangements</w:t>
      </w:r>
      <w:r>
        <w:rPr>
          <w:rFonts w:ascii="Arial;sans-serif" w:hAnsi="Arial;sans-serif"/>
          <w:b w:val="false"/>
          <w:color w:val="000000"/>
          <w:sz w:val="16"/>
        </w:rPr>
        <w:t>. Non-U.S. dollar denominated debt designated as net investment hedges is also disclosed in the</w:t>
      </w:r>
      <w:r>
        <w:rPr>
          <w:color w:val="000000"/>
        </w:rPr>
        <w:t xml:space="preserve"> </w:t>
      </w:r>
      <w:r>
        <w:rPr>
          <w:rFonts w:ascii="Arial;sans-serif" w:hAnsi="Arial;sans-serif"/>
          <w:b w:val="false"/>
          <w:i/>
          <w:color w:val="000000"/>
          <w:sz w:val="16"/>
        </w:rPr>
        <w:t>Notional Amounts of Derivatives and Other Hedging Instruments</w:t>
      </w:r>
      <w:r>
        <w:rPr>
          <w:color w:val="000000"/>
        </w:rPr>
        <w:t xml:space="preserve"> </w:t>
      </w:r>
      <w:r>
        <w:rPr>
          <w:rFonts w:ascii="Arial;sans-serif" w:hAnsi="Arial;sans-serif"/>
          <w:b w:val="false"/>
          <w:color w:val="000000"/>
          <w:sz w:val="16"/>
        </w:rPr>
        <w:t xml:space="preserve">table and the </w:t>
      </w:r>
      <w:r>
        <w:rPr>
          <w:rFonts w:ascii="Arial;sans-serif" w:hAnsi="Arial;sans-serif"/>
          <w:b w:val="false"/>
          <w:i/>
          <w:color w:val="000000"/>
          <w:sz w:val="16"/>
        </w:rPr>
        <w:t>Hedges of Net Investments in International Operations</w:t>
      </w:r>
      <w:r>
        <w:rPr>
          <w:color w:val="000000"/>
        </w:rPr>
        <w:t xml:space="preserve"> </w:t>
      </w:r>
      <w:r>
        <w:rPr>
          <w:rFonts w:ascii="Arial;sans-serif" w:hAnsi="Arial;sans-serif"/>
          <w:b w:val="false"/>
          <w:color w:val="000000"/>
          <w:sz w:val="16"/>
        </w:rPr>
        <w:t>section appearing later in this footnote.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recorded the fair value of our derivative instruments in the condensed consolidated balance sheets as follows:</w:t>
      </w:r>
    </w:p>
    <w:p>
      <w:pPr>
        <w:pStyle w:val="TextBody"/>
        <w:bidi w:val="0"/>
        <w:spacing w:before="0" w:after="0"/>
        <w:jc w:val="both"/>
        <w:rPr/>
      </w:pPr>
      <w:r>
        <w:rPr/>
      </w:r>
    </w:p>
    <w:tbl>
      <w:tblPr>
        <w:tblW w:w="6225" w:type="dxa"/>
        <w:jc w:val="left"/>
        <w:tblInd w:w="0" w:type="dxa"/>
        <w:tblLayout w:type="fixed"/>
        <w:tblCellMar>
          <w:top w:w="28" w:type="dxa"/>
          <w:left w:w="28" w:type="dxa"/>
          <w:bottom w:w="28" w:type="dxa"/>
          <w:right w:w="28" w:type="dxa"/>
        </w:tblCellMar>
      </w:tblPr>
      <w:tblGrid>
        <w:gridCol w:w="749"/>
        <w:gridCol w:w="658"/>
        <w:gridCol w:w="663"/>
        <w:gridCol w:w="357"/>
        <w:gridCol w:w="1094"/>
        <w:gridCol w:w="184"/>
        <w:gridCol w:w="109"/>
        <w:gridCol w:w="109"/>
        <w:gridCol w:w="109"/>
        <w:gridCol w:w="536"/>
        <w:gridCol w:w="1225"/>
        <w:gridCol w:w="278"/>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assets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liabilities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Certain exchange-traded commodity contracts require us to receive from or pay to a broker an amount of cash related to the daily fluctuation in value of the futures contract. Such cash collateral held or placed is known as variation margin and is recorded as other current assets and liabilities. The net asset variation margin balances for futures contracts were $87 million and $364 million as of June 30, 2026 and December 31, 2025, respectively. These balances are excluded from the table above. Our over-the-counter ("OTC") derivative transactions are governed by International Swaps and Derivatives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92785"/>
                <wp:effectExtent l="0" t="0" r="0" b="0"/>
                <wp:wrapNone/>
                <wp:docPr id="39" name="Frame1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314325" cy="209550"/>
                                                </a:xfrm>
                                                <a:prstGeom prst="rect">
                                                  <a:avLst/>
                                                </a:prstGeom>
                                              </pic:spPr>
                                            </pic:pic>
                                          </a:graphicData>
                                        </a:graphic>
                                      </wp:inline>
                                    </w:drawing>
                                  </w:r>
                                  <w:bookmarkStart w:id="25" w:name="i-14"/>
                                  <w:bookmarkEnd w:id="2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8"/>
                                          <a:stretch>
                                            <a:fillRect/>
                                          </a:stretch>
                                        </pic:blipFill>
                                        <pic:spPr bwMode="auto">
                                          <a:xfrm>
                                            <a:off x="0" y="0"/>
                                            <a:ext cx="314325" cy="209550"/>
                                          </a:xfrm>
                                          <a:prstGeom prst="rect">
                                            <a:avLst/>
                                          </a:prstGeom>
                                        </pic:spPr>
                                      </pic:pic>
                                    </a:graphicData>
                                  </a:graphic>
                                </wp:inline>
                              </w:drawing>
                            </w:r>
                            <w:bookmarkStart w:id="26" w:name="i-14"/>
                            <w:bookmarkEnd w:id="26"/>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Measurements of Derivative Instruments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1 fair value measurements use quoted prices in active markets for identical assets or liabilities. Level 1 financial assets and liabilities consist of exchange-traded commodity futures and listed options. The fair value of these instruments is determined based on quoted market prices on commodity exchanges.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2 fair value measurements use quoted prices for similar assets or liabilities in active markets, quoted prices for identical or similar assets or liabilities in markets with insufficient volume or infrequent transactions, or model-based valuations in which significant inputs are observable in the market. Level 2 financial assets and liabilities consist primarily of OTC foreign currency forwards, options and swaps; OTC commodity options; interest rate swaps; and cross-currency swaps.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foreign currency contracts, interest rate swaps, and cross-currency swaps is derived from a discounted cash flow model based on the terms of the contract and the observable market inputs such as interest rate curves and forward rates. Our calculation of the fair value of financial instruments takes into consideration the risk of nonperformance, including counterparty credit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3 fair value measurements use significant unobservable inputs and include the use of judgment by management about the assumptions market participants would use in pricing the asset or liability.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fair value measurements (asset/(liability)) of our derivative instruments were classified in the fair value hierarchy as follows:</w:t>
      </w:r>
    </w:p>
    <w:tbl>
      <w:tblPr>
        <w:tblW w:w="9532" w:type="dxa"/>
        <w:jc w:val="left"/>
        <w:tblInd w:w="0" w:type="dxa"/>
        <w:tblLayout w:type="fixed"/>
        <w:tblCellMar>
          <w:top w:w="28" w:type="dxa"/>
          <w:left w:w="28" w:type="dxa"/>
          <w:bottom w:w="28" w:type="dxa"/>
          <w:right w:w="28" w:type="dxa"/>
        </w:tblCellMar>
      </w:tblPr>
      <w:tblGrid>
        <w:gridCol w:w="1021"/>
        <w:gridCol w:w="896"/>
        <w:gridCol w:w="902"/>
        <w:gridCol w:w="371"/>
        <w:gridCol w:w="847"/>
        <w:gridCol w:w="193"/>
        <w:gridCol w:w="109"/>
        <w:gridCol w:w="109"/>
        <w:gridCol w:w="109"/>
        <w:gridCol w:w="457"/>
        <w:gridCol w:w="880"/>
        <w:gridCol w:w="237"/>
        <w:gridCol w:w="109"/>
        <w:gridCol w:w="109"/>
        <w:gridCol w:w="109"/>
        <w:gridCol w:w="395"/>
        <w:gridCol w:w="901"/>
        <w:gridCol w:w="205"/>
        <w:gridCol w:w="109"/>
        <w:gridCol w:w="109"/>
        <w:gridCol w:w="109"/>
        <w:gridCol w:w="340"/>
        <w:gridCol w:w="656"/>
        <w:gridCol w:w="250"/>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Fair Value of Net</w:t>
              <w:br/>
              <w:t>Asset/(Liability)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Quoted Prices in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Active Markets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Identical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Assets/(Liabilities)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Cross-currency swap contracts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derivatives</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9534" w:type="dxa"/>
        <w:jc w:val="left"/>
        <w:tblInd w:w="0" w:type="dxa"/>
        <w:tblLayout w:type="fixed"/>
        <w:tblCellMar>
          <w:top w:w="28" w:type="dxa"/>
          <w:left w:w="28" w:type="dxa"/>
          <w:bottom w:w="28" w:type="dxa"/>
          <w:right w:w="28" w:type="dxa"/>
        </w:tblCellMar>
      </w:tblPr>
      <w:tblGrid>
        <w:gridCol w:w="1022"/>
        <w:gridCol w:w="897"/>
        <w:gridCol w:w="901"/>
        <w:gridCol w:w="371"/>
        <w:gridCol w:w="847"/>
        <w:gridCol w:w="193"/>
        <w:gridCol w:w="109"/>
        <w:gridCol w:w="109"/>
        <w:gridCol w:w="109"/>
        <w:gridCol w:w="414"/>
        <w:gridCol w:w="946"/>
        <w:gridCol w:w="215"/>
        <w:gridCol w:w="109"/>
        <w:gridCol w:w="109"/>
        <w:gridCol w:w="109"/>
        <w:gridCol w:w="395"/>
        <w:gridCol w:w="901"/>
        <w:gridCol w:w="205"/>
        <w:gridCol w:w="109"/>
        <w:gridCol w:w="109"/>
        <w:gridCol w:w="109"/>
        <w:gridCol w:w="340"/>
        <w:gridCol w:w="656"/>
        <w:gridCol w:w="250"/>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Fair Value of Net</w:t>
              <w:br/>
              <w:t>Asset/(Liability)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Quoted Prices in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Active Markets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Identical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Assets/(Liabilities)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Cross-currency swap contracts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derivatives</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92785"/>
                <wp:effectExtent l="0" t="0" r="0" b="0"/>
                <wp:wrapNone/>
                <wp:docPr id="42" name="Frame1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314325" cy="209550"/>
                                                </a:xfrm>
                                                <a:prstGeom prst="rect">
                                                  <a:avLst/>
                                                </a:prstGeom>
                                              </pic:spPr>
                                            </pic:pic>
                                          </a:graphicData>
                                        </a:graphic>
                                      </wp:inline>
                                    </w:drawing>
                                  </w:r>
                                  <w:bookmarkStart w:id="27" w:name="i-15"/>
                                  <w:bookmarkEnd w:id="2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30"/>
                                          <a:stretch>
                                            <a:fillRect/>
                                          </a:stretch>
                                        </pic:blipFill>
                                        <pic:spPr bwMode="auto">
                                          <a:xfrm>
                                            <a:off x="0" y="0"/>
                                            <a:ext cx="314325" cy="209550"/>
                                          </a:xfrm>
                                          <a:prstGeom prst="rect">
                                            <a:avLst/>
                                          </a:prstGeom>
                                        </pic:spPr>
                                      </pic:pic>
                                    </a:graphicData>
                                  </a:graphic>
                                </wp:inline>
                              </w:drawing>
                            </w:r>
                            <w:bookmarkStart w:id="28" w:name="i-15"/>
                            <w:bookmarkEnd w:id="28"/>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Notional Amounts of Derivatives and Other Hedging Instruments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gross notional values of our derivative instruments, as well as non-U.S. dollar debt designated as net investment hedging instruments, were:</w:t>
      </w:r>
    </w:p>
    <w:tbl>
      <w:tblPr>
        <w:tblW w:w="9295" w:type="dxa"/>
        <w:jc w:val="left"/>
        <w:tblInd w:w="0" w:type="dxa"/>
        <w:tblLayout w:type="fixed"/>
        <w:tblCellMar>
          <w:top w:w="28" w:type="dxa"/>
          <w:left w:w="28" w:type="dxa"/>
          <w:bottom w:w="28" w:type="dxa"/>
          <w:right w:w="28" w:type="dxa"/>
        </w:tblCellMar>
      </w:tblPr>
      <w:tblGrid>
        <w:gridCol w:w="1901"/>
        <w:gridCol w:w="1668"/>
        <w:gridCol w:w="1680"/>
        <w:gridCol w:w="322"/>
        <w:gridCol w:w="1147"/>
        <w:gridCol w:w="166"/>
        <w:gridCol w:w="109"/>
        <w:gridCol w:w="109"/>
        <w:gridCol w:w="109"/>
        <w:gridCol w:w="394"/>
        <w:gridCol w:w="1403"/>
        <w:gridCol w:w="287"/>
      </w:tblGrid>
      <w:tr>
        <w:trPr/>
        <w:tc>
          <w:tcPr>
            <w:tcW w:w="1901"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19,853 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Commodity contracts</w:t>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Cross-currency swap contracts</w:t>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Non-U.S. dollar debt designated as net investment hedges:</w:t>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 notes</w:t>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Canadian dollar notes</w:t>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 Hedges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derivative instruments designated as cash flow hedges include interest rate swaps and cross-currency swaps. As of June 30, 2026, the aggregate notional value of those derivatives was $2.1 billion.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Cash flow hedge activity, net of taxes, is recorded within accumulated other comprehensive earnings/(losses) and reclassified to earnings in the periods in which the hedged item affects earnings. Refer to Note 10, </w:t>
      </w:r>
      <w:r>
        <w:rPr>
          <w:rFonts w:ascii="Arial;sans-serif" w:hAnsi="Arial;sans-serif"/>
          <w:b w:val="false"/>
          <w:i/>
          <w:color w:val="000000"/>
          <w:sz w:val="20"/>
        </w:rPr>
        <w:t>Accumulated Other Comprehensive Earnings/(Losses)</w:t>
      </w:r>
      <w:r>
        <w:rPr>
          <w:color w:val="000000"/>
        </w:rPr>
        <w:t xml:space="preserve"> </w:t>
      </w:r>
      <w:r>
        <w:rPr>
          <w:rFonts w:ascii="Arial;sans-serif" w:hAnsi="Arial;sans-serif"/>
          <w:b w:val="false"/>
          <w:color w:val="000000"/>
          <w:sz w:val="20"/>
        </w:rPr>
        <w:t>for additional information on current period activity. Based on current market conditions, less than $1 million, net of taxes, included in accumulated other comprehensive earnings/(losses) from cash flow hedges as of June 30, 2026 are expected to be recognized into earnings during the next 12 months.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2026, our longest dated cash flow hedge was a cross-currency swap that hedges currency exchange risk on certain debt denominated in a different currency than the functional currency of the borrowing entity over the next 18 years, 9 months.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Hedges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derivative instruments designated as fair value hedges include interest rate swaps. As of June 30, 2026, the aggregate notional value of those derivatives was $1.6 billion.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Fair value hedge pre-tax gains/(losses) recorded within interest and other expense, net were:</w:t>
      </w:r>
    </w:p>
    <w:tbl>
      <w:tblPr>
        <w:tblW w:w="7729" w:type="dxa"/>
        <w:jc w:val="left"/>
        <w:tblInd w:w="0" w:type="dxa"/>
        <w:tblLayout w:type="fixed"/>
        <w:tblCellMar>
          <w:top w:w="28" w:type="dxa"/>
          <w:left w:w="28" w:type="dxa"/>
          <w:bottom w:w="28" w:type="dxa"/>
          <w:right w:w="28" w:type="dxa"/>
        </w:tblCellMar>
      </w:tblPr>
      <w:tblGrid>
        <w:gridCol w:w="1025"/>
        <w:gridCol w:w="904"/>
        <w:gridCol w:w="906"/>
        <w:gridCol w:w="293"/>
        <w:gridCol w:w="460"/>
        <w:gridCol w:w="151"/>
        <w:gridCol w:w="151"/>
        <w:gridCol w:w="151"/>
        <w:gridCol w:w="151"/>
        <w:gridCol w:w="293"/>
        <w:gridCol w:w="564"/>
        <w:gridCol w:w="151"/>
        <w:gridCol w:w="109"/>
        <w:gridCol w:w="109"/>
        <w:gridCol w:w="109"/>
        <w:gridCol w:w="275"/>
        <w:gridCol w:w="353"/>
        <w:gridCol w:w="142"/>
        <w:gridCol w:w="142"/>
        <w:gridCol w:w="142"/>
        <w:gridCol w:w="142"/>
        <w:gridCol w:w="275"/>
        <w:gridCol w:w="530"/>
        <w:gridCol w:w="201"/>
      </w:tblGrid>
      <w:tr>
        <w:trPr/>
        <w:tc>
          <w:tcPr>
            <w:tcW w:w="102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Interest rate contracts</w:t>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Hedged items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Hedging derivatives</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impact of fair value hedges</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Amounts recorded in our condensed consolidated balance sheets related to hedged items in fair value hedging relationships were:</w:t>
      </w:r>
    </w:p>
    <w:tbl>
      <w:tblPr>
        <w:tblW w:w="10205" w:type="dxa"/>
        <w:jc w:val="left"/>
        <w:tblInd w:w="0" w:type="dxa"/>
        <w:tblLayout w:type="fixed"/>
        <w:tblCellMar>
          <w:top w:w="28" w:type="dxa"/>
          <w:left w:w="28" w:type="dxa"/>
          <w:bottom w:w="28" w:type="dxa"/>
          <w:right w:w="28" w:type="dxa"/>
        </w:tblCellMar>
      </w:tblPr>
      <w:tblGrid>
        <w:gridCol w:w="511"/>
        <w:gridCol w:w="449"/>
        <w:gridCol w:w="452"/>
        <w:gridCol w:w="353"/>
        <w:gridCol w:w="1082"/>
        <w:gridCol w:w="182"/>
        <w:gridCol w:w="166"/>
        <w:gridCol w:w="166"/>
        <w:gridCol w:w="166"/>
        <w:gridCol w:w="586"/>
        <w:gridCol w:w="1123"/>
        <w:gridCol w:w="299"/>
        <w:gridCol w:w="109"/>
        <w:gridCol w:w="109"/>
        <w:gridCol w:w="109"/>
        <w:gridCol w:w="521"/>
        <w:gridCol w:w="816"/>
        <w:gridCol w:w="269"/>
        <w:gridCol w:w="224"/>
        <w:gridCol w:w="224"/>
        <w:gridCol w:w="224"/>
        <w:gridCol w:w="565"/>
        <w:gridCol w:w="1080"/>
        <w:gridCol w:w="420"/>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 of the Hedged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Cumulative Fair Value Hedging Adjustments</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Long-term debt</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92785"/>
                <wp:effectExtent l="0" t="0" r="0" b="0"/>
                <wp:wrapNone/>
                <wp:docPr id="45" name="Frame1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314325" cy="209550"/>
                                                </a:xfrm>
                                                <a:prstGeom prst="rect">
                                                  <a:avLst/>
                                                </a:prstGeom>
                                              </pic:spPr>
                                            </pic:pic>
                                          </a:graphicData>
                                        </a:graphic>
                                      </wp:inline>
                                    </w:drawing>
                                  </w:r>
                                  <w:bookmarkStart w:id="29" w:name="i-16"/>
                                  <w:bookmarkEnd w:id="2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2"/>
                                          <a:stretch>
                                            <a:fillRect/>
                                          </a:stretch>
                                        </pic:blipFill>
                                        <pic:spPr bwMode="auto">
                                          <a:xfrm>
                                            <a:off x="0" y="0"/>
                                            <a:ext cx="314325" cy="209550"/>
                                          </a:xfrm>
                                          <a:prstGeom prst="rect">
                                            <a:avLst/>
                                          </a:prstGeom>
                                        </pic:spPr>
                                      </pic:pic>
                                    </a:graphicData>
                                  </a:graphic>
                                </wp:inline>
                              </w:drawing>
                            </w:r>
                            <w:bookmarkStart w:id="30" w:name="i-16"/>
                            <w:bookmarkEnd w:id="30"/>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Hedges of Net Investments in International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Derivative contracts designated as net investment hedges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derivative instruments designated as net investment hedges include foreign currency contracts and cross-currency swaps. As of June 30, 2026, the aggregate notional value of those derivatives was $9.4 billion.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investment hedge derivative contract pre-tax impacts on other comprehensive earnings/(losses) and net earnings were: </w:t>
      </w:r>
    </w:p>
    <w:tbl>
      <w:tblPr>
        <w:tblW w:w="10205" w:type="dxa"/>
        <w:jc w:val="left"/>
        <w:tblInd w:w="0" w:type="dxa"/>
        <w:tblLayout w:type="fixed"/>
        <w:tblCellMar>
          <w:top w:w="28" w:type="dxa"/>
          <w:left w:w="28" w:type="dxa"/>
          <w:bottom w:w="28" w:type="dxa"/>
          <w:right w:w="28" w:type="dxa"/>
        </w:tblCellMar>
      </w:tblPr>
      <w:tblGrid>
        <w:gridCol w:w="1890"/>
        <w:gridCol w:w="1565"/>
        <w:gridCol w:w="1569"/>
        <w:gridCol w:w="245"/>
        <w:gridCol w:w="492"/>
        <w:gridCol w:w="126"/>
        <w:gridCol w:w="126"/>
        <w:gridCol w:w="126"/>
        <w:gridCol w:w="126"/>
        <w:gridCol w:w="245"/>
        <w:gridCol w:w="614"/>
        <w:gridCol w:w="126"/>
        <w:gridCol w:w="109"/>
        <w:gridCol w:w="109"/>
        <w:gridCol w:w="109"/>
        <w:gridCol w:w="211"/>
        <w:gridCol w:w="481"/>
        <w:gridCol w:w="109"/>
        <w:gridCol w:w="109"/>
        <w:gridCol w:w="109"/>
        <w:gridCol w:w="109"/>
        <w:gridCol w:w="211"/>
        <w:gridCol w:w="692"/>
        <w:gridCol w:w="109"/>
        <w:gridCol w:w="109"/>
        <w:gridCol w:w="109"/>
        <w:gridCol w:w="109"/>
        <w:gridCol w:w="161"/>
      </w:tblGrid>
      <w:tr>
        <w:trPr/>
        <w:tc>
          <w:tcPr>
            <w:tcW w:w="189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8" w:type="dxa"/>
            <w:gridSpan w:val="4"/>
            <w:tcBorders/>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(Loss)/gain on NIH contracts </w:t>
            </w:r>
            <w:r>
              <w:rPr>
                <w:rFonts w:ascii="Arial;sans-serif" w:hAnsi="Arial;sans-serif"/>
                <w:b/>
                <w:color w:val="000000"/>
                <w:sz w:val="13"/>
              </w:rPr>
              <w:t>(1)</w:t>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Cross-currency swap contracts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Amounts excluded from the assessment of hedge effectiveness </w:t>
            </w:r>
            <w:r>
              <w:rPr>
                <w:rFonts w:ascii="Arial;sans-serif" w:hAnsi="Arial;sans-serif"/>
                <w:b/>
                <w:color w:val="000000"/>
                <w:sz w:val="13"/>
              </w:rPr>
              <w:t>(2)</w:t>
            </w:r>
          </w:p>
        </w:tc>
        <w:tc>
          <w:tcPr>
            <w:tcW w:w="8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Cross-currency swap contracts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(1)Amounts recorded for unsettled and settled NIH derivative contracts are recorded within the cumulative translation adjustment section of other comprehensive earnings/(losses).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(2)We assess the effectiveness of NIH relationships based on spot rates and amortize the initial value attributable to the excluded component to earnings over the life of the hedging instrument within interest and other expense, net.</w:t>
      </w:r>
    </w:p>
    <w:p>
      <w:pPr>
        <w:pStyle w:val="TextBody"/>
        <w:bidi w:val="0"/>
        <w:spacing w:before="100" w:after="283"/>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Non-U.S. dollar debt designated as net investment hedges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Pre-tax gains/(losses) related to non-U.S. dollar debt designated as hedges of net investments in international operations, which are recorded within the cumulative translation adjustment section of other comprehensive earnings/(losses), were:</w:t>
      </w:r>
    </w:p>
    <w:tbl>
      <w:tblPr>
        <w:tblW w:w="7327" w:type="dxa"/>
        <w:jc w:val="left"/>
        <w:tblInd w:w="0" w:type="dxa"/>
        <w:tblLayout w:type="fixed"/>
        <w:tblCellMar>
          <w:top w:w="28" w:type="dxa"/>
          <w:left w:w="28" w:type="dxa"/>
          <w:bottom w:w="28" w:type="dxa"/>
          <w:right w:w="28" w:type="dxa"/>
        </w:tblCellMar>
      </w:tblPr>
      <w:tblGrid>
        <w:gridCol w:w="719"/>
        <w:gridCol w:w="634"/>
        <w:gridCol w:w="641"/>
        <w:gridCol w:w="265"/>
        <w:gridCol w:w="473"/>
        <w:gridCol w:w="137"/>
        <w:gridCol w:w="137"/>
        <w:gridCol w:w="137"/>
        <w:gridCol w:w="137"/>
        <w:gridCol w:w="265"/>
        <w:gridCol w:w="680"/>
        <w:gridCol w:w="137"/>
        <w:gridCol w:w="109"/>
        <w:gridCol w:w="109"/>
        <w:gridCol w:w="109"/>
        <w:gridCol w:w="229"/>
        <w:gridCol w:w="522"/>
        <w:gridCol w:w="118"/>
        <w:gridCol w:w="118"/>
        <w:gridCol w:w="118"/>
        <w:gridCol w:w="118"/>
        <w:gridCol w:w="229"/>
        <w:gridCol w:w="587"/>
        <w:gridCol w:w="118"/>
        <w:gridCol w:w="109"/>
        <w:gridCol w:w="109"/>
        <w:gridCol w:w="109"/>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 notes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Swiss franc notes</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Canadian dollar notes</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92785"/>
                <wp:effectExtent l="0" t="0" r="0" b="0"/>
                <wp:wrapNone/>
                <wp:docPr id="48" name="Frame1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314325" cy="209550"/>
                                                </a:xfrm>
                                                <a:prstGeom prst="rect">
                                                  <a:avLst/>
                                                </a:prstGeom>
                                              </pic:spPr>
                                            </pic:pic>
                                          </a:graphicData>
                                        </a:graphic>
                                      </wp:inline>
                                    </w:drawing>
                                  </w:r>
                                  <w:bookmarkStart w:id="31" w:name="i-17"/>
                                  <w:bookmarkEnd w:id="3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4"/>
                                          <a:stretch>
                                            <a:fillRect/>
                                          </a:stretch>
                                        </pic:blipFill>
                                        <pic:spPr bwMode="auto">
                                          <a:xfrm>
                                            <a:off x="0" y="0"/>
                                            <a:ext cx="314325" cy="209550"/>
                                          </a:xfrm>
                                          <a:prstGeom prst="rect">
                                            <a:avLst/>
                                          </a:prstGeom>
                                        </pic:spPr>
                                      </pic:pic>
                                    </a:graphicData>
                                  </a:graphic>
                                </wp:inline>
                              </w:drawing>
                            </w:r>
                            <w:bookmarkStart w:id="32" w:name="i-17"/>
                            <w:bookmarkEnd w:id="32"/>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pPr>
      <w:r>
        <w:rPr>
          <w:rFonts w:ascii="Arial;sans-serif" w:hAnsi="Arial;sans-serif"/>
          <w:b w:val="false"/>
          <w:i/>
          <w:color w:val="000000"/>
          <w:sz w:val="20"/>
        </w:rPr>
        <w:t>Derivatives Not Designated as Accounting Hedges</w:t>
      </w:r>
      <w:r>
        <w:rPr>
          <w:rFonts w:ascii="Times New Roman;serif" w:hAnsi="Times New Roman;serif"/>
          <w:b w:val="false"/>
          <w:color w:val="000000"/>
          <w:sz w:val="20"/>
        </w:rPr>
        <w:br/>
      </w:r>
      <w:r>
        <w:rPr>
          <w:rFonts w:ascii="Arial;sans-serif" w:hAnsi="Arial;sans-serif"/>
          <w:b w:val="false"/>
          <w:color w:val="000000"/>
          <w:sz w:val="20"/>
        </w:rPr>
        <w:t>Pre-tax gains/(losses) recorded in net earnings for economic hedges were:</w:t>
      </w:r>
    </w:p>
    <w:tbl>
      <w:tblPr>
        <w:tblW w:w="10205" w:type="dxa"/>
        <w:jc w:val="left"/>
        <w:tblInd w:w="0" w:type="dxa"/>
        <w:tblLayout w:type="fixed"/>
        <w:tblCellMar>
          <w:top w:w="28" w:type="dxa"/>
          <w:left w:w="28" w:type="dxa"/>
          <w:bottom w:w="28" w:type="dxa"/>
          <w:right w:w="28" w:type="dxa"/>
        </w:tblCellMar>
      </w:tblPr>
      <w:tblGrid>
        <w:gridCol w:w="1772"/>
        <w:gridCol w:w="1549"/>
        <w:gridCol w:w="1561"/>
        <w:gridCol w:w="264"/>
        <w:gridCol w:w="603"/>
        <w:gridCol w:w="136"/>
        <w:gridCol w:w="136"/>
        <w:gridCol w:w="136"/>
        <w:gridCol w:w="136"/>
        <w:gridCol w:w="264"/>
        <w:gridCol w:w="545"/>
        <w:gridCol w:w="136"/>
        <w:gridCol w:w="109"/>
        <w:gridCol w:w="109"/>
        <w:gridCol w:w="109"/>
        <w:gridCol w:w="233"/>
        <w:gridCol w:w="482"/>
        <w:gridCol w:w="120"/>
        <w:gridCol w:w="120"/>
        <w:gridCol w:w="120"/>
        <w:gridCol w:w="120"/>
        <w:gridCol w:w="233"/>
        <w:gridCol w:w="599"/>
        <w:gridCol w:w="120"/>
        <w:gridCol w:w="109"/>
        <w:gridCol w:w="109"/>
        <w:gridCol w:w="109"/>
        <w:gridCol w:w="166"/>
      </w:tblGrid>
      <w:tr>
        <w:trPr/>
        <w:tc>
          <w:tcPr>
            <w:tcW w:w="177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4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93" w:type="dxa"/>
            <w:gridSpan w:val="4"/>
            <w:tcBorders/>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 of sales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Commodity contracts - Cost of sales</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rate contracts - Interest and other expense, net</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Fair Value of Contingent Consideration</w:t>
      </w:r>
    </w:p>
    <w:p>
      <w:pPr>
        <w:pStyle w:val="TextBody"/>
        <w:bidi w:val="0"/>
        <w:spacing w:lineRule="auto" w:line="288" w:before="0" w:after="0"/>
        <w:jc w:val="both"/>
        <w:rPr/>
      </w:pPr>
      <w:r>
        <w:rPr>
          <w:rFonts w:ascii="Arial;sans-serif" w:hAnsi="Arial;sans-serif"/>
          <w:b w:val="false"/>
          <w:color w:val="000000"/>
          <w:sz w:val="20"/>
        </w:rPr>
        <w:t xml:space="preserve">Contingent consideration liabilities, which reflect earn-out arrangements from business combinations, are recorded at fair value each period, with changes in fair value reported in earnings. The fair values of our contingent consideration liabilities were </w:t>
      </w:r>
      <w:r>
        <w:rPr>
          <w:rFonts w:ascii="Arial;sans-serif" w:hAnsi="Arial;sans-serif"/>
          <w:b w:val="false"/>
          <w:color w:val="000000"/>
          <w:sz w:val="20"/>
          <w:shd w:fill="FFFFFF" w:val="clear"/>
        </w:rPr>
        <w:t>$156 million</w:t>
      </w:r>
      <w:r>
        <w:rPr>
          <w:color w:val="000000"/>
        </w:rPr>
        <w:t xml:space="preserve"> </w:t>
      </w:r>
      <w:r>
        <w:rPr>
          <w:rFonts w:ascii="Arial;sans-serif" w:hAnsi="Arial;sans-serif"/>
          <w:b w:val="false"/>
          <w:color w:val="000000"/>
          <w:sz w:val="20"/>
        </w:rPr>
        <w:t>and $149 million as of June 30, 2026 and December 31, 2025, respectively. Contingent consideration liabilities are primarily recorded in other liabilities</w:t>
      </w:r>
      <w:r>
        <w:rPr>
          <w:color w:val="000000"/>
        </w:rPr>
        <w:t xml:space="preserve"> </w:t>
      </w:r>
      <w:r>
        <w:rPr>
          <w:rFonts w:ascii="Arial;sans-serif" w:hAnsi="Arial;sans-serif"/>
          <w:b w:val="false"/>
          <w:color w:val="000000"/>
          <w:sz w:val="20"/>
        </w:rPr>
        <w:t xml:space="preserve">in the condensed consolidated balance sheets and changes in their fair values are primarily recorded in selling, general and administrative expenses in the condensed consolidated statements of earnings.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estimated fair values of our contingent consideration liabilities were primarily determined using Monte Carlo simulations. Significant assumptions used in assessing the fair value of the liabilities include financial projections for net revenue, gross profit and EBITDA, as well as discount and volatility rates. Fair value measurements of contingent consideration liabilities are classified as Level 3 in the fair value hierarchy because they use significant unobservable inputs.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Contingent consideration arrangements include an earn-out related to the acquisition of Clif Bar &amp; Company (“Clif Bar”) in 2022. The possible payments under that arrangement range from zero to a maximum total of $2.4 billion, with higher payouts requiring the achievement of targets that generate rates of returns in excess of our base financial projections for the business.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is a summary of our contingent consideration liability activity:</w:t>
      </w:r>
    </w:p>
    <w:p>
      <w:pPr>
        <w:pStyle w:val="TextBody"/>
        <w:bidi w:val="0"/>
        <w:spacing w:before="0" w:after="0"/>
        <w:jc w:val="both"/>
        <w:rPr/>
      </w:pPr>
      <w:r>
        <w:rPr/>
      </w:r>
    </w:p>
    <w:tbl>
      <w:tblPr>
        <w:tblW w:w="7592" w:type="dxa"/>
        <w:jc w:val="left"/>
        <w:tblInd w:w="0" w:type="dxa"/>
        <w:tblLayout w:type="fixed"/>
        <w:tblCellMar>
          <w:top w:w="28" w:type="dxa"/>
          <w:left w:w="28" w:type="dxa"/>
          <w:bottom w:w="28" w:type="dxa"/>
          <w:right w:w="28" w:type="dxa"/>
        </w:tblCellMar>
      </w:tblPr>
      <w:tblGrid>
        <w:gridCol w:w="976"/>
        <w:gridCol w:w="859"/>
        <w:gridCol w:w="865"/>
        <w:gridCol w:w="259"/>
        <w:gridCol w:w="591"/>
        <w:gridCol w:w="133"/>
        <w:gridCol w:w="133"/>
        <w:gridCol w:w="133"/>
        <w:gridCol w:w="133"/>
        <w:gridCol w:w="259"/>
        <w:gridCol w:w="591"/>
        <w:gridCol w:w="133"/>
        <w:gridCol w:w="109"/>
        <w:gridCol w:w="109"/>
        <w:gridCol w:w="109"/>
        <w:gridCol w:w="235"/>
        <w:gridCol w:w="537"/>
        <w:gridCol w:w="121"/>
        <w:gridCol w:w="121"/>
        <w:gridCol w:w="121"/>
        <w:gridCol w:w="121"/>
        <w:gridCol w:w="235"/>
        <w:gridCol w:w="537"/>
        <w:gridCol w:w="172"/>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at beginning of period</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fair value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at end of period</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692785"/>
                <wp:effectExtent l="0" t="0" r="0" b="0"/>
                <wp:wrapNone/>
                <wp:docPr id="51" name="Frame1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314325" cy="209550"/>
                                                </a:xfrm>
                                                <a:prstGeom prst="rect">
                                                  <a:avLst/>
                                                </a:prstGeom>
                                              </pic:spPr>
                                            </pic:pic>
                                          </a:graphicData>
                                        </a:graphic>
                                      </wp:inline>
                                    </w:drawing>
                                  </w:r>
                                  <w:bookmarkStart w:id="33" w:name="i-18"/>
                                  <w:bookmarkEnd w:id="3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6"/>
                                          <a:stretch>
                                            <a:fillRect/>
                                          </a:stretch>
                                        </pic:blipFill>
                                        <pic:spPr bwMode="auto">
                                          <a:xfrm>
                                            <a:off x="0" y="0"/>
                                            <a:ext cx="314325" cy="209550"/>
                                          </a:xfrm>
                                          <a:prstGeom prst="rect">
                                            <a:avLst/>
                                          </a:prstGeom>
                                        </pic:spPr>
                                      </pic:pic>
                                    </a:graphicData>
                                  </a:graphic>
                                </wp:inline>
                              </w:drawing>
                            </w:r>
                            <w:bookmarkStart w:id="34" w:name="i-18"/>
                            <w:bookmarkEnd w:id="34"/>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7. Benefit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Pension Plans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Components of Net Periodic Pension (Benefit)/Cost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periodic pension (benefit)/cost consisted of the following:</w:t>
      </w:r>
    </w:p>
    <w:tbl>
      <w:tblPr>
        <w:tblW w:w="9230" w:type="dxa"/>
        <w:jc w:val="left"/>
        <w:tblInd w:w="0" w:type="dxa"/>
        <w:tblLayout w:type="fixed"/>
        <w:tblCellMar>
          <w:top w:w="28" w:type="dxa"/>
          <w:left w:w="28" w:type="dxa"/>
          <w:bottom w:w="28" w:type="dxa"/>
          <w:right w:w="28" w:type="dxa"/>
        </w:tblCellMar>
      </w:tblPr>
      <w:tblGrid>
        <w:gridCol w:w="1495"/>
        <w:gridCol w:w="1310"/>
        <w:gridCol w:w="1320"/>
        <w:gridCol w:w="269"/>
        <w:gridCol w:w="519"/>
        <w:gridCol w:w="139"/>
        <w:gridCol w:w="139"/>
        <w:gridCol w:w="139"/>
        <w:gridCol w:w="139"/>
        <w:gridCol w:w="269"/>
        <w:gridCol w:w="615"/>
        <w:gridCol w:w="139"/>
        <w:gridCol w:w="109"/>
        <w:gridCol w:w="109"/>
        <w:gridCol w:w="109"/>
        <w:gridCol w:w="270"/>
        <w:gridCol w:w="559"/>
        <w:gridCol w:w="139"/>
        <w:gridCol w:w="139"/>
        <w:gridCol w:w="139"/>
        <w:gridCol w:w="139"/>
        <w:gridCol w:w="270"/>
        <w:gridCol w:w="559"/>
        <w:gridCol w:w="197"/>
      </w:tblGrid>
      <w:tr>
        <w:trPr/>
        <w:tc>
          <w:tcPr>
            <w:tcW w:w="14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net loss and prior service cost</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losses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Net periodic pension cost/(benefit)</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net loss and prior service cost</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(gains)/losses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Net periodic pension (benefit)/cost</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Employer Contributions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six months ended June 30, 2026, we contributed $2 million and $46 million to our U.S. and non-U.S. pension plans, respectively. We make contributions to our pension plans in accordance with local funding arrangements and statutory minimum funding requirements. Discretionary contributions are made to the extent that they are tax deductible and do not generate an excise tax liability.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2026, we plan to make no further contributions to our U.S. plans and further contributions of approximately $31 million to our non-U.S. plans for the remainder of 2026. However, our actual contributions may be different due to many factors, including changes in tax and other benefit laws, significant differences between expected and actual pension asset performance or changes in interest rates.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Mondelēz Global LLC Retirement Plan Settlement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2024, we entered into agreements with two third-party insurance companies to purchase buy-in annuity contracts to cover the liabilities associated with the Mondelēz Global LLC Retirement Plan ("MDLZ Global Plan"), the pension plan for U.S. salaried employees. The agreements provided us with the option to elect a buy-out conversion, at which time full responsibility of the MDLZ Global Plan obligations would transfer to the insurance companies. During the second quarter of 2025, we elected the buy-out conversion and recognized a non-cash pre-tax settlement loss of $282 million as a component of our net periodic pension cost.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Multiemployer Pension Plans</w:t>
      </w:r>
    </w:p>
    <w:p>
      <w:pPr>
        <w:pStyle w:val="TextBody"/>
        <w:bidi w:val="0"/>
        <w:spacing w:lineRule="auto" w:line="288" w:before="0" w:after="0"/>
        <w:jc w:val="both"/>
        <w:rPr/>
      </w:pPr>
      <w:r>
        <w:rPr>
          <w:rFonts w:ascii="Arial;sans-serif" w:hAnsi="Arial;sans-serif"/>
          <w:b w:val="false"/>
          <w:color w:val="000000"/>
          <w:sz w:val="20"/>
        </w:rPr>
        <w:t>On July 11, 2019, we received a withdrawal liability assessment from the Bakery and Confectionery Union and the Industry International Pension Fund requiring pro-rata monthly payments over 20 years and we recorded a discounted liability of $491 million at that time. In connection with the discounted long-term liability, we recorded accreted interest of $2 million and $3 million for the three months ended June 30, 2026 and 2025, respectively, and $4 million and $5 million for the six months ended June 30, 2026 and 2025, respectively,</w:t>
      </w:r>
      <w:r>
        <w:rPr>
          <w:color w:val="000000"/>
        </w:rPr>
        <w:t xml:space="preserve"> </w:t>
      </w:r>
      <w:r>
        <w:rPr>
          <w:rFonts w:ascii="Arial;sans-serif" w:hAnsi="Arial;sans-serif"/>
          <w:b w:val="false"/>
          <w:color w:val="000000"/>
          <w:sz w:val="20"/>
        </w:rPr>
        <w:t>within interest and other expense, net</w:t>
      </w:r>
      <w:r>
        <w:rPr>
          <w:color w:val="000000"/>
        </w:rPr>
        <w:t xml:space="preserve"> </w:t>
      </w:r>
      <w:r>
        <w:rPr>
          <w:rFonts w:ascii="Arial;sans-serif" w:hAnsi="Arial;sans-serif"/>
          <w:b w:val="false"/>
          <w:color w:val="000000"/>
          <w:sz w:val="20"/>
        </w:rPr>
        <w:t xml:space="preserve">in the condensed consolidated statements of earnings. As of June 30, 2026, the remaining discounted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92785"/>
                <wp:effectExtent l="0" t="0" r="0" b="0"/>
                <wp:wrapNone/>
                <wp:docPr id="54" name="Frame1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314325" cy="209550"/>
                                                </a:xfrm>
                                                <a:prstGeom prst="rect">
                                                  <a:avLst/>
                                                </a:prstGeom>
                                              </pic:spPr>
                                            </pic:pic>
                                          </a:graphicData>
                                        </a:graphic>
                                      </wp:inline>
                                    </w:drawing>
                                  </w:r>
                                  <w:bookmarkStart w:id="35" w:name="i-19"/>
                                  <w:bookmarkEnd w:id="3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8"/>
                                          <a:stretch>
                                            <a:fillRect/>
                                          </a:stretch>
                                        </pic:blipFill>
                                        <pic:spPr bwMode="auto">
                                          <a:xfrm>
                                            <a:off x="0" y="0"/>
                                            <a:ext cx="314325" cy="209550"/>
                                          </a:xfrm>
                                          <a:prstGeom prst="rect">
                                            <a:avLst/>
                                          </a:prstGeom>
                                        </pic:spPr>
                                      </pic:pic>
                                    </a:graphicData>
                                  </a:graphic>
                                </wp:inline>
                              </w:drawing>
                            </w:r>
                            <w:bookmarkStart w:id="36" w:name="i-19"/>
                            <w:bookmarkEnd w:id="36"/>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withdrawal liability was $285 million, with $17 million recorded in other current liabilities and $268 million recorded in other liabilities in the condensed consolidated balance sheets.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Postretirement and Postemployment Benefit Plans</w:t>
      </w:r>
    </w:p>
    <w:p>
      <w:pPr>
        <w:pStyle w:val="TextBody"/>
        <w:bidi w:val="0"/>
        <w:spacing w:lineRule="auto" w:line="288" w:before="0" w:after="0"/>
        <w:jc w:val="both"/>
        <w:rPr/>
      </w:pPr>
      <w:r>
        <w:rPr>
          <w:rFonts w:ascii="Arial;sans-serif" w:hAnsi="Arial;sans-serif"/>
          <w:b w:val="false"/>
          <w:color w:val="000000"/>
          <w:sz w:val="20"/>
        </w:rPr>
        <w:t>Net periodic postretirement benefit was $5 million and $3 million for the three months ended June 30, 2026 and 2025, respectively, and $10 million and $6 million for the six months ended June 30, 2026 and 2025, respectively. Net periodic postemployment cost was $4 million and $6 million</w:t>
      </w:r>
      <w:r>
        <w:rPr>
          <w:color w:val="000000"/>
        </w:rPr>
        <w:t xml:space="preserve"> </w:t>
      </w:r>
      <w:r>
        <w:rPr>
          <w:rFonts w:ascii="Arial;sans-serif" w:hAnsi="Arial;sans-serif"/>
          <w:b w:val="false"/>
          <w:color w:val="000000"/>
          <w:sz w:val="20"/>
        </w:rPr>
        <w:t>for the three months ended June 30, 2026 and 2025, respectively, and $8 million and $11 million for the six months ended June 30, 2026 and 2025</w:t>
      </w:r>
      <w:r>
        <w:rPr>
          <w:rFonts w:ascii="Times New Roman;serif" w:hAnsi="Times New Roman;serif"/>
          <w:b w:val="false"/>
          <w:color w:val="000000"/>
          <w:sz w:val="20"/>
        </w:rPr>
        <w:t xml:space="preserve">, </w:t>
      </w:r>
      <w:r>
        <w:rPr>
          <w:rFonts w:ascii="Arial;sans-serif" w:hAnsi="Arial;sans-serif"/>
          <w:b w:val="false"/>
          <w:color w:val="000000"/>
          <w:sz w:val="20"/>
        </w:rPr>
        <w:t xml:space="preserve">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8. Commitments and Contingencies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Legal Proceedings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April 1, 2015, the U.S. Commodity Futures Trading Commission ("CFTC") filed a complaint against Kraft Foods Group and Mondelēz Global LLC (“Mondelēz Global”) in the U.S. District Court for the Northern District of Illinois (the "District Court") related to the trading of December 2011 wheat futures contracts that occurred prior to the spin-off of Kraft Foods Group. The complaint alleged that Mondelēz Global: (1) manipulated or attempted to manipulate the wheat markets during the fall of 2011; (2) violated position limit levels for wheat futures; and (3) engaged in non-competitive trades.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Mondelēz Global in the District Court by investors who copied and expanded upon the CFTC allegations in a series of private claims for monetary damages as well as injunctive, declaratory, and other unspecified relief. In June 2015, these suits were consolidated in the United States District Court for the Northern District of Illinois as case number 15-cv-2937, Harry Ploss et al. v. Kraft Foods Group, Inc. and Mondelēz Global LLC. On January 3, 2020, the District Court granted plaintiffs' request to certify a class. In November 2022, the District Court adjourned the trial date it had previously set for November 30, 2022 and ordered the parties to brief Kraft’s motions to decertify the class and for summary judgment, which has been completed. It is not possible to predict the outcome of these matters; however, based on our Separation and Distribution Agreement with Kraft Foods Group dated as of September 27, 2012, we expect to bear any monetary penalties or other payments in connection with the class action.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Third-Party Guarantees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enter into third-party guarantees primarily to cover long-term obligations of our vendors. As part of these transactions, we guarantee that third parties will make contractual payments or achieve performance measures. As of June 30, 2026 and December 31, 2025, we had no material third-party guarantees recorded on our condensed consolidated balance sheets.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Tax Matters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92785"/>
                <wp:effectExtent l="0" t="0" r="0" b="0"/>
                <wp:wrapNone/>
                <wp:docPr id="57" name="Frame2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314325" cy="209550"/>
                                                </a:xfrm>
                                                <a:prstGeom prst="rect">
                                                  <a:avLst/>
                                                </a:prstGeom>
                                              </pic:spPr>
                                            </pic:pic>
                                          </a:graphicData>
                                        </a:graphic>
                                      </wp:inline>
                                    </w:drawing>
                                  </w:r>
                                  <w:bookmarkStart w:id="37" w:name="i-20"/>
                                  <w:bookmarkEnd w:id="3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40"/>
                                          <a:stretch>
                                            <a:fillRect/>
                                          </a:stretch>
                                        </pic:blipFill>
                                        <pic:spPr bwMode="auto">
                                          <a:xfrm>
                                            <a:off x="0" y="0"/>
                                            <a:ext cx="314325" cy="209550"/>
                                          </a:xfrm>
                                          <a:prstGeom prst="rect">
                                            <a:avLst/>
                                          </a:prstGeom>
                                        </pic:spPr>
                                      </pic:pic>
                                    </a:graphicData>
                                  </a:graphic>
                                </wp:inline>
                              </w:drawing>
                            </w:r>
                            <w:bookmarkStart w:id="38" w:name="i-20"/>
                            <w:bookmarkEnd w:id="38"/>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9. Shareholders' Equity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 Award Activity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 Options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 option activity is reflected below:</w:t>
      </w:r>
    </w:p>
    <w:tbl>
      <w:tblPr>
        <w:tblW w:w="8630" w:type="dxa"/>
        <w:jc w:val="left"/>
        <w:tblInd w:w="0" w:type="dxa"/>
        <w:tblLayout w:type="fixed"/>
        <w:tblCellMar>
          <w:top w:w="28" w:type="dxa"/>
          <w:left w:w="28" w:type="dxa"/>
          <w:bottom w:w="28" w:type="dxa"/>
          <w:right w:w="28" w:type="dxa"/>
        </w:tblCellMar>
      </w:tblPr>
      <w:tblGrid>
        <w:gridCol w:w="907"/>
        <w:gridCol w:w="797"/>
        <w:gridCol w:w="800"/>
        <w:gridCol w:w="563"/>
        <w:gridCol w:w="563"/>
        <w:gridCol w:w="431"/>
        <w:gridCol w:w="109"/>
        <w:gridCol w:w="109"/>
        <w:gridCol w:w="109"/>
        <w:gridCol w:w="399"/>
        <w:gridCol w:w="399"/>
        <w:gridCol w:w="401"/>
        <w:gridCol w:w="109"/>
        <w:gridCol w:w="109"/>
        <w:gridCol w:w="109"/>
        <w:gridCol w:w="345"/>
        <w:gridCol w:w="345"/>
        <w:gridCol w:w="346"/>
        <w:gridCol w:w="109"/>
        <w:gridCol w:w="109"/>
        <w:gridCol w:w="109"/>
        <w:gridCol w:w="211"/>
        <w:gridCol w:w="376"/>
        <w:gridCol w:w="766"/>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 Subject</w:t>
              <w:br/>
              <w:t>to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2026</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15,721,919 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3,190,140 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Exercised </w:t>
            </w:r>
            <w:r>
              <w:rPr>
                <w:rFonts w:ascii="Arial;sans-serif" w:hAnsi="Arial;sans-serif"/>
                <w:b w:val="false"/>
                <w:color w:val="000000"/>
                <w:sz w:val="13"/>
              </w:rPr>
              <w:t>(1)</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(1,260,284)</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Canceled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(329,518)</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17,322,257 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(1)Cash received from options exercised was $15 million and $53 million in the three and six months ended June 30, 2026, respectively. The excess income tax benefit from stock option exercises was $2 million and $3 million</w:t>
      </w:r>
      <w:r>
        <w:rPr>
          <w:color w:val="000000"/>
        </w:rPr>
        <w:t xml:space="preserve"> </w:t>
      </w:r>
      <w:r>
        <w:rPr>
          <w:rFonts w:ascii="Arial;sans-serif" w:hAnsi="Arial;sans-serif"/>
          <w:b w:val="false"/>
          <w:color w:val="000000"/>
          <w:sz w:val="16"/>
        </w:rPr>
        <w:t>in the three and six months ended June 30, 2026, respectively.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Performance Share Units ("PSU") and Deferred Stock Units ("DSU")</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PSU and DSU activity is reflected below:</w:t>
      </w:r>
    </w:p>
    <w:tbl>
      <w:tblPr>
        <w:tblW w:w="8138" w:type="dxa"/>
        <w:jc w:val="left"/>
        <w:tblInd w:w="0" w:type="dxa"/>
        <w:tblLayout w:type="fixed"/>
        <w:tblCellMar>
          <w:top w:w="28" w:type="dxa"/>
          <w:left w:w="28" w:type="dxa"/>
          <w:bottom w:w="28" w:type="dxa"/>
          <w:right w:w="28" w:type="dxa"/>
        </w:tblCellMar>
      </w:tblPr>
      <w:tblGrid>
        <w:gridCol w:w="907"/>
        <w:gridCol w:w="797"/>
        <w:gridCol w:w="800"/>
        <w:gridCol w:w="539"/>
        <w:gridCol w:w="541"/>
        <w:gridCol w:w="286"/>
        <w:gridCol w:w="109"/>
        <w:gridCol w:w="109"/>
        <w:gridCol w:w="109"/>
        <w:gridCol w:w="594"/>
        <w:gridCol w:w="594"/>
        <w:gridCol w:w="596"/>
        <w:gridCol w:w="109"/>
        <w:gridCol w:w="109"/>
        <w:gridCol w:w="109"/>
        <w:gridCol w:w="264"/>
        <w:gridCol w:w="603"/>
        <w:gridCol w:w="963"/>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Grant Date Fair Value</w:t>
            </w:r>
          </w:p>
          <w:p>
            <w:pPr>
              <w:pStyle w:val="TableContents"/>
              <w:bidi w:val="0"/>
              <w:spacing w:lineRule="auto" w:line="240" w:before="0" w:after="0"/>
              <w:jc w:val="center"/>
              <w:rPr/>
            </w:pPr>
            <w:r>
              <w:rPr>
                <w:rFonts w:ascii="Arial;sans-serif" w:hAnsi="Arial;sans-serif"/>
                <w:b/>
                <w:color w:val="000000"/>
                <w:sz w:val="16"/>
              </w:rPr>
              <w:t xml:space="preserve">Per Share </w:t>
            </w:r>
            <w:r>
              <w:rPr>
                <w:rFonts w:ascii="Arial;sans-serif" w:hAnsi="Arial;sans-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br/>
              <w:t>Aggregate</w:t>
              <w:br/>
              <w:t>Grant Date Fair Value</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2026</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5,337,124 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Units granted:</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Performance share units </w:t>
            </w:r>
            <w:r>
              <w:rPr>
                <w:rFonts w:ascii="Arial;sans-serif" w:hAnsi="Arial;sans-serif"/>
                <w:b w:val="false"/>
                <w:color w:val="000000"/>
                <w:sz w:val="13"/>
              </w:rPr>
              <w:t>(1)</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1,089,805 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stock units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1,994,725 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Total units granted </w:t>
            </w:r>
            <w:r>
              <w:rPr>
                <w:rFonts w:ascii="Arial;sans-serif" w:hAnsi="Arial;sans-serif"/>
                <w:b w:val="false"/>
                <w:color w:val="000000"/>
                <w:sz w:val="13"/>
              </w:rPr>
              <w:t>(1)</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3,084,530 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Vested </w:t>
            </w:r>
            <w:r>
              <w:rPr>
                <w:rFonts w:ascii="Arial;sans-serif" w:hAnsi="Arial;sans-serif"/>
                <w:b w:val="false"/>
                <w:color w:val="000000"/>
                <w:sz w:val="13"/>
              </w:rPr>
              <w:t>(1)</w:t>
            </w:r>
            <w:r>
              <w:rPr>
                <w:color w:val="000000"/>
              </w:rPr>
              <w:t xml:space="preserve"> </w:t>
            </w:r>
            <w:r>
              <w:rPr>
                <w:rFonts w:ascii="Arial;sans-serif" w:hAnsi="Arial;sans-serif"/>
                <w:b w:val="false"/>
                <w:color w:val="000000"/>
                <w:sz w:val="13"/>
              </w:rPr>
              <w:t>(2)</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(1,638,597)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Forfeited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(264,753)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10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6,518,304 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incremental PSUs issued over target.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(2)The income tax shortfall upon vesting of PSUs and DSUs was zero and $2 million in the three and six months ended June 30, 2026, respectively.</w:t>
      </w:r>
    </w:p>
    <w:p>
      <w:pPr>
        <w:pStyle w:val="TextBody"/>
        <w:bidi w:val="0"/>
        <w:spacing w:lineRule="auto" w:line="256"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(3)The grant date fair value of PSUs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as long as the requisite service has been provided.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Share Repurchase Program</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Effective January 1, 2025, our Board of Directors replaced our prior share repurchase program by approving a program authorizing the repurchase of up to $9.0 billion of our Common Stock through December 31, 2027. Repurchases under the program are determined by management and are wholly discretionary.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six months ended June 30, 2026, we repurchased approximately 3 million shares of Common Stock at an average cost of $60.69 per share, or an aggregate cost of approximately $210 million, all of which was paid during the period except for approximately $18 million settled in July 2026. All share repurchases were funded through available cash and commercial paper issuances. As of June 30, 2026, we have approximately $6.5 billion in remaining share repurchase capacity.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92785"/>
                <wp:effectExtent l="0" t="0" r="0" b="0"/>
                <wp:wrapNone/>
                <wp:docPr id="60" name="Frame2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314325" cy="209550"/>
                                                </a:xfrm>
                                                <a:prstGeom prst="rect">
                                                  <a:avLst/>
                                                </a:prstGeom>
                                              </pic:spPr>
                                            </pic:pic>
                                          </a:graphicData>
                                        </a:graphic>
                                      </wp:inline>
                                    </w:drawing>
                                  </w:r>
                                  <w:bookmarkStart w:id="39" w:name="i-21"/>
                                  <w:bookmarkEnd w:id="3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2"/>
                                          <a:stretch>
                                            <a:fillRect/>
                                          </a:stretch>
                                        </pic:blipFill>
                                        <pic:spPr bwMode="auto">
                                          <a:xfrm>
                                            <a:off x="0" y="0"/>
                                            <a:ext cx="314325" cy="209550"/>
                                          </a:xfrm>
                                          <a:prstGeom prst="rect">
                                            <a:avLst/>
                                          </a:prstGeom>
                                        </pic:spPr>
                                      </pic:pic>
                                    </a:graphicData>
                                  </a:graphic>
                                </wp:inline>
                              </w:drawing>
                            </w:r>
                            <w:bookmarkStart w:id="40" w:name="i-21"/>
                            <w:bookmarkEnd w:id="40"/>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10. Accumulated Other Comprehensive Earnings/(Losses)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losses of $(27) million and $(284) million in the second quarter of 2026 and 2025, respectively, and $(38) million and $(331) million in the first six months of 2026 and 2025, respectively.</w:t>
      </w:r>
    </w:p>
    <w:tbl>
      <w:tblPr>
        <w:tblW w:w="10205" w:type="dxa"/>
        <w:jc w:val="left"/>
        <w:tblInd w:w="0" w:type="dxa"/>
        <w:tblLayout w:type="fixed"/>
        <w:tblCellMar>
          <w:top w:w="28" w:type="dxa"/>
          <w:left w:w="28" w:type="dxa"/>
          <w:bottom w:w="28" w:type="dxa"/>
          <w:right w:w="28" w:type="dxa"/>
        </w:tblCellMar>
      </w:tblPr>
      <w:tblGrid>
        <w:gridCol w:w="1824"/>
        <w:gridCol w:w="1489"/>
        <w:gridCol w:w="1497"/>
        <w:gridCol w:w="211"/>
        <w:gridCol w:w="771"/>
        <w:gridCol w:w="109"/>
        <w:gridCol w:w="109"/>
        <w:gridCol w:w="109"/>
        <w:gridCol w:w="109"/>
        <w:gridCol w:w="211"/>
        <w:gridCol w:w="771"/>
        <w:gridCol w:w="109"/>
        <w:gridCol w:w="109"/>
        <w:gridCol w:w="109"/>
        <w:gridCol w:w="109"/>
        <w:gridCol w:w="211"/>
        <w:gridCol w:w="771"/>
        <w:gridCol w:w="109"/>
        <w:gridCol w:w="109"/>
        <w:gridCol w:w="109"/>
        <w:gridCol w:w="109"/>
        <w:gridCol w:w="211"/>
        <w:gridCol w:w="771"/>
        <w:gridCol w:w="159"/>
      </w:tblGrid>
      <w:tr>
        <w:trPr/>
        <w:tc>
          <w:tcPr>
            <w:tcW w:w="182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 millions)</w:t>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Currency Translation Adjustments: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translation adjustments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effect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earnings/(losses)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other comprehensive (earnings)/loss attributable to noncontrolling interests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Pension and Other Benefit Plans:</w:t>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actuarial gain/(loss) arising during period</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effect on net actuarial gain/(loss)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Losses/(gains) reclassified into net earnings:</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Amortization of net loss and prior service </w:t>
            </w:r>
            <w:r>
              <w:rPr>
                <w:rFonts w:ascii="Arial;sans-serif" w:hAnsi="Arial;sans-serif"/>
                <w:b w:val="false"/>
                <w:color w:val="000000"/>
                <w:sz w:val="12"/>
              </w:rPr>
              <w:t>(1)</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Settlement losses/(gains) </w:t>
            </w:r>
            <w:r>
              <w:rPr>
                <w:rFonts w:ascii="Arial;sans-serif" w:hAnsi="Arial;sans-serif"/>
                <w:b w:val="false"/>
                <w:color w:val="000000"/>
                <w:sz w:val="12"/>
              </w:rPr>
              <w:t>(1)</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Tax expense/(benefit) on reclassifications </w:t>
            </w:r>
            <w:r>
              <w:rPr>
                <w:rFonts w:ascii="Arial;sans-serif" w:hAnsi="Arial;sans-serif"/>
                <w:b w:val="false"/>
                <w:color w:val="000000"/>
                <w:sz w:val="12"/>
              </w:rPr>
              <w:t>(3)</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impact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earnings/(losses)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Derivative Cash Flow Hedges:</w:t>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rate contracts gains/(losses)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Cross-currency swap contracts gains/(losses)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derivative gains/(losses)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effect on net derivative gain/(loss)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Losses/(gains) reclassified into net earnings: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rate contracts</w:t>
            </w:r>
            <w:r>
              <w:rPr>
                <w:color w:val="000000"/>
              </w:rPr>
              <w:t xml:space="preserve"> </w:t>
            </w:r>
            <w:r>
              <w:rPr>
                <w:rFonts w:ascii="Arial;sans-serif" w:hAnsi="Arial;sans-serif"/>
                <w:b w:val="false"/>
                <w:color w:val="000000"/>
                <w:sz w:val="12"/>
              </w:rPr>
              <w:t>(2)</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Cross-currency swap contracts</w:t>
            </w:r>
            <w:r>
              <w:rPr>
                <w:color w:val="000000"/>
              </w:rPr>
              <w:t xml:space="preserve"> </w:t>
            </w:r>
            <w:r>
              <w:rPr>
                <w:rFonts w:ascii="Arial;sans-serif" w:hAnsi="Arial;sans-serif"/>
                <w:b w:val="false"/>
                <w:color w:val="000000"/>
                <w:sz w:val="12"/>
              </w:rPr>
              <w:t>(2)</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Tax expense/(benefit) on reclassifications</w:t>
            </w:r>
            <w:r>
              <w:rPr>
                <w:color w:val="000000"/>
              </w:rPr>
              <w:t xml:space="preserve"> </w:t>
            </w:r>
            <w:r>
              <w:rPr>
                <w:rFonts w:ascii="Arial;sans-serif" w:hAnsi="Arial;sans-serif"/>
                <w:b w:val="false"/>
                <w:color w:val="000000"/>
                <w:sz w:val="12"/>
              </w:rPr>
              <w:t>(3)</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impact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earnings/(losses)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Accumulated other comprehensive losses attributable to Mondelēz International:</w:t>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earnings/(losses)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other comprehensive (earnings)/loss attributable to noncontrolling interests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earnings/(losses) attributable to Mondelēz International</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(11,561)</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xml:space="preserve">(1)These reclassified losses/(gains) are included in net periodic benefit costs disclosed in Note 7, </w:t>
      </w:r>
      <w:r>
        <w:rPr>
          <w:rFonts w:ascii="Arial;sans-serif" w:hAnsi="Arial;sans-serif"/>
          <w:b w:val="false"/>
          <w:i/>
          <w:color w:val="000000"/>
          <w:sz w:val="16"/>
        </w:rPr>
        <w:t>Benefit Plans</w:t>
      </w:r>
      <w:r>
        <w:rPr>
          <w:rFonts w:ascii="Arial;sans-serif" w:hAnsi="Arial;sans-serif"/>
          <w:b w:val="false"/>
          <w:color w:val="000000"/>
          <w:sz w:val="16"/>
        </w:rPr>
        <w: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(2)These reclassified gains or losses are recorded within interest and other expense, net.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(3)Taxes reclassified to earnings are recorded within the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92785"/>
                <wp:effectExtent l="0" t="0" r="0" b="0"/>
                <wp:wrapNone/>
                <wp:docPr id="63" name="Frame2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314325" cy="209550"/>
                                                </a:xfrm>
                                                <a:prstGeom prst="rect">
                                                  <a:avLst/>
                                                </a:prstGeom>
                                              </pic:spPr>
                                            </pic:pic>
                                          </a:graphicData>
                                        </a:graphic>
                                      </wp:inline>
                                    </w:drawing>
                                  </w:r>
                                  <w:bookmarkStart w:id="41" w:name="i-22"/>
                                  <w:bookmarkEnd w:id="4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4"/>
                                          <a:stretch>
                                            <a:fillRect/>
                                          </a:stretch>
                                        </pic:blipFill>
                                        <pic:spPr bwMode="auto">
                                          <a:xfrm>
                                            <a:off x="0" y="0"/>
                                            <a:ext cx="314325" cy="209550"/>
                                          </a:xfrm>
                                          <a:prstGeom prst="rect">
                                            <a:avLst/>
                                          </a:prstGeom>
                                        </pic:spPr>
                                      </pic:pic>
                                    </a:graphicData>
                                  </a:graphic>
                                </wp:inline>
                              </w:drawing>
                            </w:r>
                            <w:bookmarkStart w:id="42" w:name="i-22"/>
                            <w:bookmarkEnd w:id="42"/>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11. Restructuring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Beginning in the fourth quarter of 2025, we initiated new restructuring actions to reduce our cost structure and streamline our operations. Those restructuring actions, which were primarily undertaken by our Europe segment, included initiatives to optimize our supply chain network and reduce our overhead costs. We recorded restructuring charges related to those actions, consisting of severance and related costs, of $11 million and $59 million in the three and six months ended June 30, 2026, which are classified within asset impairment and exit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activity for the liabilities related to these restructuring actions for the six months ended June 30, 2026 was: </w:t>
      </w:r>
    </w:p>
    <w:tbl>
      <w:tblPr>
        <w:tblW w:w="4424" w:type="dxa"/>
        <w:jc w:val="left"/>
        <w:tblInd w:w="0" w:type="dxa"/>
        <w:tblLayout w:type="fixed"/>
        <w:tblCellMar>
          <w:top w:w="28" w:type="dxa"/>
          <w:left w:w="28" w:type="dxa"/>
          <w:bottom w:w="28" w:type="dxa"/>
          <w:right w:w="28" w:type="dxa"/>
        </w:tblCellMar>
      </w:tblPr>
      <w:tblGrid>
        <w:gridCol w:w="1206"/>
        <w:gridCol w:w="1058"/>
        <w:gridCol w:w="1066"/>
        <w:gridCol w:w="311"/>
        <w:gridCol w:w="555"/>
        <w:gridCol w:w="228"/>
      </w:tblGrid>
      <w:tr>
        <w:trPr/>
        <w:tc>
          <w:tcPr>
            <w:tcW w:w="120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balance, December 31, 2025</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balance, June 30, 2026</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At June 30, 2026, $40 million of our restructuring liabilities were recorded within other current liabilities and $23 million were recorded within other long-term liabilities.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12. Income Taxes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effective tax rate was 19.2% for the second quarter of 2026 as compared to 26.9% in the second quarter of 2025. The decrease in our effective tax rate was driven by our jurisdictional mix of earnings, in particular the impact of mark-to-market gains and losses on commodity and foreign currency derivatives on a year over year basis, as well as tax benefits recorded in the current quarter related to a legal entity reorganization and a U.S. amended tax return filing.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effective tax rate for the six months ended June 30, 2026 was 22.1% as compared to 27.4% for the six months ended June 30, 2025. The decrease in our year-to-date effective tax rate was driven by our jurisdictional mix of earnings, in particular the impact of mark-to-market gains and losses on commodity and foreign currency derivatives on a year over year basis, as well as tax benefits related to a legal entity reorganization and a U.S. amended tax return filing in the six months ended June 30, 2026, partially offset by tax benefits from releases of liabilities for uncertain tax positions due to audit developments in the six months ended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13. Earnings per Share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and diluted earnings per share (EPS) were calculated as follows:</w:t>
      </w:r>
    </w:p>
    <w:tbl>
      <w:tblPr>
        <w:tblW w:w="10205" w:type="dxa"/>
        <w:jc w:val="left"/>
        <w:tblInd w:w="0" w:type="dxa"/>
        <w:tblLayout w:type="fixed"/>
        <w:tblCellMar>
          <w:top w:w="28" w:type="dxa"/>
          <w:left w:w="28" w:type="dxa"/>
          <w:bottom w:w="28" w:type="dxa"/>
          <w:right w:w="28" w:type="dxa"/>
        </w:tblCellMar>
      </w:tblPr>
      <w:tblGrid>
        <w:gridCol w:w="2039"/>
        <w:gridCol w:w="1706"/>
        <w:gridCol w:w="1504"/>
        <w:gridCol w:w="227"/>
        <w:gridCol w:w="698"/>
        <w:gridCol w:w="117"/>
        <w:gridCol w:w="117"/>
        <w:gridCol w:w="117"/>
        <w:gridCol w:w="117"/>
        <w:gridCol w:w="227"/>
        <w:gridCol w:w="584"/>
        <w:gridCol w:w="117"/>
        <w:gridCol w:w="109"/>
        <w:gridCol w:w="109"/>
        <w:gridCol w:w="109"/>
        <w:gridCol w:w="211"/>
        <w:gridCol w:w="646"/>
        <w:gridCol w:w="109"/>
        <w:gridCol w:w="109"/>
        <w:gridCol w:w="109"/>
        <w:gridCol w:w="109"/>
        <w:gridCol w:w="211"/>
        <w:gridCol w:w="646"/>
        <w:gridCol w:w="158"/>
      </w:tblGrid>
      <w:tr>
        <w:trPr/>
        <w:tc>
          <w:tcPr>
            <w:tcW w:w="203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data)</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Noncontrolling interest earnings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attributable to Mondelēz International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for basic EPS</w:t>
            </w:r>
          </w:p>
        </w:tc>
        <w:tc>
          <w:tcPr>
            <w:tcW w:w="9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plus: Dilutive effect of outstanding stock awards </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for diluted EPS</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Basic earnings per share attributable to Mondelēz International</w:t>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0.49 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0.80 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Diluted earnings per share attributable to Mondelēz International</w:t>
            </w:r>
          </w:p>
        </w:tc>
        <w:tc>
          <w:tcPr>
            <w:tcW w:w="2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0.49 </w:t>
            </w:r>
          </w:p>
        </w:tc>
        <w:tc>
          <w:tcPr>
            <w:tcW w:w="1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0.80 </w:t>
            </w:r>
          </w:p>
        </w:tc>
        <w:tc>
          <w:tcPr>
            <w:tcW w:w="1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exclude antidilutive Mondelēz International share-based payment awards from our calculation of weighted-average shares for diluted EPS. We excluded antidilutive stock options, deferred stock units and performance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92785"/>
                <wp:effectExtent l="0" t="0" r="0" b="0"/>
                <wp:wrapNone/>
                <wp:docPr id="66" name="Frame2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314325" cy="209550"/>
                                                </a:xfrm>
                                                <a:prstGeom prst="rect">
                                                  <a:avLst/>
                                                </a:prstGeom>
                                              </pic:spPr>
                                            </pic:pic>
                                          </a:graphicData>
                                        </a:graphic>
                                      </wp:inline>
                                    </w:drawing>
                                  </w:r>
                                  <w:bookmarkStart w:id="43" w:name="i-23"/>
                                  <w:bookmarkEnd w:id="4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6"/>
                                          <a:stretch>
                                            <a:fillRect/>
                                          </a:stretch>
                                        </pic:blipFill>
                                        <pic:spPr bwMode="auto">
                                          <a:xfrm>
                                            <a:off x="0" y="0"/>
                                            <a:ext cx="314325" cy="209550"/>
                                          </a:xfrm>
                                          <a:prstGeom prst="rect">
                                            <a:avLst/>
                                          </a:prstGeom>
                                        </pic:spPr>
                                      </pic:pic>
                                    </a:graphicData>
                                  </a:graphic>
                                </wp:inline>
                              </w:drawing>
                            </w:r>
                            <w:bookmarkStart w:id="44" w:name="i-23"/>
                            <w:bookmarkEnd w:id="44"/>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units of 11.4 million and 4.6 million for the three months ended June 30, 2026 and 2025, respectively, and 10.6 million and 3.8 million for the six months ended June 30, 2026 and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14. Segment Reporting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manufacture and market primarily snack food products, including chocolate, biscuits and baked snacks, as well as gum &amp; candy, meals and beverages. 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operations and management structure are organized into four operating segments which are also our reportable segments: </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 xml:space="preserve">Latin America </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AMEA</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 xml:space="preserve">Europe </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North America</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Our Chief Operating Decision Maker ("CODM") is our Chief Executive Officer. Our CODM uses segment operating income in the annual plan and forecasting process and considers actual versus plan variances in assessing the performance of the segments. The CODM also uses segment operating income as an input to the overall compensation measures for segment management under our incentive compensation plans. Segment operating income excludes certain mark-to-market impacts on commodity and foreign currency derivatives (which are primarily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our CODM reviews. Additionally, assets for reportable segments are not disclosed as such information is not regularly reviewed by the Company's CODM.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segment net revenue, significant segment expenses and operating income by reportable segment were as follows:</w:t>
      </w:r>
    </w:p>
    <w:tbl>
      <w:tblPr>
        <w:tblW w:w="10205" w:type="dxa"/>
        <w:jc w:val="left"/>
        <w:tblInd w:w="0" w:type="dxa"/>
        <w:tblLayout w:type="fixed"/>
        <w:tblCellMar>
          <w:top w:w="28" w:type="dxa"/>
          <w:left w:w="28" w:type="dxa"/>
          <w:bottom w:w="28" w:type="dxa"/>
          <w:right w:w="28" w:type="dxa"/>
        </w:tblCellMar>
      </w:tblPr>
      <w:tblGrid>
        <w:gridCol w:w="1433"/>
        <w:gridCol w:w="1070"/>
        <w:gridCol w:w="1078"/>
        <w:gridCol w:w="255"/>
        <w:gridCol w:w="781"/>
        <w:gridCol w:w="131"/>
        <w:gridCol w:w="109"/>
        <w:gridCol w:w="109"/>
        <w:gridCol w:w="109"/>
        <w:gridCol w:w="211"/>
        <w:gridCol w:w="646"/>
        <w:gridCol w:w="109"/>
        <w:gridCol w:w="109"/>
        <w:gridCol w:w="109"/>
        <w:gridCol w:w="109"/>
        <w:gridCol w:w="211"/>
        <w:gridCol w:w="646"/>
        <w:gridCol w:w="109"/>
        <w:gridCol w:w="109"/>
        <w:gridCol w:w="109"/>
        <w:gridCol w:w="109"/>
        <w:gridCol w:w="262"/>
        <w:gridCol w:w="804"/>
        <w:gridCol w:w="135"/>
        <w:gridCol w:w="109"/>
        <w:gridCol w:w="109"/>
        <w:gridCol w:w="109"/>
        <w:gridCol w:w="211"/>
        <w:gridCol w:w="646"/>
        <w:gridCol w:w="159"/>
      </w:tblGrid>
      <w:tr>
        <w:trPr/>
        <w:tc>
          <w:tcPr>
            <w:tcW w:w="143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shd w:fill="FFFFFF" w:val="clear"/>
              </w:rPr>
            </w:pPr>
            <w:r>
              <w:rPr>
                <w:rFonts w:ascii="Arial;sans-serif" w:hAnsi="Arial;sans-serif"/>
                <w:b/>
                <w:color w:val="000000"/>
                <w:sz w:val="16"/>
                <w:shd w:fill="FFFFFF" w:val="clear"/>
              </w:rPr>
              <w:t>Three Months Ended June 30, 2026</w:t>
            </w:r>
          </w:p>
        </w:tc>
      </w:tr>
      <w:tr>
        <w:trPr/>
        <w:tc>
          <w:tcPr>
            <w:tcW w:w="3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revenues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cost of sales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Segment selling, general and administrative expenses </w:t>
            </w:r>
            <w:r>
              <w:rPr>
                <w:rFonts w:ascii="Arial;sans-serif" w:hAnsi="Arial;sans-serif"/>
                <w:b w:val="false"/>
                <w:color w:val="000000"/>
                <w:sz w:val="13"/>
              </w:rPr>
              <w:t>(1)</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Mark-to-market gains from derivatives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corporate expenses</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92785"/>
                <wp:effectExtent l="0" t="0" r="0" b="0"/>
                <wp:wrapNone/>
                <wp:docPr id="69" name="Frame2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314325" cy="209550"/>
                                                </a:xfrm>
                                                <a:prstGeom prst="rect">
                                                  <a:avLst/>
                                                </a:prstGeom>
                                              </pic:spPr>
                                            </pic:pic>
                                          </a:graphicData>
                                        </a:graphic>
                                      </wp:inline>
                                    </w:drawing>
                                  </w:r>
                                  <w:bookmarkStart w:id="45" w:name="i-24"/>
                                  <w:bookmarkEnd w:id="4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8"/>
                                          <a:stretch>
                                            <a:fillRect/>
                                          </a:stretch>
                                        </pic:blipFill>
                                        <pic:spPr bwMode="auto">
                                          <a:xfrm>
                                            <a:off x="0" y="0"/>
                                            <a:ext cx="314325" cy="209550"/>
                                          </a:xfrm>
                                          <a:prstGeom prst="rect">
                                            <a:avLst/>
                                          </a:prstGeom>
                                        </pic:spPr>
                                      </pic:pic>
                                    </a:graphicData>
                                  </a:graphic>
                                </wp:inline>
                              </w:drawing>
                            </w:r>
                            <w:bookmarkStart w:id="46" w:name="i-24"/>
                            <w:bookmarkEnd w:id="46"/>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33"/>
        <w:gridCol w:w="1070"/>
        <w:gridCol w:w="1078"/>
        <w:gridCol w:w="255"/>
        <w:gridCol w:w="781"/>
        <w:gridCol w:w="131"/>
        <w:gridCol w:w="109"/>
        <w:gridCol w:w="109"/>
        <w:gridCol w:w="109"/>
        <w:gridCol w:w="211"/>
        <w:gridCol w:w="646"/>
        <w:gridCol w:w="109"/>
        <w:gridCol w:w="109"/>
        <w:gridCol w:w="109"/>
        <w:gridCol w:w="109"/>
        <w:gridCol w:w="211"/>
        <w:gridCol w:w="646"/>
        <w:gridCol w:w="109"/>
        <w:gridCol w:w="109"/>
        <w:gridCol w:w="109"/>
        <w:gridCol w:w="109"/>
        <w:gridCol w:w="262"/>
        <w:gridCol w:w="804"/>
        <w:gridCol w:w="135"/>
        <w:gridCol w:w="109"/>
        <w:gridCol w:w="109"/>
        <w:gridCol w:w="109"/>
        <w:gridCol w:w="211"/>
        <w:gridCol w:w="646"/>
        <w:gridCol w:w="159"/>
      </w:tblGrid>
      <w:tr>
        <w:trPr/>
        <w:tc>
          <w:tcPr>
            <w:tcW w:w="143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3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revenues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cost of sales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Segment selling, general and administrative expenses </w:t>
            </w:r>
            <w:r>
              <w:rPr>
                <w:rFonts w:ascii="Arial;sans-serif" w:hAnsi="Arial;sans-serif"/>
                <w:b w:val="false"/>
                <w:color w:val="000000"/>
                <w:sz w:val="13"/>
              </w:rPr>
              <w:t>(1)</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Mark-to-market losses from derivatives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corporate expenses</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10"/>
        <w:gridCol w:w="1038"/>
        <w:gridCol w:w="1046"/>
        <w:gridCol w:w="253"/>
        <w:gridCol w:w="775"/>
        <w:gridCol w:w="130"/>
        <w:gridCol w:w="109"/>
        <w:gridCol w:w="109"/>
        <w:gridCol w:w="109"/>
        <w:gridCol w:w="211"/>
        <w:gridCol w:w="646"/>
        <w:gridCol w:w="109"/>
        <w:gridCol w:w="109"/>
        <w:gridCol w:w="109"/>
        <w:gridCol w:w="109"/>
        <w:gridCol w:w="211"/>
        <w:gridCol w:w="646"/>
        <w:gridCol w:w="109"/>
        <w:gridCol w:w="109"/>
        <w:gridCol w:w="109"/>
        <w:gridCol w:w="109"/>
        <w:gridCol w:w="260"/>
        <w:gridCol w:w="798"/>
        <w:gridCol w:w="134"/>
        <w:gridCol w:w="109"/>
        <w:gridCol w:w="109"/>
        <w:gridCol w:w="109"/>
        <w:gridCol w:w="211"/>
        <w:gridCol w:w="751"/>
        <w:gridCol w:w="159"/>
      </w:tblGrid>
      <w:tr>
        <w:trPr/>
        <w:tc>
          <w:tcPr>
            <w:tcW w:w="141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1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shd w:fill="FFFFFF" w:val="clear"/>
              </w:rPr>
            </w:pPr>
            <w:r>
              <w:rPr>
                <w:rFonts w:ascii="Arial;sans-serif" w:hAnsi="Arial;sans-serif"/>
                <w:b/>
                <w:color w:val="000000"/>
                <w:sz w:val="16"/>
                <w:shd w:fill="FFFFFF" w:val="clear"/>
              </w:rPr>
              <w:t>Six Months Ended June 30, 2026</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1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revenues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19,435 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cost of sales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Segment selling, general and administrative expenses </w:t>
            </w:r>
            <w:r>
              <w:rPr>
                <w:rFonts w:ascii="Arial;sans-serif" w:hAnsi="Arial;sans-serif"/>
                <w:b w:val="false"/>
                <w:color w:val="000000"/>
                <w:sz w:val="13"/>
              </w:rPr>
              <w:t>(1)</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Mark-to-market gains from derivatives</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corporate expenses</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divestiture</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10"/>
        <w:gridCol w:w="1038"/>
        <w:gridCol w:w="1046"/>
        <w:gridCol w:w="253"/>
        <w:gridCol w:w="775"/>
        <w:gridCol w:w="130"/>
        <w:gridCol w:w="109"/>
        <w:gridCol w:w="109"/>
        <w:gridCol w:w="109"/>
        <w:gridCol w:w="211"/>
        <w:gridCol w:w="646"/>
        <w:gridCol w:w="109"/>
        <w:gridCol w:w="109"/>
        <w:gridCol w:w="109"/>
        <w:gridCol w:w="109"/>
        <w:gridCol w:w="211"/>
        <w:gridCol w:w="646"/>
        <w:gridCol w:w="109"/>
        <w:gridCol w:w="109"/>
        <w:gridCol w:w="109"/>
        <w:gridCol w:w="109"/>
        <w:gridCol w:w="260"/>
        <w:gridCol w:w="798"/>
        <w:gridCol w:w="134"/>
        <w:gridCol w:w="109"/>
        <w:gridCol w:w="109"/>
        <w:gridCol w:w="109"/>
        <w:gridCol w:w="211"/>
        <w:gridCol w:w="751"/>
        <w:gridCol w:w="159"/>
      </w:tblGrid>
      <w:tr>
        <w:trPr/>
        <w:tc>
          <w:tcPr>
            <w:tcW w:w="141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1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shd w:fill="FFFFFF" w:val="clear"/>
              </w:rPr>
            </w:pPr>
            <w:r>
              <w:rPr>
                <w:rFonts w:ascii="Arial;sans-serif" w:hAnsi="Arial;sans-serif"/>
                <w:b/>
                <w:color w:val="000000"/>
                <w:sz w:val="16"/>
                <w:shd w:fill="FFFFFF" w:val="clear"/>
              </w:rPr>
              <w:t>Six Months Ended June 30, 2025</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1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revenues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18,297 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cost of sales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Segment selling, general and administrative expenses </w:t>
            </w:r>
            <w:r>
              <w:rPr>
                <w:rFonts w:ascii="Arial;sans-serif" w:hAnsi="Arial;sans-serif"/>
                <w:b w:val="false"/>
                <w:color w:val="000000"/>
                <w:sz w:val="13"/>
              </w:rPr>
              <w:t>(1)</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Mark-to-market losses from derivatives</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corporate expenses</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16"/>
        </w:rPr>
      </w:pPr>
      <w:r>
        <w:rPr>
          <w:rFonts w:ascii="Arial;sans-serif" w:hAnsi="Arial;sans-serif"/>
          <w:b w:val="false"/>
          <w:color w:val="000000"/>
          <w:sz w:val="16"/>
        </w:rPr>
        <w:t>(1) SG&amp;A for all reportable segments includes: Advertising &amp; consumer expenses and overhead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92785"/>
                <wp:effectExtent l="0" t="0" r="0" b="0"/>
                <wp:wrapNone/>
                <wp:docPr id="72" name="Frame2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314325" cy="209550"/>
                                                </a:xfrm>
                                                <a:prstGeom prst="rect">
                                                  <a:avLst/>
                                                </a:prstGeom>
                                              </pic:spPr>
                                            </pic:pic>
                                          </a:graphicData>
                                        </a:graphic>
                                      </wp:inline>
                                    </w:drawing>
                                  </w:r>
                                  <w:bookmarkStart w:id="47" w:name="i-25"/>
                                  <w:bookmarkEnd w:id="4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50"/>
                                          <a:stretch>
                                            <a:fillRect/>
                                          </a:stretch>
                                        </pic:blipFill>
                                        <pic:spPr bwMode="auto">
                                          <a:xfrm>
                                            <a:off x="0" y="0"/>
                                            <a:ext cx="314325" cy="209550"/>
                                          </a:xfrm>
                                          <a:prstGeom prst="rect">
                                            <a:avLst/>
                                          </a:prstGeom>
                                        </pic:spPr>
                                      </pic:pic>
                                    </a:graphicData>
                                  </a:graphic>
                                </wp:inline>
                              </w:drawing>
                            </w:r>
                            <w:bookmarkStart w:id="48" w:name="i-25"/>
                            <w:bookmarkEnd w:id="48"/>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depreciation expense and capital expenditures by segment, reflecting our current segment structure for all periods presented, were:</w:t>
      </w:r>
    </w:p>
    <w:tbl>
      <w:tblPr>
        <w:tblW w:w="6689" w:type="dxa"/>
        <w:jc w:val="left"/>
        <w:tblInd w:w="0" w:type="dxa"/>
        <w:tblLayout w:type="fixed"/>
        <w:tblCellMar>
          <w:top w:w="28" w:type="dxa"/>
          <w:left w:w="28" w:type="dxa"/>
          <w:bottom w:w="28" w:type="dxa"/>
          <w:right w:w="28" w:type="dxa"/>
        </w:tblCellMar>
      </w:tblPr>
      <w:tblGrid>
        <w:gridCol w:w="891"/>
        <w:gridCol w:w="782"/>
        <w:gridCol w:w="786"/>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Depreciation expense </w:t>
            </w:r>
            <w:r>
              <w:rPr>
                <w:rFonts w:ascii="Arial;sans-serif" w:hAnsi="Arial;sans-serif"/>
                <w:b w:val="false"/>
                <w:color w:val="000000"/>
                <w:sz w:val="13"/>
              </w:rPr>
              <w:t>(2)</w:t>
            </w:r>
            <w:r>
              <w:rPr>
                <w:rFonts w:ascii="Arial;sans-serif" w:hAnsi="Arial;sans-serif"/>
                <w:b w:val="false"/>
                <w:color w:val="000000"/>
                <w:sz w:val="20"/>
              </w:rPr>
              <w:t>:</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Corporate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depreciation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270"/>
        <w:jc w:val="both"/>
        <w:rPr>
          <w:rFonts w:ascii="Arial;sans-serif" w:hAnsi="Arial;sans-serif"/>
          <w:b w:val="false"/>
          <w:color w:val="000000"/>
          <w:sz w:val="16"/>
        </w:rPr>
      </w:pPr>
      <w:r>
        <w:rPr>
          <w:rFonts w:ascii="Arial;sans-serif" w:hAnsi="Arial;sans-serif"/>
          <w:b w:val="false"/>
          <w:color w:val="000000"/>
          <w:sz w:val="16"/>
        </w:rPr>
        <w:t>(2) Includes depreciation expense related to owned property, plant and equipment. Does not include amortization of intangible assets or leased assets. Refer to the condensed consolidated statements of cash flows for total depreciation and amortization expenses.</w:t>
      </w:r>
    </w:p>
    <w:p>
      <w:pPr>
        <w:pStyle w:val="TextBody"/>
        <w:bidi w:val="0"/>
        <w:spacing w:before="0" w:after="0"/>
        <w:jc w:val="both"/>
        <w:rPr/>
      </w:pPr>
      <w:r>
        <w:rPr/>
      </w:r>
    </w:p>
    <w:p>
      <w:pPr>
        <w:pStyle w:val="TextBody"/>
        <w:bidi w:val="0"/>
        <w:spacing w:before="0" w:after="0"/>
        <w:ind w:left="0" w:right="0" w:firstLine="90"/>
        <w:jc w:val="both"/>
        <w:rPr/>
      </w:pPr>
      <w:r>
        <w:rPr/>
      </w:r>
    </w:p>
    <w:tbl>
      <w:tblPr>
        <w:tblW w:w="4448" w:type="dxa"/>
        <w:jc w:val="left"/>
        <w:tblInd w:w="0" w:type="dxa"/>
        <w:tblLayout w:type="fixed"/>
        <w:tblCellMar>
          <w:top w:w="28" w:type="dxa"/>
          <w:left w:w="28" w:type="dxa"/>
          <w:bottom w:w="28" w:type="dxa"/>
          <w:right w:w="28" w:type="dxa"/>
        </w:tblCellMar>
      </w:tblPr>
      <w:tblGrid>
        <w:gridCol w:w="853"/>
        <w:gridCol w:w="750"/>
        <w:gridCol w:w="751"/>
        <w:gridCol w:w="211"/>
        <w:gridCol w:w="541"/>
        <w:gridCol w:w="109"/>
        <w:gridCol w:w="109"/>
        <w:gridCol w:w="109"/>
        <w:gridCol w:w="109"/>
        <w:gridCol w:w="211"/>
        <w:gridCol w:w="54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capital expenditures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92785"/>
                <wp:effectExtent l="0" t="0" r="0" b="0"/>
                <wp:wrapNone/>
                <wp:docPr id="75" name="Frame2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314325" cy="209550"/>
                                                </a:xfrm>
                                                <a:prstGeom prst="rect">
                                                  <a:avLst/>
                                                </a:prstGeom>
                                              </pic:spPr>
                                            </pic:pic>
                                          </a:graphicData>
                                        </a:graphic>
                                      </wp:inline>
                                    </w:drawing>
                                  </w:r>
                                  <w:bookmarkStart w:id="49" w:name="i-26"/>
                                  <w:bookmarkEnd w:id="4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2"/>
                                          <a:stretch>
                                            <a:fillRect/>
                                          </a:stretch>
                                        </pic:blipFill>
                                        <pic:spPr bwMode="auto">
                                          <a:xfrm>
                                            <a:off x="0" y="0"/>
                                            <a:ext cx="314325" cy="209550"/>
                                          </a:xfrm>
                                          <a:prstGeom prst="rect">
                                            <a:avLst/>
                                          </a:prstGeom>
                                        </pic:spPr>
                                      </pic:pic>
                                    </a:graphicData>
                                  </a:graphic>
                                </wp:inline>
                              </w:drawing>
                            </w:r>
                            <w:bookmarkStart w:id="50" w:name="i-26"/>
                            <w:bookmarkEnd w:id="50"/>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Disaggregation of Net Revenue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by product category, reflecting our current segment structure for all periods presented, were:</w:t>
      </w:r>
    </w:p>
    <w:p>
      <w:pPr>
        <w:pStyle w:val="TextBody"/>
        <w:bidi w:val="0"/>
        <w:spacing w:before="0" w:after="0"/>
        <w:jc w:val="both"/>
        <w:rPr/>
      </w:pPr>
      <w:r>
        <w:rPr/>
      </w:r>
    </w:p>
    <w:tbl>
      <w:tblPr>
        <w:tblW w:w="8643" w:type="dxa"/>
        <w:jc w:val="left"/>
        <w:tblInd w:w="0" w:type="dxa"/>
        <w:tblLayout w:type="fixed"/>
        <w:tblCellMar>
          <w:top w:w="28" w:type="dxa"/>
          <w:left w:w="28" w:type="dxa"/>
          <w:bottom w:w="28" w:type="dxa"/>
          <w:right w:w="28" w:type="dxa"/>
        </w:tblCellMar>
      </w:tblPr>
      <w:tblGrid>
        <w:gridCol w:w="852"/>
        <w:gridCol w:w="749"/>
        <w:gridCol w:w="754"/>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751"/>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 2026</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Biscuits &amp; Baked Snacks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For the Three Months Ended June 30, 2025</w:t>
            </w:r>
            <w:r>
              <w:rPr>
                <w:rFonts w:ascii="Arial;sans-serif" w:hAnsi="Arial;sans-serif"/>
                <w:b/>
                <w:color w:val="000000"/>
                <w:sz w:val="10"/>
              </w:rPr>
              <w:t>(3)</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Biscuits &amp; Baked Snacks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Total net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 2026</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Biscuits &amp; Baked Snacks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Total net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19,435 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For the Six Months Ended June 30, 2025</w:t>
            </w:r>
            <w:r>
              <w:rPr>
                <w:color w:val="000000"/>
              </w:rPr>
              <w:t xml:space="preserve"> </w:t>
            </w:r>
            <w:r>
              <w:rPr>
                <w:rFonts w:ascii="Arial;sans-serif" w:hAnsi="Arial;sans-serif"/>
                <w:b/>
                <w:color w:val="000000"/>
                <w:sz w:val="10"/>
              </w:rPr>
              <w:t>(3)</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Biscuits &amp; Baked Snacks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18,297 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270"/>
        <w:jc w:val="both"/>
        <w:rPr>
          <w:rFonts w:ascii="Arial;sans-serif" w:hAnsi="Arial;sans-serif"/>
          <w:b w:val="false"/>
          <w:color w:val="000000"/>
          <w:sz w:val="16"/>
        </w:rPr>
      </w:pPr>
      <w:r>
        <w:rPr>
          <w:rFonts w:ascii="Arial;sans-serif" w:hAnsi="Arial;sans-serif"/>
          <w:b w:val="false"/>
          <w:color w:val="000000"/>
          <w:sz w:val="16"/>
        </w:rPr>
        <w:t>(3)During the first quarter of 2026, we realigned some of our products between our biscuits &amp; baked snacks and chocolate categories in the North America segment; as such, we reclassified $11 million and $19 million of product category net revenues from biscuits &amp; baked snacks to chocolate for the three and six months ended June 30, 2025, respectively, on a basis consistent with the 2026 presentation.</w:t>
      </w:r>
    </w:p>
    <w:p>
      <w:pPr>
        <w:pStyle w:val="TextBody"/>
        <w:bidi w:val="0"/>
        <w:spacing w:before="0" w:after="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92785"/>
                <wp:effectExtent l="0" t="0" r="0" b="0"/>
                <wp:wrapNone/>
                <wp:docPr id="78" name="Frame2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314325" cy="209550"/>
                                                </a:xfrm>
                                                <a:prstGeom prst="rect">
                                                  <a:avLst/>
                                                </a:prstGeom>
                                              </pic:spPr>
                                            </pic:pic>
                                          </a:graphicData>
                                        </a:graphic>
                                      </wp:inline>
                                    </w:drawing>
                                  </w:r>
                                  <w:bookmarkStart w:id="51" w:name="i-27"/>
                                  <w:bookmarkEnd w:id="5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4"/>
                                          <a:stretch>
                                            <a:fillRect/>
                                          </a:stretch>
                                        </pic:blipFill>
                                        <pic:spPr bwMode="auto">
                                          <a:xfrm>
                                            <a:off x="0" y="0"/>
                                            <a:ext cx="314325" cy="209550"/>
                                          </a:xfrm>
                                          <a:prstGeom prst="rect">
                                            <a:avLst/>
                                          </a:prstGeom>
                                        </pic:spPr>
                                      </pic:pic>
                                    </a:graphicData>
                                  </a:graphic>
                                </wp:inline>
                              </w:drawing>
                            </w:r>
                            <w:bookmarkStart w:id="52" w:name="i-27"/>
                            <w:bookmarkEnd w:id="52"/>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Overview of Business and Strategy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core business is making and selling chocolate, biscuits and baked snacks, with additional businesses in adjacent, locally relevant categories including gum &amp; candy, meals and beverages around the world.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aim to be the global leader in snacking. Our strategy is to drive long-term growth by focusing on four strategic priorities: accelerating consumer-centric growth, driving operational excellence, creating a winning growth culture and scaling sustainable snacking. We believe the successful implementation of our strategic priorities and leveraging of our attractive global footprint, strong core of iconic global and local brands, marketing, sales, distribution and cost excellence capabilities, and top talent with a growth mindset, will drive consistent top- and bottom-line growth, enabling us to continue to create long-term value for our shareholders.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Developments and Significant Items</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Macroeconomic environment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continue to observe significant market and geopolitical uncertainty, inflationary pressures, supply constraints, trade and regulatory uncertainty and exchange rate volatility. In addition, consumer preferences continue to evolve in response to health and wellness trends. As a result, we experienced higher operating costs, including higher overall raw material, labor and energy costs. In particular, cocoa prices, while below prior year peak levels, are expected to remain elevated compared to historical levels in the near- and medium-term. Refer to </w:t>
      </w:r>
      <w:r>
        <w:rPr>
          <w:rFonts w:ascii="Arial;sans-serif" w:hAnsi="Arial;sans-serif"/>
          <w:b w:val="false"/>
          <w:i/>
          <w:color w:val="000000"/>
          <w:sz w:val="20"/>
        </w:rPr>
        <w:t>Commodity Trends</w:t>
      </w:r>
      <w:r>
        <w:rPr>
          <w:color w:val="000000"/>
        </w:rPr>
        <w:t xml:space="preserve"> </w:t>
      </w:r>
      <w:r>
        <w:rPr>
          <w:rFonts w:ascii="Arial;sans-serif" w:hAnsi="Arial;sans-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overall outlook for future snacks revenue growth remains strong; however, we anticipate ongoing volatility. While we have responded to elevated raw material costs with price increases for certain of our products, the elasticity impacts from those pricing increases have adversely impacted consumer demand, particularly in Europe. We will continue to proactively manage our business in response to the evolving global economic environment, related uncertainty and business risks while also prioritizing and supporting our employees and customers. We continue to take steps to mitigate impacts to our supply chain, operations, technology and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Trade and Regulatory Uncertainty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many markets, including the United States, certain products or a portion of our products, including significant inputs, are imported from other jurisdictions. As the current geopolitical environment remains unpredictable, we continue to monitor and evaluate the impact of proposed and enacted tariffs, including proposed and enacted retaliatory tariffs or other trade restrictions. During the first quarter of 2026, the U.S. Supreme Court ruled that the tariffs imposed under the International Emergency Economic Powers Act ("IEEPA") were unlawful. Over the period in which these tariffs were in effect, we paid approximately $20 million of tariffs under the IEEPA, of which we have received refunds for approximately $6 million as of June 30, 2026. The timing and amount of any additional refunds of these tariffs remains uncertain at this stage. As such, we have not recorded any additional anticipated IEEPA tariff refunds as of June 30, 2026. Additionally, the U.S. administration has continued to impose new tariffs under other provisions in U.S. trade law and will likely continue to do so in the future. We are evaluating the potential impact of these developments as well as our ability to mitigate the impact, as they are expected to adversely impact our revenue and cost of goods sold. If additional tariff actions are implemented, we would expect those adverse impacts on our business operations and financial performance to be significant. For most products and materials imported to the United States from Mexico and Canada, we comply with the terms of the U.S.-Mexico-Canada Agreement and are therefore not subject to tariffs on most products and materials imported from those jurisdictions. However, the current trade environment continues to evolve rapidly and there can be no assurance that such products and materials will continue to be exempt. The implementation of additional protectionist trade measures, and any further retaliatory actions taken in response, could result in increased costs and pricing pressures, disrupt consumer spending patterns, and impact market stability and consumer confidence, any or all of which could adversely affect our operating results. For additional information, see the risk factors in our Annual Report on Form 10-K for the year ended December 31, 2025, including the risk entitled “</w:t>
      </w:r>
      <w:r>
        <w:rPr>
          <w:rFonts w:ascii="Arial;sans-serif" w:hAnsi="Arial;sans-serif"/>
          <w:b w:val="false"/>
          <w:i/>
          <w:color w:val="000000"/>
          <w:sz w:val="20"/>
        </w:rPr>
        <w:t>We are subject to risks from changes to the trade policies and tariff and import/export regulations by the U.S. and/or other foreign governments.</w:t>
      </w:r>
      <w:r>
        <w:rPr>
          <w:color w:val="000000"/>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92785"/>
                <wp:effectExtent l="0" t="0" r="0" b="0"/>
                <wp:wrapNone/>
                <wp:docPr id="81" name="Frame2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314325" cy="209550"/>
                                                </a:xfrm>
                                                <a:prstGeom prst="rect">
                                                  <a:avLst/>
                                                </a:prstGeom>
                                              </pic:spPr>
                                            </pic:pic>
                                          </a:graphicData>
                                        </a:graphic>
                                      </wp:inline>
                                    </w:drawing>
                                  </w:r>
                                  <w:bookmarkStart w:id="53" w:name="i-28"/>
                                  <w:bookmarkEnd w:id="5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6"/>
                                          <a:stretch>
                                            <a:fillRect/>
                                          </a:stretch>
                                        </pic:blipFill>
                                        <pic:spPr bwMode="auto">
                                          <a:xfrm>
                                            <a:off x="0" y="0"/>
                                            <a:ext cx="314325" cy="209550"/>
                                          </a:xfrm>
                                          <a:prstGeom prst="rect">
                                            <a:avLst/>
                                          </a:prstGeom>
                                        </pic:spPr>
                                      </pic:pic>
                                    </a:graphicData>
                                  </a:graphic>
                                </wp:inline>
                              </w:drawing>
                            </w:r>
                            <w:bookmarkStart w:id="54" w:name="i-28"/>
                            <w:bookmarkEnd w:id="54"/>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War in Ukraine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war in Ukraine continues to subject our business in the region to periodic disruptions, which may affect production, distribution and the safety of our employees. We continue to suspend new capital investments and advertising in Russia, but we have not ceased operations because we believe that we play a role in the continuity of the food supply. We continue to evaluate our ability to control our operating activities in Ukraine and Russia and comply with applicable international sanctions. We continue to consolidate both subsidiaries. During the second quarter of 2026, Ukraine generated 0.4% and Russia generated 3.8% of our consolidated net revenue.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Our operations in Russia are subject to risks, including the temporary or permanent loss of assets due to expropriation or further curtailment of our ability to conduct business operations in Russia, which could lead to the partial or full impairment of our Russian assets or deconsolidation of our Russian operations or the termination of and loss of revenue from those operations, based on actions taken by Russia, other parties or us. For additional information, see the risk factors in our Annual Report on Form 10-K for the year ended December 31, 2025, including the risk entitled “</w:t>
      </w:r>
      <w:r>
        <w:rPr>
          <w:rFonts w:ascii="Arial;sans-serif" w:hAnsi="Arial;sans-serif"/>
          <w:b w:val="false"/>
          <w:i/>
          <w:color w:val="000000"/>
          <w:sz w:val="20"/>
        </w:rPr>
        <w:t>The war in Ukraine has impacted and could continue to impact our business operations, financial performance and results of operations.</w:t>
      </w:r>
      <w:r>
        <w:rPr>
          <w:color w:val="00000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Developments in the Middle East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Escalation of military activity in the Middle East has affected, and may continue to affect, our operations in the region, including our manufacturing facility in Bahrain. Shipping disruptions in the Middle East and surrounding waterways have created, and may continue to create, logistical pressures, including reduced availability of certain shipping routes and increased shipping costs and transit times. While we have taken actions to divert our shipping routes, we may not be able to fully mitigate higher shipping rates, longer shipping routes and other adverse impacts in certain AMEA markets. However, to date, these developments have not had a material impact on our business, results of operations or financial condition. We continue to evaluate these developments and we cannot predict if they will have a significant impact in the future. During the second quarter of 2026, Middle Eastern countries impacted by the conflict generated less than 1.0% of our consolidated net revenue.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Extreme Price Growth in Argentina and Other Currency-Related Items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During December 2023, the Argentinean peso significantly devalued. The peso's devaluation and potential resulting distortion on our non-GAAP Organic Net Revenue, Organic Net Revenue growth and other constant currency growth rate measures resulted in our decision to exclude the impact of pricing increases in excess of 26% year-over-year ("extreme pricing") in Argentina, from these measures beginning in the first quarter of 2024. The benchmark of 26% represents the minimum annual inflation rate for each year over a 3-year period which would result in a cumulative inflation rate in excess of 100%, the level at which an economy is considered hyperinflationary under U.S. GAAP. Throughout the following MD&amp;A discussion, we exclude the impact of extreme pricing in Argentina from the net pricing impact of Organic Net Revenue and Organic Net Revenue growth and its related impact on our other non-GAAP financial constant currency growth measures. Additionally within this MD&amp;A discussion, "currency-related items" reflect the impacts of extreme pricing and year-over-year currency translation rate changes. Refer to </w:t>
      </w:r>
      <w:r>
        <w:rPr>
          <w:rFonts w:ascii="Arial;sans-serif" w:hAnsi="Arial;sans-serif"/>
          <w:b w:val="false"/>
          <w:i/>
          <w:color w:val="000000"/>
          <w:sz w:val="20"/>
        </w:rPr>
        <w:t xml:space="preserve">Non-GAAP financial measures </w:t>
      </w:r>
      <w:r>
        <w:rPr>
          <w:rFonts w:ascii="Arial;sans-serif" w:hAnsi="Arial;sans-serif"/>
          <w:b w:val="false"/>
          <w:color w:val="000000"/>
          <w:sz w:val="20"/>
        </w:rPr>
        <w:t xml:space="preserve">for additional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Extreme pricing did not have a material impact on our non-GAAP financial measures for the three and six months ended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ERP System Implementation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July 2024, our Board of Directors approved funding of $1.2 billion for a multi-year systems transformation program to upgrade our global ERP and supply chain systems (the “ERP System Implementation”). ERP System Implementation spending comprises both capital expenditures and operating expenses, of which a majority is expected to relate to operating expenses. The operating expenses associated with the ERP System Implementation represent incremental transformational costs above the normal ongoing level of spending on information technology to support operations. The ERP System Implementation program is being implemented by region in several phases with spending occurring over the next three years, with expected completion by year-end 2028. Refer to </w:t>
      </w:r>
      <w:r>
        <w:rPr>
          <w:rFonts w:ascii="Arial;sans-serif" w:hAnsi="Arial;sans-serif"/>
          <w:b w:val="false"/>
          <w:i/>
          <w:color w:val="000000"/>
          <w:sz w:val="20"/>
        </w:rPr>
        <w:t>Non-GAAP financial measures</w:t>
      </w:r>
      <w:r>
        <w:rPr>
          <w:color w:val="000000"/>
        </w:rPr>
        <w:t xml:space="preserve"> </w:t>
      </w:r>
      <w:r>
        <w:rPr>
          <w:rFonts w:ascii="Arial;sans-serif" w:hAnsi="Arial;sans-serif"/>
          <w:b w:val="false"/>
          <w:color w:val="000000"/>
          <w:sz w:val="20"/>
        </w:rPr>
        <w:t xml:space="preserve">for additional information.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92785"/>
                <wp:effectExtent l="0" t="0" r="0" b="0"/>
                <wp:wrapNone/>
                <wp:docPr id="84" name="Frame2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7"/>
                                                <a:stretch>
                                                  <a:fillRect/>
                                                </a:stretch>
                                              </pic:blipFill>
                                              <pic:spPr bwMode="auto">
                                                <a:xfrm>
                                                  <a:off x="0" y="0"/>
                                                  <a:ext cx="314325" cy="209550"/>
                                                </a:xfrm>
                                                <a:prstGeom prst="rect">
                                                  <a:avLst/>
                                                </a:prstGeom>
                                              </pic:spPr>
                                            </pic:pic>
                                          </a:graphicData>
                                        </a:graphic>
                                      </wp:inline>
                                    </w:drawing>
                                  </w:r>
                                  <w:bookmarkStart w:id="55" w:name="i-29"/>
                                  <w:bookmarkEnd w:id="5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58"/>
                                          <a:stretch>
                                            <a:fillRect/>
                                          </a:stretch>
                                        </pic:blipFill>
                                        <pic:spPr bwMode="auto">
                                          <a:xfrm>
                                            <a:off x="0" y="0"/>
                                            <a:ext cx="314325" cy="209550"/>
                                          </a:xfrm>
                                          <a:prstGeom prst="rect">
                                            <a:avLst/>
                                          </a:prstGeom>
                                        </pic:spPr>
                                      </pic:pic>
                                    </a:graphicData>
                                  </a:graphic>
                                </wp:inline>
                              </w:drawing>
                            </w:r>
                            <w:bookmarkStart w:id="56" w:name="i-29"/>
                            <w:bookmarkEnd w:id="56"/>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56" w:before="0" w:after="0"/>
        <w:jc w:val="both"/>
        <w:rPr>
          <w:rFonts w:ascii="Arial;sans-serif" w:hAnsi="Arial;sans-serif"/>
          <w:b/>
          <w:color w:val="000000"/>
          <w:sz w:val="20"/>
        </w:rPr>
      </w:pPr>
      <w:r>
        <w:rPr>
          <w:rFonts w:ascii="Arial;sans-serif" w:hAnsi="Arial;sans-serif"/>
          <w:b/>
          <w:color w:val="000000"/>
          <w:sz w:val="20"/>
        </w:rPr>
        <w:t>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monitor existing and potential future tax reform around the world. Numerous countries have enacted the Organization of Economic Cooperation and Development’s model rules on a global minimum tax, effective for 2024. The existing legislation does not have a material impact on our condensed consolidated financial statements. On January 5, 2026, the OECD Inclusive Framework members approved changes to the model rules, including the introduction of a “side by side” rule which would exempt U.S.-parented companies from certain aspects of the global minimum tax regime. The updated model rules will need to be incorporated into local tax legislation to be effective. We do not expect the new rules to have a material impact on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We use non-GAAP financial measures internally to make operating and strategic decisions, including the preparation of our annual operating plan, evaluation of business performance and as a factor in determining incentive compensation. We believe that non-GAAP financial measures, when used in connection with results reported in accordance with U.S. GAAP, provide additional information to facilitate comparisons of our historical operating results and to enable a more comprehensive understanding of trends in our underlying operating results. We also believe that presenting these measures allows investors to view our performance using the same measures that management and our Board of Directors use in evaluating our business performance and trends. However, non-GAAP financial measures should be considered in addition to, and not as substitutes for, financial information prepared in accordance with U.S. GAAP. In addition, our non-GAAP financial measures may not be the same as or comparable to similar non-GAAP measures presented by other companies. A limitation of these non-GAAP financial measures is they exclude items that have an impact on our U.S. GAAP reported results. The best way this limitation can be addressed is by evaluating our non-GAAP financial measures in combination with our U.S. GAAP reported results.</w:t>
      </w:r>
      <w:r>
        <w:rPr>
          <w:color w:val="000000"/>
        </w:rPr>
        <w:t xml:space="preserve"> </w:t>
      </w:r>
      <w:r>
        <w:rPr>
          <w:rFonts w:ascii="Arial;sans-serif" w:hAnsi="Arial;sans-serif"/>
          <w:b w:val="false"/>
          <w:color w:val="000000"/>
          <w:sz w:val="20"/>
        </w:rPr>
        <w:t xml:space="preserve">We have provided the reconciliations between the GAAP and non-GAAP financial measures along with a discussion of our underlying GAAP results throughout our </w:t>
      </w:r>
      <w:r>
        <w:rPr>
          <w:rFonts w:ascii="Arial;sans-serif" w:hAnsi="Arial;sans-serif"/>
          <w:b w:val="false"/>
          <w:i/>
          <w:color w:val="000000"/>
          <w:sz w:val="20"/>
        </w:rPr>
        <w:t>Management’s Discussion and Analysis of Financial Condition and Results of Operations</w:t>
      </w:r>
      <w:r>
        <w:rPr>
          <w:color w:val="000000"/>
        </w:rPr>
        <w:t xml:space="preserve"> </w:t>
      </w:r>
      <w:r>
        <w:rPr>
          <w:rFonts w:ascii="Arial;sans-serif" w:hAnsi="Arial;sans-serif"/>
          <w:b w:val="false"/>
          <w:color w:val="000000"/>
          <w:sz w:val="20"/>
        </w:rPr>
        <w:t>in this Form 10-Q.</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also evaluate the operating performance of the company and its international subsidiaries on a constant currency basis. Our non-GAAP measures presented on a constant currency basis exclude the effects of currency translation rate changes and, beginning in the first quarter of 2024, extreme pricing increases in Argentina. For additional information, refer to </w:t>
      </w:r>
      <w:r>
        <w:rPr>
          <w:rFonts w:ascii="Arial;sans-serif" w:hAnsi="Arial;sans-serif"/>
          <w:b w:val="false"/>
          <w:i/>
          <w:color w:val="000000"/>
          <w:sz w:val="20"/>
        </w:rPr>
        <w:t>Extreme Price Growth in Argentin</w:t>
      </w:r>
      <w:r>
        <w:rPr>
          <w:rFonts w:ascii="Arial;sans-serif" w:hAnsi="Arial;sans-serif"/>
          <w:b w:val="false"/>
          <w:color w:val="000000"/>
          <w:sz w:val="20"/>
        </w:rPr>
        <w:t>a</w:t>
      </w:r>
      <w:r>
        <w:rPr>
          <w:color w:val="000000"/>
        </w:rPr>
        <w:t xml:space="preserve"> </w:t>
      </w:r>
      <w:r>
        <w:rPr>
          <w:rFonts w:ascii="Arial;sans-serif" w:hAnsi="Arial;sans-serif"/>
          <w:b w:val="false"/>
          <w:i/>
          <w:color w:val="000000"/>
          <w:sz w:val="20"/>
        </w:rPr>
        <w:t>and Other Currency-Related Items</w:t>
      </w:r>
      <w:r>
        <w:rPr>
          <w:rFonts w:ascii="Arial;sans-serif" w:hAnsi="Arial;sans-serif"/>
          <w:b w:val="false"/>
          <w:color w:val="000000"/>
          <w:sz w:val="20"/>
        </w:rPr>
        <w:t xml:space="preserve">. We determine constant currency operating results by dividing or multiplying, as appropriate, the current-period local currency operating results by the currency exchange rates used to translate the financial statements in the comparable prior year period to determine what the current-period U.S. dollar operating results would have been if the currency exchange rates had not changed from the comparable prior year period.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92785"/>
                <wp:effectExtent l="0" t="0" r="0" b="0"/>
                <wp:wrapNone/>
                <wp:docPr id="87" name="Frame3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9"/>
                                                <a:stretch>
                                                  <a:fillRect/>
                                                </a:stretch>
                                              </pic:blipFill>
                                              <pic:spPr bwMode="auto">
                                                <a:xfrm>
                                                  <a:off x="0" y="0"/>
                                                  <a:ext cx="314325" cy="209550"/>
                                                </a:xfrm>
                                                <a:prstGeom prst="rect">
                                                  <a:avLst/>
                                                </a:prstGeom>
                                              </pic:spPr>
                                            </pic:pic>
                                          </a:graphicData>
                                        </a:graphic>
                                      </wp:inline>
                                    </w:drawing>
                                  </w:r>
                                  <w:bookmarkStart w:id="57" w:name="i-30"/>
                                  <w:bookmarkEnd w:id="5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60"/>
                                          <a:stretch>
                                            <a:fillRect/>
                                          </a:stretch>
                                        </pic:blipFill>
                                        <pic:spPr bwMode="auto">
                                          <a:xfrm>
                                            <a:off x="0" y="0"/>
                                            <a:ext cx="314325" cy="209550"/>
                                          </a:xfrm>
                                          <a:prstGeom prst="rect">
                                            <a:avLst/>
                                          </a:prstGeom>
                                        </pic:spPr>
                                      </pic:pic>
                                    </a:graphicData>
                                  </a:graphic>
                                </wp:inline>
                              </w:drawing>
                            </w:r>
                            <w:bookmarkStart w:id="58" w:name="i-30"/>
                            <w:bookmarkEnd w:id="58"/>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rPr>
        <w:t>Our primary non-GAAP financial measures and corresponding metrics, listed below, reflect how we evaluate our current and prior year operating results. As new events or circumstances arise, these definitions could change. When our definitions change, we provide the updated definitions and present the related non-GAAP historical results on a comparable basis. When items no longer impact our current or future presentation of non-GAAP operating results, we remove these items from our non-GAAP definitions. For descriptions of the items excluded from our non-GAAP financial measures, refer to</w:t>
      </w:r>
      <w:r>
        <w:rPr>
          <w:color w:val="000000"/>
        </w:rPr>
        <w:t xml:space="preserve"> </w:t>
      </w:r>
      <w:r>
        <w:rPr>
          <w:rFonts w:ascii="Arial;sans-serif" w:hAnsi="Arial;sans-serif"/>
          <w:b w:val="false"/>
          <w:i/>
          <w:color w:val="000000"/>
          <w:sz w:val="20"/>
        </w:rPr>
        <w:t>Items Affecting Comparability of Financial Results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Organic Net Revenue” is defined as net revenues (the most comparable U.S. GAAP financial measure) excluding, when they occur, the impacts of acquisitions, divestitures and currency-related items. We believe that Organic net revenue reflects the underlying growth from the ongoing activities of our business and provides improved comparability of results. Organic Net Revenue growth is presented on a consolidated basis, for each of our segments and for our emerging markets and developed markets, and these underlying measures are also reconciled to the most comparable U.S. GAAP financial measures.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emerging markets include the entire Latin America region; the AMEA region, excluding Australia, New Zealand and Japan; and the following countries from the Europe region: Russia, Ukraine, Türkiye, Kazakhstan, Georgia, Poland, Czech Republic, Slovak Republic, Hungary, Bulgaria, Romania, the Baltics and the East Adriatic countries.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developed markets include the entire North America region; the Europe region excluding the countries included in the emerging markets definition; and Australia, New Zealand and Japan from the AMEA region.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Operating Income” is defined as operating income (the most comparable U.S. GAAP financial measure) excluding, when they occur, the impacts of: restructuring charges; goodwill and intangible asset impairment charges; divestiture-related items; acquisition-related items; remeasurement of net monetary position of highly inflationary countries; mark-to-market impacts from commodity and foreign currency derivative contracts economically hedging forecasted transactions; resolution of tax matters; incremental costs due to geopolitical conflicts and operating costs from the ERP System Implementation program. We also present Adjusted Operating Income margin, which is subject to the same adjustments as Adjusted Operating Income. We also evaluate growth in our Adjusted Operating Income on a constant currency basis.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EPS” is defined as diluted EPS attributable to Mondelēz International (the most comparable U.S. GAAP financial measure) from continuing operations excluding, when they occur, the impacts of the items listed in the Adjusted Operating Income definition as well as pension participation changes, initial impacts from enacted tax law changes and gains or losses on equity method investment transactions. We also evaluate growth in our Adjusted EPS on a constant currency basis. </w:t>
      </w:r>
    </w:p>
    <w:p>
      <w:pPr>
        <w:pStyle w:val="TextBody"/>
        <w:bidi w:val="0"/>
        <w:spacing w:before="0" w:after="0"/>
        <w:jc w:val="both"/>
        <w:rPr/>
      </w:pPr>
      <w:r>
        <w:rPr/>
      </w:r>
    </w:p>
    <w:p>
      <w:pPr>
        <w:pStyle w:val="TextBody"/>
        <w:bidi w:val="0"/>
        <w:spacing w:before="0" w:after="0"/>
        <w:jc w:val="both"/>
        <w:rPr/>
      </w:pPr>
      <w:r>
        <w:rPr/>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92785"/>
                <wp:effectExtent l="0" t="0" r="0" b="0"/>
                <wp:wrapNone/>
                <wp:docPr id="90" name="Frame3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1"/>
                                                <a:stretch>
                                                  <a:fillRect/>
                                                </a:stretch>
                                              </pic:blipFill>
                                              <pic:spPr bwMode="auto">
                                                <a:xfrm>
                                                  <a:off x="0" y="0"/>
                                                  <a:ext cx="314325" cy="209550"/>
                                                </a:xfrm>
                                                <a:prstGeom prst="rect">
                                                  <a:avLst/>
                                                </a:prstGeom>
                                              </pic:spPr>
                                            </pic:pic>
                                          </a:graphicData>
                                        </a:graphic>
                                      </wp:inline>
                                    </w:drawing>
                                  </w:r>
                                  <w:bookmarkStart w:id="59" w:name="i-31"/>
                                  <w:bookmarkEnd w:id="5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2"/>
                                          <a:stretch>
                                            <a:fillRect/>
                                          </a:stretch>
                                        </pic:blipFill>
                                        <pic:spPr bwMode="auto">
                                          <a:xfrm>
                                            <a:off x="0" y="0"/>
                                            <a:ext cx="314325" cy="209550"/>
                                          </a:xfrm>
                                          <a:prstGeom prst="rect">
                                            <a:avLst/>
                                          </a:prstGeom>
                                        </pic:spPr>
                                      </pic:pic>
                                    </a:graphicData>
                                  </a:graphic>
                                </wp:inline>
                              </w:drawing>
                            </w:r>
                            <w:bookmarkStart w:id="60" w:name="i-31"/>
                            <w:bookmarkEnd w:id="60"/>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Items Affecting Comparability of Financial Results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below table and subsequent commentary present income or (expense) items that affected the comparability of our results of operations and provides details of each item. Please refer to the notes to the condensed consolidated financial statements indicated below for additional information. These items are excluded from our non-GAAP earnings measures to better facilitate comparisons of our underlying operating performance across periods. We consider quantitative and qualitative factors in assessing whether to adjust for the impact of items that may be significant or that could affect an understanding of our ongoing financial and business performance and trends. We identify these items based on how management views the business; makes financial, operating and planning decisions; and evaluates ongoing performance. Refer to the </w:t>
      </w:r>
      <w:r>
        <w:rPr>
          <w:rFonts w:ascii="Arial;sans-serif" w:hAnsi="Arial;sans-serif"/>
          <w:b w:val="false"/>
          <w:i/>
          <w:color w:val="000000"/>
          <w:sz w:val="20"/>
        </w:rPr>
        <w:t>Consolidated Results of Operations – Net Earnings and Earnings per Share Attributable to Mondelēz International</w:t>
      </w:r>
      <w:r>
        <w:rPr>
          <w:color w:val="000000"/>
        </w:rPr>
        <w:t xml:space="preserve"> </w:t>
      </w:r>
      <w:r>
        <w:rPr>
          <w:rFonts w:ascii="Arial;sans-serif" w:hAnsi="Arial;sans-serif"/>
          <w:b w:val="false"/>
          <w:color w:val="000000"/>
          <w:sz w:val="20"/>
        </w:rPr>
        <w:t xml:space="preserve">table for the after-tax per share impacts of these items and to the </w:t>
      </w:r>
      <w:r>
        <w:rPr>
          <w:rFonts w:ascii="Arial;sans-serif" w:hAnsi="Arial;sans-serif"/>
          <w:b w:val="false"/>
          <w:i/>
          <w:color w:val="000000"/>
          <w:sz w:val="20"/>
        </w:rPr>
        <w:t>Non-GAAP Financial Measures</w:t>
      </w:r>
      <w:r>
        <w:rPr>
          <w:color w:val="000000"/>
        </w:rPr>
        <w:t xml:space="preserve"> </w:t>
      </w:r>
      <w:r>
        <w:rPr>
          <w:rFonts w:ascii="Arial;sans-serif" w:hAnsi="Arial;sans-serif"/>
          <w:b w:val="false"/>
          <w:color w:val="000000"/>
          <w:sz w:val="20"/>
        </w:rPr>
        <w:t>section for definitions of our non-GAAP financial measures.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45"/>
        <w:gridCol w:w="1341"/>
        <w:gridCol w:w="1345"/>
        <w:gridCol w:w="270"/>
        <w:gridCol w:w="270"/>
        <w:gridCol w:w="271"/>
        <w:gridCol w:w="109"/>
        <w:gridCol w:w="109"/>
        <w:gridCol w:w="109"/>
        <w:gridCol w:w="316"/>
        <w:gridCol w:w="494"/>
        <w:gridCol w:w="163"/>
        <w:gridCol w:w="163"/>
        <w:gridCol w:w="163"/>
        <w:gridCol w:w="163"/>
        <w:gridCol w:w="316"/>
        <w:gridCol w:w="383"/>
        <w:gridCol w:w="163"/>
        <w:gridCol w:w="109"/>
        <w:gridCol w:w="109"/>
        <w:gridCol w:w="109"/>
        <w:gridCol w:w="270"/>
        <w:gridCol w:w="555"/>
        <w:gridCol w:w="139"/>
        <w:gridCol w:w="139"/>
        <w:gridCol w:w="139"/>
        <w:gridCol w:w="139"/>
        <w:gridCol w:w="270"/>
        <w:gridCol w:w="327"/>
        <w:gridCol w:w="207"/>
      </w:tblGrid>
      <w:tr>
        <w:trPr/>
        <w:tc>
          <w:tcPr>
            <w:tcW w:w="154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See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Restructuring charges</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Mark-to-market gains/(losses) from derivatives </w:t>
            </w:r>
            <w:r>
              <w:rPr>
                <w:rFonts w:ascii="Arial;sans-serif" w:hAnsi="Arial;sans-serif"/>
                <w:b/>
                <w:color w:val="000000"/>
                <w:sz w:val="12"/>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Acquisition-related items</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Divestiture-related items</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Incremental costs due to geopolitical conflicts</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ERP System Implementation costs </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Remeasurement of net monetary position</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Pension participation changes</w:t>
            </w:r>
            <w:r>
              <w:rPr>
                <w:color w:val="000000"/>
              </w:rPr>
              <w:t xml:space="preserve"> </w:t>
            </w:r>
            <w:r>
              <w:rPr>
                <w:rFonts w:ascii="Arial;sans-serif" w:hAnsi="Arial;sans-serif"/>
                <w:b/>
                <w:color w:val="000000"/>
                <w:sz w:val="12"/>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Initial impacts from enacted tax law changes</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Loss on equity method investment transactions </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impacts recorded in operating income and interest expense and other, net in the condensed consolidated statements of earnings.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Restructuring charges</w:t>
      </w:r>
      <w:r>
        <w:rPr>
          <w:color w:val="000000"/>
        </w:rPr>
        <w:t xml:space="preserve"> – </w:t>
      </w:r>
      <w:r>
        <w:rPr>
          <w:rFonts w:ascii="Arial;sans-serif" w:hAnsi="Arial;sans-serif"/>
          <w:b w:val="false"/>
          <w:color w:val="000000"/>
          <w:sz w:val="20"/>
        </w:rPr>
        <w:t xml:space="preserve">Beginning in the fourth quarter of 2025, we initiated new restructuring actions to reduce our cost structure and streamline our operations. The charges associated with those actions primarily relate to severance and other implementation costs. We completed our previous Simplify to Grow Program in 2024. Following the completion of that earlier restructuring program, any adjustments to the liabilities for previously recorded charges, which were immaterial for each period presented, continue to be reflected within this item.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Mark-to-market impacts from derivatives</w:t>
      </w:r>
      <w:r>
        <w:rPr>
          <w:color w:val="000000"/>
        </w:rPr>
        <w:t xml:space="preserve"> – </w:t>
      </w:r>
      <w:r>
        <w:rPr>
          <w:rFonts w:ascii="Arial;sans-serif" w:hAnsi="Arial;sans-serif"/>
          <w:b w:val="false"/>
          <w:color w:val="000000"/>
          <w:sz w:val="20"/>
        </w:rPr>
        <w:t>We exclude unrealized gains and losses (mark-to-market impacts) from commodity and foreign currency derivative contracts economically hedging forecasted transactions from our non-GAAP earnings measures. The mark-to-market impacts of those derivatives are excluded until the related gains or losses are realized. Since we purchase commodity and foreign currency derivative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Acquisition-related items </w:t>
      </w:r>
      <w:r>
        <w:rPr>
          <w:color w:val="000000"/>
        </w:rPr>
        <w:t xml:space="preserve">– </w:t>
      </w:r>
      <w:r>
        <w:rPr>
          <w:rFonts w:ascii="Arial;sans-serif" w:hAnsi="Arial;sans-serif"/>
          <w:b w:val="false"/>
          <w:color w:val="000000"/>
          <w:sz w:val="20"/>
        </w:rPr>
        <w:t xml:space="preserve">Includes acquisition-related costs, acquisition integration costs, contingent consideration adjustments, inventory step-ups and gains from acquisitions. Acquisition-related costs include third-party advisor, investment banking and legal fees. Acquisition integration costs include costs related to the integration of operations from acquisitions. Contingent consideration adjustments include any changes made to contingent compensation liabilities for earn-outs related to acquisitions that do not relate to recurring employee compensation expense. Refer to Note 6, </w:t>
      </w:r>
      <w:r>
        <w:rPr>
          <w:rFonts w:ascii="Arial;sans-serif" w:hAnsi="Arial;sans-serif"/>
          <w:b w:val="false"/>
          <w:i/>
          <w:color w:val="000000"/>
          <w:sz w:val="20"/>
        </w:rPr>
        <w:t>Financial Instruments - Fair Value of Contingent Consideration</w:t>
      </w:r>
      <w:r>
        <w:rPr>
          <w:color w:val="000000"/>
        </w:rPr>
        <w:t xml:space="preserve"> </w:t>
      </w:r>
      <w:r>
        <w:rPr>
          <w:rFonts w:ascii="Arial;sans-serif" w:hAnsi="Arial;sans-serif"/>
          <w:b w:val="false"/>
          <w:color w:val="000000"/>
          <w:sz w:val="20"/>
        </w:rPr>
        <w:t xml:space="preserve">for additional information. Other acquisition-related items include incremental costs from inventory step-ups associated with acquired companies related to the fair market valuation of the acquired inventory and acquisition gains from the remeasurement of an existing noncontrolling investment to fair value when the company acquires a controlling interest in the investee.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Divestiture-related items</w:t>
      </w:r>
      <w:r>
        <w:rPr>
          <w:color w:val="000000"/>
        </w:rPr>
        <w:t xml:space="preserve"> – </w:t>
      </w:r>
      <w:r>
        <w:rPr>
          <w:rFonts w:ascii="Arial;sans-serif" w:hAnsi="Arial;sans-serif"/>
          <w:b w:val="false"/>
          <w:color w:val="000000"/>
          <w:sz w:val="20"/>
        </w:rPr>
        <w:t xml:space="preserve">Includes operating results from divestitures, divestiture-related costs and gains or losses on divestitures. Divestitures may include sales of businesses, exits of major product lines upon completion of a sale or licensing agreement, or sales of equity method investments. Divestiture-related costs include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92785"/>
                <wp:effectExtent l="0" t="0" r="0" b="0"/>
                <wp:wrapNone/>
                <wp:docPr id="93" name="Frame3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3"/>
                                                <a:stretch>
                                                  <a:fillRect/>
                                                </a:stretch>
                                              </pic:blipFill>
                                              <pic:spPr bwMode="auto">
                                                <a:xfrm>
                                                  <a:off x="0" y="0"/>
                                                  <a:ext cx="314325" cy="209550"/>
                                                </a:xfrm>
                                                <a:prstGeom prst="rect">
                                                  <a:avLst/>
                                                </a:prstGeom>
                                              </pic:spPr>
                                            </pic:pic>
                                          </a:graphicData>
                                        </a:graphic>
                                      </wp:inline>
                                    </w:drawing>
                                  </w:r>
                                  <w:bookmarkStart w:id="61" w:name="i-32"/>
                                  <w:bookmarkEnd w:id="6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64"/>
                                          <a:stretch>
                                            <a:fillRect/>
                                          </a:stretch>
                                        </pic:blipFill>
                                        <pic:spPr bwMode="auto">
                                          <a:xfrm>
                                            <a:off x="0" y="0"/>
                                            <a:ext cx="314325" cy="209550"/>
                                          </a:xfrm>
                                          <a:prstGeom prst="rect">
                                            <a:avLst/>
                                          </a:prstGeom>
                                        </pic:spPr>
                                      </pic:pic>
                                    </a:graphicData>
                                  </a:graphic>
                                </wp:inline>
                              </w:drawing>
                            </w:r>
                            <w:bookmarkStart w:id="62" w:name="i-32"/>
                            <w:bookmarkEnd w:id="62"/>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incurred in relation to the preparation and completion of divestiture transactions (including one-time costs such as severance related to the elimination of stranded costs) as well as costs incurred associated with publicly announced processes to sell businesses.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Incremental costs due to geopolitical conflicts</w:t>
      </w:r>
      <w:r>
        <w:rPr>
          <w:color w:val="000000"/>
        </w:rPr>
        <w:t xml:space="preserve"> </w:t>
      </w:r>
      <w:r>
        <w:rPr>
          <w:rFonts w:ascii="Arial;sans-serif" w:hAnsi="Arial;sans-serif"/>
          <w:b w:val="false"/>
          <w:color w:val="000000"/>
          <w:sz w:val="20"/>
        </w:rPr>
        <w:t>- Reflects impacts related to the ongoing conflicts in the Middle East and Ukraine. Includes costs related to transportation surcharges, evacuation costs and committed compensation.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ERP System Implementation costs </w:t>
      </w:r>
      <w:r>
        <w:rPr>
          <w:color w:val="000000"/>
        </w:rPr>
        <w:t xml:space="preserve">– </w:t>
      </w:r>
      <w:r>
        <w:rPr>
          <w:rFonts w:ascii="Arial;sans-serif" w:hAnsi="Arial;sans-serif"/>
          <w:b w:val="false"/>
          <w:color w:val="000000"/>
          <w:sz w:val="20"/>
        </w:rPr>
        <w:t>In July 2024, our Board of Directors approved funding of $1.2 billion for a multi-year systems transformation program to upgrade our global ERP and supply chain systems, which is comprised of both capital expenditures and operating expenses, of which a majority is expected to be operating expenses. The ERP System Implementation program is being implemented by region in several phases with spending continuing over the next three years, with expected completion by year-end 2028. The operating expenses associated with the ERP System Implementation represent incremental transformational costs above the normal ongoing level of spending on information technology to support operations. These expenses include third-party consulting fees, direct labor costs associated with the program, accelerated depreciation of our existing SAP financial systems and various other expenses, all associated with the implementation of our information technology upgrades.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Remeasurement of net monetary position of highly inflationary countries</w:t>
      </w:r>
      <w:r>
        <w:rPr>
          <w:color w:val="000000"/>
        </w:rPr>
        <w:t xml:space="preserve"> – </w:t>
      </w:r>
      <w:r>
        <w:rPr>
          <w:rFonts w:ascii="Arial;sans-serif" w:hAnsi="Arial;sans-serif"/>
          <w:b w:val="false"/>
          <w:color w:val="000000"/>
          <w:sz w:val="20"/>
        </w:rPr>
        <w:t>Our operations in Argentina, Türkiye, Egypt and Nigeria are currently accounted for as highly inflationary. We exclude remeasurement gains and losses of the monetary assets and liabilities of our subsidiaries in highly inflationary economies and the realized gains and losses from derivatives that mitigate the foreign currency volatility related to the remeasurement of the respective monetary assets or liabilities from our non-GAAP earnings measures to facilitate comparisons of our underlying operating performance across periods.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 xml:space="preserve">Pension participation changes </w:t>
      </w:r>
      <w:r>
        <w:rPr>
          <w:color w:val="000000"/>
        </w:rPr>
        <w:t xml:space="preserve">– </w:t>
      </w:r>
      <w:r>
        <w:rPr>
          <w:rFonts w:ascii="Arial;sans-serif" w:hAnsi="Arial;sans-serif"/>
          <w:b w:val="false"/>
          <w:color w:val="000000"/>
          <w:sz w:val="20"/>
        </w:rPr>
        <w:t>Consists of the charges incurred, primarily gains or losses from pension curtailments and settlements, including settlement losses from the full or partial buy-out of our pension plans, as well as costs incurred when employee groups are withdrawn from multiemployer pension plans. We exclude these charges from our non-GAAP results because those amounts do not reflect our ongoing pension obligations.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Initial impacts from enacted tax law changes </w:t>
      </w:r>
      <w:r>
        <w:rPr>
          <w:color w:val="000000"/>
        </w:rPr>
        <w:t xml:space="preserve">– </w:t>
      </w:r>
      <w:r>
        <w:rPr>
          <w:rFonts w:ascii="Arial;sans-serif" w:hAnsi="Arial;sans-serif"/>
          <w:b w:val="false"/>
          <w:color w:val="000000"/>
          <w:sz w:val="20"/>
        </w:rPr>
        <w:t xml:space="preserve">Initial impacts from enacted tax law changes include items such as the remeasurement of deferred tax balances and transition taxes from tax reforms. We exclude initial impacts from enacted tax law changes from our non-GAAP financial measures as they do not reflect our ongoing tax obligations under the enacted tax law.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Gains and losses on equity method investment transactions </w:t>
      </w:r>
      <w:r>
        <w:rPr>
          <w:color w:val="000000"/>
        </w:rPr>
        <w:t xml:space="preserve">– </w:t>
      </w:r>
      <w:r>
        <w:rPr>
          <w:rFonts w:ascii="Arial;sans-serif" w:hAnsi="Arial;sans-serif"/>
          <w:b w:val="false"/>
          <w:color w:val="000000"/>
          <w:sz w:val="20"/>
        </w:rPr>
        <w:t xml:space="preserve">We exclude gains and losses from partial or full sales of equity method investments, as well as impairments or other non-routine transactions related to those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92785"/>
                <wp:effectExtent l="0" t="0" r="0" b="0"/>
                <wp:wrapNone/>
                <wp:docPr id="96" name="Frame3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5"/>
                                                <a:stretch>
                                                  <a:fillRect/>
                                                </a:stretch>
                                              </pic:blipFill>
                                              <pic:spPr bwMode="auto">
                                                <a:xfrm>
                                                  <a:off x="0" y="0"/>
                                                  <a:ext cx="314325" cy="209550"/>
                                                </a:xfrm>
                                                <a:prstGeom prst="rect">
                                                  <a:avLst/>
                                                </a:prstGeom>
                                              </pic:spPr>
                                            </pic:pic>
                                          </a:graphicData>
                                        </a:graphic>
                                      </wp:inline>
                                    </w:drawing>
                                  </w:r>
                                  <w:bookmarkStart w:id="63" w:name="i-33"/>
                                  <w:bookmarkEnd w:id="6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66"/>
                                          <a:stretch>
                                            <a:fillRect/>
                                          </a:stretch>
                                        </pic:blipFill>
                                        <pic:spPr bwMode="auto">
                                          <a:xfrm>
                                            <a:off x="0" y="0"/>
                                            <a:ext cx="314325" cy="209550"/>
                                          </a:xfrm>
                                          <a:prstGeom prst="rect">
                                            <a:avLst/>
                                          </a:prstGeom>
                                        </pic:spPr>
                                      </pic:pic>
                                    </a:graphicData>
                                  </a:graphic>
                                </wp:inline>
                              </w:drawing>
                            </w:r>
                            <w:bookmarkStart w:id="64" w:name="i-33"/>
                            <w:bookmarkEnd w:id="64"/>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Discussion and Analysis of Historical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Summary of Results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 xml:space="preserve">Net Revenues </w:t>
      </w:r>
      <w:r>
        <w:rPr>
          <w:color w:val="000000"/>
        </w:rPr>
        <w:t xml:space="preserve">– </w:t>
      </w:r>
      <w:r>
        <w:rPr>
          <w:rFonts w:ascii="Arial;sans-serif" w:hAnsi="Arial;sans-serif"/>
          <w:b w:val="false"/>
          <w:color w:val="000000"/>
          <w:sz w:val="20"/>
        </w:rPr>
        <w:t>increased 4.1% to $9.4 billion in the second quarter of 2026 and increased 6.2% to $19.4 billion in the first six months of 2026 as compared to the same periods in the prior year. Net revenue growth in both the second quarter and first six months of 2026 was driven by favorable currency-related items, as several currencies we operate in strengthened relative to the U.S. dollar, higher net pricing and favorable volume/mix, partially offset by lapping prior year net revenue from a divestiture.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 xml:space="preserve">Organic Net Revenue </w:t>
      </w:r>
      <w:r>
        <w:rPr>
          <w:color w:val="000000"/>
        </w:rPr>
        <w:t xml:space="preserve">– </w:t>
      </w:r>
      <w:r>
        <w:rPr>
          <w:rFonts w:ascii="Arial;sans-serif" w:hAnsi="Arial;sans-serif"/>
          <w:b w:val="false"/>
          <w:color w:val="000000"/>
          <w:sz w:val="20"/>
        </w:rPr>
        <w:t xml:space="preserve">Organic Net Revenue, a non-GAAP financial measure, increased 2.2% to $9.2 billion in the second quarter of 2026 and increased 2.6% to $18.8 billion in the first six months of 2026 as compared to the same periods in the prior year. During both the second quarter and the first six months of 2026 Organic Net Revenue grew due to higher net pricing and favorable volume/mix. Organic Net Revenue is reported on a constant currency basis and excludes revenue from acquisitions and divestitures. Refer to </w:t>
      </w:r>
      <w:r>
        <w:rPr>
          <w:rFonts w:ascii="Arial;sans-serif" w:hAnsi="Arial;sans-serif"/>
          <w:b w:val="false"/>
          <w:i/>
          <w:color w:val="000000"/>
          <w:sz w:val="20"/>
        </w:rPr>
        <w:t xml:space="preserve">Non-GAAP Financial Measures </w:t>
      </w:r>
      <w:r>
        <w:rPr>
          <w:rFonts w:ascii="Arial;sans-serif" w:hAnsi="Arial;sans-serif"/>
          <w:b w:val="false"/>
          <w:color w:val="000000"/>
          <w:sz w:val="20"/>
        </w:rPr>
        <w:t xml:space="preserve">for the definition of Organic Net Revenue and </w:t>
      </w:r>
      <w:r>
        <w:rPr>
          <w:rFonts w:ascii="Arial;sans-serif" w:hAnsi="Arial;sans-serif"/>
          <w:b w:val="false"/>
          <w:i/>
          <w:color w:val="000000"/>
          <w:sz w:val="20"/>
        </w:rPr>
        <w:t>Consolidated Results of Operations</w:t>
      </w:r>
      <w:r>
        <w:rPr>
          <w:color w:val="000000"/>
        </w:rPr>
        <w:t xml:space="preserve"> </w:t>
      </w:r>
      <w:r>
        <w:rPr>
          <w:rFonts w:ascii="Arial;sans-serif" w:hAnsi="Arial;sans-serif"/>
          <w:b w:val="false"/>
          <w:color w:val="000000"/>
          <w:sz w:val="20"/>
        </w:rPr>
        <w:t>for our reconciliation with net revenues.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Diluted EPS</w:t>
      </w:r>
      <w:r>
        <w:rPr>
          <w:color w:val="000000"/>
        </w:rPr>
        <w:t xml:space="preserve"> – </w:t>
      </w:r>
      <w:r>
        <w:rPr>
          <w:rFonts w:ascii="Arial;sans-serif" w:hAnsi="Arial;sans-serif"/>
          <w:b w:val="false"/>
          <w:color w:val="000000"/>
          <w:sz w:val="20"/>
        </w:rPr>
        <w:t xml:space="preserve">Diluted EPS attributable to Mondelēz International increased 144.9% to $1.20 in the second quarter of 2026 and increased 105.0% to $1.64 in the first six months of 2026 as compared to the same periods in the prior year. Diluted EPS increased in both the second quarter and first six months of 2026, primarily driven by a favorable year-over-year change in mark-to-market impacts from commodity and foreign currency derivatives, lower pension participation charges and initial impacts from enacted tax law changes. These favorable items were partially offset by higher acquisition-related items, higher costs incurred for the ERP System Implementation program and higher incremental costs due to geopolitical conflicts. The first six months of 2026 also reflected higher restructuring charges.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Adjusted EPS</w:t>
      </w:r>
      <w:r>
        <w:rPr>
          <w:color w:val="000000"/>
        </w:rPr>
        <w:t xml:space="preserve"> – </w:t>
      </w:r>
      <w:r>
        <w:rPr>
          <w:rFonts w:ascii="Arial;sans-serif" w:hAnsi="Arial;sans-serif"/>
          <w:b w:val="false"/>
          <w:color w:val="000000"/>
          <w:sz w:val="20"/>
        </w:rPr>
        <w:t xml:space="preserve">Adjusted EPS, a non-GAAP financial measure, was flat at $0.73 in the second quarter of 2026 and decreased 4.8% to $1.40 in the first six months of 2026 as compared to the same periods in the prior year. On a constant currency basis, Adjusted EPS decreased 2.7% to $0.71 in the second quarter of 2026 and decreased 8.8% to $1.34 in the first six months of 2026 as compared to the same periods in the prior year. Refer to </w:t>
      </w:r>
      <w:r>
        <w:rPr>
          <w:rFonts w:ascii="Arial;sans-serif" w:hAnsi="Arial;sans-serif"/>
          <w:b w:val="false"/>
          <w:i/>
          <w:color w:val="000000"/>
          <w:sz w:val="20"/>
        </w:rPr>
        <w:t xml:space="preserve">Non-GAAP Financial Measures </w:t>
      </w:r>
      <w:r>
        <w:rPr>
          <w:rFonts w:ascii="Arial;sans-serif" w:hAnsi="Arial;sans-serif"/>
          <w:b w:val="false"/>
          <w:color w:val="000000"/>
          <w:sz w:val="20"/>
        </w:rPr>
        <w:t xml:space="preserve">for the definition of Adjusted EPS and </w:t>
      </w:r>
      <w:r>
        <w:rPr>
          <w:rFonts w:ascii="Arial;sans-serif" w:hAnsi="Arial;sans-serif"/>
          <w:b w:val="false"/>
          <w:i/>
          <w:color w:val="000000"/>
          <w:sz w:val="20"/>
        </w:rPr>
        <w:t xml:space="preserve">Consolidated Results of Operations </w:t>
      </w:r>
      <w:r>
        <w:rPr>
          <w:rFonts w:ascii="Arial;sans-serif" w:hAnsi="Arial;sans-serif"/>
          <w:b w:val="false"/>
          <w:color w:val="000000"/>
          <w:sz w:val="20"/>
        </w:rPr>
        <w:t xml:space="preserve">for our reconciliation with diluted EPS.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EPS was flat in the second quarter of 2026, as operating declines and higher interest and other expense were offset by lower income tax and favorable currency-related items.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EPS decreased in the first six months of 2026, driven by operating declines, partially offset by favorable currency-related items, lower interest and other expense, higher benefit plan non-service income and fewer shares outstanding.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92785"/>
                <wp:effectExtent l="0" t="0" r="0" b="0"/>
                <wp:wrapNone/>
                <wp:docPr id="99" name="Frame3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67"/>
                                                <a:stretch>
                                                  <a:fillRect/>
                                                </a:stretch>
                                              </pic:blipFill>
                                              <pic:spPr bwMode="auto">
                                                <a:xfrm>
                                                  <a:off x="0" y="0"/>
                                                  <a:ext cx="314325" cy="209550"/>
                                                </a:xfrm>
                                                <a:prstGeom prst="rect">
                                                  <a:avLst/>
                                                </a:prstGeom>
                                              </pic:spPr>
                                            </pic:pic>
                                          </a:graphicData>
                                        </a:graphic>
                                      </wp:inline>
                                    </w:drawing>
                                  </w:r>
                                  <w:bookmarkStart w:id="65" w:name="i-34"/>
                                  <w:bookmarkEnd w:id="6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68"/>
                                          <a:stretch>
                                            <a:fillRect/>
                                          </a:stretch>
                                        </pic:blipFill>
                                        <pic:spPr bwMode="auto">
                                          <a:xfrm>
                                            <a:off x="0" y="0"/>
                                            <a:ext cx="314325" cy="209550"/>
                                          </a:xfrm>
                                          <a:prstGeom prst="rect">
                                            <a:avLst/>
                                          </a:prstGeom>
                                        </pic:spPr>
                                      </pic:pic>
                                    </a:graphicData>
                                  </a:graphic>
                                </wp:inline>
                              </w:drawing>
                            </w:r>
                            <w:bookmarkStart w:id="66" w:name="i-34"/>
                            <w:bookmarkEnd w:id="66"/>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June 30</w:t>
      </w:r>
    </w:p>
    <w:tbl>
      <w:tblPr>
        <w:tblW w:w="9320" w:type="dxa"/>
        <w:jc w:val="left"/>
        <w:tblInd w:w="0" w:type="dxa"/>
        <w:tblLayout w:type="fixed"/>
        <w:tblCellMar>
          <w:top w:w="28" w:type="dxa"/>
          <w:left w:w="28" w:type="dxa"/>
          <w:bottom w:w="28" w:type="dxa"/>
          <w:right w:w="28" w:type="dxa"/>
        </w:tblCellMar>
      </w:tblPr>
      <w:tblGrid>
        <w:gridCol w:w="1652"/>
        <w:gridCol w:w="1275"/>
        <w:gridCol w:w="1288"/>
        <w:gridCol w:w="221"/>
        <w:gridCol w:w="678"/>
        <w:gridCol w:w="114"/>
        <w:gridCol w:w="114"/>
        <w:gridCol w:w="114"/>
        <w:gridCol w:w="114"/>
        <w:gridCol w:w="221"/>
        <w:gridCol w:w="678"/>
        <w:gridCol w:w="114"/>
        <w:gridCol w:w="109"/>
        <w:gridCol w:w="109"/>
        <w:gridCol w:w="109"/>
        <w:gridCol w:w="225"/>
        <w:gridCol w:w="514"/>
        <w:gridCol w:w="117"/>
        <w:gridCol w:w="109"/>
        <w:gridCol w:w="109"/>
        <w:gridCol w:w="109"/>
        <w:gridCol w:w="322"/>
        <w:gridCol w:w="324"/>
        <w:gridCol w:w="581"/>
      </w:tblGrid>
      <w:tr>
        <w:trPr/>
        <w:tc>
          <w:tcPr>
            <w:tcW w:w="16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Net earnings attributable to</w:t>
            </w:r>
          </w:p>
          <w:p>
            <w:pPr>
              <w:pStyle w:val="TableContents"/>
              <w:bidi w:val="0"/>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Diluted earnings per share attributable to</w:t>
            </w:r>
          </w:p>
          <w:p>
            <w:pPr>
              <w:pStyle w:val="TableContents"/>
              <w:bidi w:val="0"/>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Net Revenues</w:t>
      </w:r>
      <w:r>
        <w:rPr>
          <w:color w:val="000000"/>
        </w:rPr>
        <w:t xml:space="preserve"> – </w:t>
      </w:r>
      <w:r>
        <w:rPr>
          <w:rFonts w:ascii="Arial;sans-serif" w:hAnsi="Arial;sans-serif"/>
          <w:b w:val="false"/>
          <w:color w:val="000000"/>
          <w:sz w:val="20"/>
        </w:rPr>
        <w:t xml:space="preserve">Net revenues increased $371 million (4.1%) to $9,355 million in the second quarter of 2026, and Organic Net Revenue </w:t>
      </w:r>
      <w:r>
        <w:rPr>
          <w:rFonts w:ascii="Arial;sans-serif" w:hAnsi="Arial;sans-serif"/>
          <w:b w:val="false"/>
          <w:color w:val="000000"/>
          <w:sz w:val="12"/>
        </w:rPr>
        <w:t>(1)</w:t>
      </w:r>
      <w:r>
        <w:rPr>
          <w:color w:val="000000"/>
        </w:rPr>
        <w:t> </w:t>
      </w:r>
      <w:r>
        <w:rPr>
          <w:rFonts w:ascii="Arial;sans-serif" w:hAnsi="Arial;sans-serif"/>
          <w:b w:val="false"/>
          <w:color w:val="000000"/>
          <w:sz w:val="20"/>
        </w:rPr>
        <w:t xml:space="preserve">increased $198 million (2.2%) to $9,172 million. Emerging markets net revenues increased 7.4% and emerging markets Organic Net Revenue increased 4.4% </w:t>
      </w:r>
      <w:r>
        <w:rPr>
          <w:rFonts w:ascii="Arial;sans-serif" w:hAnsi="Arial;sans-serif"/>
          <w:b w:val="false"/>
          <w:color w:val="000000"/>
          <w:sz w:val="12"/>
        </w:rPr>
        <w:t>(1)</w:t>
      </w:r>
      <w:r>
        <w:rPr>
          <w:rFonts w:ascii="Arial;sans-serif" w:hAnsi="Arial;sans-serif"/>
          <w:b w:val="false"/>
          <w:color w:val="000000"/>
          <w:sz w:val="20"/>
        </w:rPr>
        <w:t xml:space="preserve">. Developed markets net revenues increased 1.9% and developed markets Organic Net Revenue increased 0.7% </w:t>
      </w:r>
      <w:r>
        <w:rPr>
          <w:rFonts w:ascii="Arial;sans-serif" w:hAnsi="Arial;sans-serif"/>
          <w:b w:val="false"/>
          <w:color w:val="000000"/>
          <w:sz w:val="12"/>
        </w:rPr>
        <w:t>(1)</w:t>
      </w:r>
      <w:r>
        <w:rPr>
          <w:rFonts w:ascii="Arial;sans-serif" w:hAnsi="Arial;sans-serif"/>
          <w:b w:val="false"/>
          <w:color w:val="000000"/>
          <w:sz w:val="20"/>
        </w:rPr>
        <w:t>. The underlying changes in net revenues and Organic Net Revenue are detailed below:</w:t>
      </w:r>
    </w:p>
    <w:tbl>
      <w:tblPr>
        <w:tblW w:w="7755" w:type="dxa"/>
        <w:jc w:val="left"/>
        <w:tblInd w:w="0" w:type="dxa"/>
        <w:tblLayout w:type="fixed"/>
        <w:tblCellMar>
          <w:top w:w="28" w:type="dxa"/>
          <w:left w:w="28" w:type="dxa"/>
          <w:bottom w:w="28" w:type="dxa"/>
          <w:right w:w="28" w:type="dxa"/>
        </w:tblCellMar>
      </w:tblPr>
      <w:tblGrid>
        <w:gridCol w:w="1223"/>
        <w:gridCol w:w="1073"/>
        <w:gridCol w:w="1078"/>
        <w:gridCol w:w="211"/>
        <w:gridCol w:w="646"/>
        <w:gridCol w:w="346"/>
        <w:gridCol w:w="109"/>
        <w:gridCol w:w="109"/>
        <w:gridCol w:w="109"/>
        <w:gridCol w:w="211"/>
        <w:gridCol w:w="646"/>
        <w:gridCol w:w="346"/>
        <w:gridCol w:w="109"/>
        <w:gridCol w:w="109"/>
        <w:gridCol w:w="109"/>
        <w:gridCol w:w="223"/>
        <w:gridCol w:w="683"/>
        <w:gridCol w:w="415"/>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Emerging</w:t>
              <w:br/>
              <w:t>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Developed</w:t>
              <w:br/>
              <w:t>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Mondelēz</w:t>
              <w:br/>
              <w:t>International</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Three Months Ended June 30, 2026</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3,909</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5,446</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9,355</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3,798</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5,374</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9,172</w:t>
            </w:r>
            <w:r>
              <w:rPr>
                <w:color w:val="000000"/>
              </w:rPr>
              <w:t>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Three Months Ended June 30, 2025</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3,638</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5,346</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8,984</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3,638</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5,336</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8,974</w:t>
            </w:r>
            <w:r>
              <w:rPr>
                <w:color w:val="000000"/>
              </w:rPr>
              <w:t>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 Change</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Vol/Mix</w:t>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pp</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Pricing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increase of 4.1%, driven by Organic Net Revenue growth of 2.2% and favorable currency-related items, partially offset by lapping prior year net revenue from a divestiture. Organic Net Revenue growth reflected higher net pricing and favorable volume/mix. Higher net pricing was driven by the benefit of carryover pricing from 2025 as well as input cost-driven pricing actions taken during 2026, and was reflected across all regions except Europe. Favorable volume/mix was driven by growth across most regions and categories, partially offset by Europe where chocolate volume declines are moderating following elevated pricing actions taken in the prior year. Currency-related items increased net revenues by $183 million, primarily due to the strength of most currencies relative to the U.S. dollar, including the Brazilian real, Mexican peso, euro, Chinese yuan, Australian dollar and Russian ruble. These favorable impacts were partially offset by the strength of the U.S. dollar relative to a few currencies, primarily the Indian rupee and Argentinean peso.</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92785"/>
                <wp:effectExtent l="0" t="0" r="0" b="0"/>
                <wp:wrapNone/>
                <wp:docPr id="102" name="Frame3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0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5" descr=""/>
                                                <pic:cNvPicPr>
                                                  <a:picLocks noChangeAspect="1" noChangeArrowheads="1"/>
                                                </pic:cNvPicPr>
                                              </pic:nvPicPr>
                                              <pic:blipFill>
                                                <a:blip r:embed="rId69"/>
                                                <a:stretch>
                                                  <a:fillRect/>
                                                </a:stretch>
                                              </pic:blipFill>
                                              <pic:spPr bwMode="auto">
                                                <a:xfrm>
                                                  <a:off x="0" y="0"/>
                                                  <a:ext cx="314325" cy="209550"/>
                                                </a:xfrm>
                                                <a:prstGeom prst="rect">
                                                  <a:avLst/>
                                                </a:prstGeom>
                                              </pic:spPr>
                                            </pic:pic>
                                          </a:graphicData>
                                        </a:graphic>
                                      </wp:inline>
                                    </w:drawing>
                                  </w:r>
                                  <w:bookmarkStart w:id="67" w:name="i-35"/>
                                  <w:bookmarkEnd w:id="6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0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5" descr=""/>
                                          <pic:cNvPicPr>
                                            <a:picLocks noChangeAspect="1" noChangeArrowheads="1"/>
                                          </pic:cNvPicPr>
                                        </pic:nvPicPr>
                                        <pic:blipFill>
                                          <a:blip r:embed="rId70"/>
                                          <a:stretch>
                                            <a:fillRect/>
                                          </a:stretch>
                                        </pic:blipFill>
                                        <pic:spPr bwMode="auto">
                                          <a:xfrm>
                                            <a:off x="0" y="0"/>
                                            <a:ext cx="314325" cy="209550"/>
                                          </a:xfrm>
                                          <a:prstGeom prst="rect">
                                            <a:avLst/>
                                          </a:prstGeom>
                                        </pic:spPr>
                                      </pic:pic>
                                    </a:graphicData>
                                  </a:graphic>
                                </wp:inline>
                              </w:drawing>
                            </w:r>
                            <w:bookmarkStart w:id="68" w:name="i-35"/>
                            <w:bookmarkEnd w:id="68"/>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i/>
          <w:color w:val="000000"/>
          <w:sz w:val="20"/>
        </w:rPr>
        <w:t>Operating Income</w:t>
      </w:r>
      <w:r>
        <w:rPr>
          <w:color w:val="000000"/>
        </w:rPr>
        <w:t xml:space="preserve"> – </w:t>
      </w:r>
      <w:r>
        <w:rPr>
          <w:rFonts w:ascii="Arial;sans-serif" w:hAnsi="Arial;sans-serif"/>
          <w:b w:val="false"/>
          <w:color w:val="000000"/>
          <w:sz w:val="20"/>
        </w:rPr>
        <w:t xml:space="preserve">Operating income increased $774 million (66.0%) to $1,946 million in the second quarter of 2026. Adjusted Operating Income </w:t>
      </w:r>
      <w:r>
        <w:rPr>
          <w:rFonts w:ascii="Arial;sans-serif" w:hAnsi="Arial;sans-serif"/>
          <w:b w:val="false"/>
          <w:color w:val="000000"/>
          <w:sz w:val="12"/>
        </w:rPr>
        <w:t>(1)</w:t>
      </w:r>
      <w:r>
        <w:rPr>
          <w:color w:val="000000"/>
        </w:rPr>
        <w:t> </w:t>
      </w:r>
      <w:r>
        <w:rPr>
          <w:rFonts w:ascii="Arial;sans-serif" w:hAnsi="Arial;sans-serif"/>
          <w:b w:val="false"/>
          <w:color w:val="000000"/>
          <w:sz w:val="20"/>
        </w:rPr>
        <w:t xml:space="preserve">decreased $61 million (4.8%) to $1,222 million and Adjusted Operating Income on a constant currency basis </w:t>
      </w:r>
      <w:r>
        <w:rPr>
          <w:rFonts w:ascii="Arial;sans-serif" w:hAnsi="Arial;sans-serif"/>
          <w:b w:val="false"/>
          <w:color w:val="000000"/>
          <w:sz w:val="12"/>
        </w:rPr>
        <w:t>(1)</w:t>
      </w:r>
      <w:r>
        <w:rPr>
          <w:color w:val="000000"/>
        </w:rPr>
        <w:t> </w:t>
      </w:r>
      <w:r>
        <w:rPr>
          <w:rFonts w:ascii="Arial;sans-serif" w:hAnsi="Arial;sans-serif"/>
          <w:b w:val="false"/>
          <w:color w:val="000000"/>
          <w:sz w:val="20"/>
        </w:rPr>
        <w:t>decreased $78 million (6.1%) to $1,205 million due to the following:</w:t>
      </w:r>
    </w:p>
    <w:tbl>
      <w:tblPr>
        <w:tblW w:w="9739" w:type="dxa"/>
        <w:jc w:val="left"/>
        <w:tblInd w:w="0" w:type="dxa"/>
        <w:tblLayout w:type="fixed"/>
        <w:tblCellMar>
          <w:top w:w="28" w:type="dxa"/>
          <w:left w:w="28" w:type="dxa"/>
          <w:bottom w:w="28" w:type="dxa"/>
          <w:right w:w="28" w:type="dxa"/>
        </w:tblCellMar>
      </w:tblPr>
      <w:tblGrid>
        <w:gridCol w:w="1716"/>
        <w:gridCol w:w="1509"/>
        <w:gridCol w:w="1514"/>
        <w:gridCol w:w="221"/>
        <w:gridCol w:w="678"/>
        <w:gridCol w:w="114"/>
        <w:gridCol w:w="114"/>
        <w:gridCol w:w="114"/>
        <w:gridCol w:w="114"/>
        <w:gridCol w:w="221"/>
        <w:gridCol w:w="678"/>
        <w:gridCol w:w="114"/>
        <w:gridCol w:w="109"/>
        <w:gridCol w:w="109"/>
        <w:gridCol w:w="109"/>
        <w:gridCol w:w="225"/>
        <w:gridCol w:w="514"/>
        <w:gridCol w:w="117"/>
        <w:gridCol w:w="109"/>
        <w:gridCol w:w="109"/>
        <w:gridCol w:w="109"/>
        <w:gridCol w:w="270"/>
        <w:gridCol w:w="271"/>
        <w:gridCol w:w="581"/>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1,946</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774</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66.0</w:t>
            </w: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Restructuring charges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Mark-to-market (gains)/losses from derivatives </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Acquisition-related items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Divestiture-related items </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Incremental costs due to geopolitical conflicts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ERP System Implementation costs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Remeasurement of net monetary position </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Operating Income </w:t>
            </w:r>
            <w:r>
              <w:rPr>
                <w:rFonts w:ascii="Arial;sans-serif" w:hAnsi="Arial;sans-serif"/>
                <w:b/>
                <w:color w:val="000000"/>
                <w:sz w:val="13"/>
              </w:rPr>
              <w:t>(1)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1,222</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Operating Income (constant currency) </w:t>
            </w:r>
            <w:r>
              <w:rPr>
                <w:rFonts w:ascii="Arial;sans-serif" w:hAnsi="Arial;sans-serif"/>
                <w:b/>
                <w:color w:val="000000"/>
                <w:sz w:val="13"/>
              </w:rPr>
              <w:t>(1)</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1,205</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1,283</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(78)</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(6.1)</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0" w:after="0"/>
        <w:jc w:val="both"/>
        <w:rPr/>
      </w:pPr>
      <w:r>
        <w:rPr/>
      </w:r>
    </w:p>
    <w:tbl>
      <w:tblPr>
        <w:tblW w:w="8776" w:type="dxa"/>
        <w:jc w:val="left"/>
        <w:tblInd w:w="0" w:type="dxa"/>
        <w:tblLayout w:type="fixed"/>
        <w:tblCellMar>
          <w:top w:w="28" w:type="dxa"/>
          <w:left w:w="28" w:type="dxa"/>
          <w:bottom w:w="28" w:type="dxa"/>
          <w:right w:w="28" w:type="dxa"/>
        </w:tblCellMar>
      </w:tblPr>
      <w:tblGrid>
        <w:gridCol w:w="2124"/>
        <w:gridCol w:w="1862"/>
        <w:gridCol w:w="1876"/>
        <w:gridCol w:w="126"/>
        <w:gridCol w:w="126"/>
        <w:gridCol w:w="126"/>
        <w:gridCol w:w="109"/>
        <w:gridCol w:w="109"/>
        <w:gridCol w:w="109"/>
        <w:gridCol w:w="109"/>
        <w:gridCol w:w="109"/>
        <w:gridCol w:w="109"/>
        <w:gridCol w:w="109"/>
        <w:gridCol w:w="109"/>
        <w:gridCol w:w="109"/>
        <w:gridCol w:w="225"/>
        <w:gridCol w:w="514"/>
        <w:gridCol w:w="117"/>
        <w:gridCol w:w="109"/>
        <w:gridCol w:w="109"/>
        <w:gridCol w:w="109"/>
        <w:gridCol w:w="109"/>
        <w:gridCol w:w="109"/>
        <w:gridCol w:w="154"/>
      </w:tblGrid>
      <w:tr>
        <w:trPr/>
        <w:tc>
          <w:tcPr>
            <w:tcW w:w="2124"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Drivers of Adjusted Operating Income (constant currency)</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Higher net pricing</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Higher input costs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Favorable volume/mix</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Higher selling, general and administrative expenses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Lower amortization of intangible assets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Higher fixed asset impairment charges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change in Adjusted Operating Income (constant currency) </w:t>
            </w:r>
            <w:r>
              <w:rPr>
                <w:rFonts w:ascii="Arial;sans-serif" w:hAnsi="Arial;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(78)</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for additional information.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second quarter of 2026, we realized higher net pricing and favorable volume/mix, which was partially offset by increased input costs. Higher net pricing, which included the carryover impact of pricing actions taken in 2025, was reflected across all regions except Europe. The increase in input costs was driven by higher raw material costs, partially offset by lower manufacturing costs driven by productivity. While cocoa prices moderated from prior year levels, the benefit was limited as existing hedge positions continue to reflect previously contracted prices. Higher raw material costs were also driven by higher packaging, nuts, energy, edible oils, grains, and other ingredient costs, as well as unfavorable year-over-year currency exchange impacts on imported materials, partially offset by lower dairy and sugar costs. Overall, favorable volume/mix was driven by growth across most regions and categories, partially offset by Europe where chocolate volume declines are moderating following elevated pricing actions taken in the prior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selling, general and administrative expenses increased $276 million from the second quarter of 2025, which included unfavorable currency-related impacts to expenses, an unfavorable year-over-year change in acquisition-related items and higher costs incurred for the ERP System Implementation program. Excluding these unfavorable factors, selling, general and administrative expenses increased $182 million from the second quarter of 2025. The increase was driven primarily by higher other selling, general and administrative expenses and higher advertising and consumer promotion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Currency-related items increased operating income by $17 million due to favorable currency translation rate changes, as the impact of extreme pricing in Argentina was not material. Favorable currency translation rate changes were primarily due to the strength of several currencies relative to the U.S. dollar, including the Brazilian real, Mexican peso and Chinese yuan, partially offset by the strength of the U.S. dollar relative to a few currencies, primarily the Egyptian pound and Indian rupee.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92785"/>
                <wp:effectExtent l="0" t="0" r="0" b="0"/>
                <wp:wrapNone/>
                <wp:docPr id="105" name="Frame3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0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6" descr=""/>
                                                <pic:cNvPicPr>
                                                  <a:picLocks noChangeAspect="1" noChangeArrowheads="1"/>
                                                </pic:cNvPicPr>
                                              </pic:nvPicPr>
                                              <pic:blipFill>
                                                <a:blip r:embed="rId71"/>
                                                <a:stretch>
                                                  <a:fillRect/>
                                                </a:stretch>
                                              </pic:blipFill>
                                              <pic:spPr bwMode="auto">
                                                <a:xfrm>
                                                  <a:off x="0" y="0"/>
                                                  <a:ext cx="314325" cy="209550"/>
                                                </a:xfrm>
                                                <a:prstGeom prst="rect">
                                                  <a:avLst/>
                                                </a:prstGeom>
                                              </pic:spPr>
                                            </pic:pic>
                                          </a:graphicData>
                                        </a:graphic>
                                      </wp:inline>
                                    </w:drawing>
                                  </w:r>
                                  <w:bookmarkStart w:id="69" w:name="i-36"/>
                                  <w:bookmarkEnd w:id="6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0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6" descr=""/>
                                          <pic:cNvPicPr>
                                            <a:picLocks noChangeAspect="1" noChangeArrowheads="1"/>
                                          </pic:cNvPicPr>
                                        </pic:nvPicPr>
                                        <pic:blipFill>
                                          <a:blip r:embed="rId72"/>
                                          <a:stretch>
                                            <a:fillRect/>
                                          </a:stretch>
                                        </pic:blipFill>
                                        <pic:spPr bwMode="auto">
                                          <a:xfrm>
                                            <a:off x="0" y="0"/>
                                            <a:ext cx="314325" cy="209550"/>
                                          </a:xfrm>
                                          <a:prstGeom prst="rect">
                                            <a:avLst/>
                                          </a:prstGeom>
                                        </pic:spPr>
                                      </pic:pic>
                                    </a:graphicData>
                                  </a:graphic>
                                </wp:inline>
                              </w:drawing>
                            </w:r>
                            <w:bookmarkStart w:id="70" w:name="i-36"/>
                            <w:bookmarkEnd w:id="70"/>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income margin increased from 13.0% in the second quarter of 2025 to 20.8% in the second quarter of 2026. The increase in operating income margin was driven primarily by a favorable year-over-year change in mark-to-market impacts from commodity and foreign currency derivatives, partially offset by lower Adjusted Operating Income margin, an unfavorable year-over-year change in acquisition-related items, higher costs incurred for the ERP System Implementation program, higher restructuring charges and incremental costs due to geopolitical conflicts. Adjusted Operating Income margin decreased from 14.3% for the second quarter of 2025 to 13.1% for the second quarter of 2026. The decrease was driven primarily by higher raw material costs, higher other selling, general and administrative expenses and higher advertising and consumer promotion costs, partially offset by higher net pricing and lower manufacturing costs driven by productivity.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Income Taxes</w:t>
      </w:r>
      <w:r>
        <w:rPr>
          <w:color w:val="000000"/>
        </w:rPr>
        <w:t xml:space="preserve"> – </w:t>
      </w:r>
      <w:r>
        <w:rPr>
          <w:rFonts w:ascii="Arial;sans-serif" w:hAnsi="Arial;sans-serif"/>
          <w:b w:val="false"/>
          <w:color w:val="000000"/>
          <w:sz w:val="20"/>
        </w:rPr>
        <w:t>Our effective tax rate was 19.2% for the second quarter of 2026 as compared to 26.9% in the second quarter of 2025. The decrease in our effective tax rate was driven by our jurisdictional mix of earnings, in particular the impact of mark-to-market gains and losses on commodity and foreign currency derivatives on a year over year basis, as well as tax benefits recorded in the current quarter related to a legal entity reorganization and a U.S. amended tax return filing.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Net Earnings and Earnings per Share Attributable to Mondelēz International</w:t>
      </w:r>
      <w:r>
        <w:rPr>
          <w:color w:val="000000"/>
        </w:rPr>
        <w:t xml:space="preserve"> – </w:t>
      </w:r>
      <w:r>
        <w:rPr>
          <w:rFonts w:ascii="Arial;sans-serif" w:hAnsi="Arial;sans-serif"/>
          <w:b w:val="false"/>
          <w:color w:val="000000"/>
          <w:sz w:val="20"/>
        </w:rPr>
        <w:t xml:space="preserve">Net earnings attributable to Mondelēz International of $1,548 million increased by $907 million (141.5%) in the second quarter of 2026. Diluted EPS attributable to Mondelēz International was $1.20 in the second quarter of 2026, up $0.71 (144.9%) from the second quarter of 2025. Adjusted EPS </w:t>
      </w:r>
      <w:r>
        <w:rPr>
          <w:rFonts w:ascii="Arial;sans-serif" w:hAnsi="Arial;sans-serif"/>
          <w:b w:val="false"/>
          <w:color w:val="000000"/>
          <w:sz w:val="13"/>
        </w:rPr>
        <w:t>(1)</w:t>
      </w:r>
      <w:r>
        <w:rPr>
          <w:color w:val="000000"/>
        </w:rPr>
        <w:t> </w:t>
      </w:r>
      <w:r>
        <w:rPr>
          <w:rFonts w:ascii="Arial;sans-serif" w:hAnsi="Arial;sans-serif"/>
          <w:b w:val="false"/>
          <w:color w:val="000000"/>
          <w:sz w:val="20"/>
        </w:rPr>
        <w:t xml:space="preserve">was $0.73 in the second quarter of 2026, flat as compared to the second quarter of 2025. Adjusted EPS on a constant currency basis </w:t>
      </w:r>
      <w:r>
        <w:rPr>
          <w:rFonts w:ascii="Arial;sans-serif" w:hAnsi="Arial;sans-serif"/>
          <w:b w:val="false"/>
          <w:color w:val="000000"/>
          <w:sz w:val="13"/>
        </w:rPr>
        <w:t>(1)</w:t>
      </w:r>
      <w:r>
        <w:rPr>
          <w:color w:val="000000"/>
        </w:rPr>
        <w:t> </w:t>
      </w:r>
      <w:r>
        <w:rPr>
          <w:rFonts w:ascii="Arial;sans-serif" w:hAnsi="Arial;sans-serif"/>
          <w:b w:val="false"/>
          <w:color w:val="000000"/>
          <w:sz w:val="20"/>
        </w:rPr>
        <w:t>was $0.71 in the second quarter of 2026, down $0.02 (2.7%) from the second quarter of 2025.</w:t>
      </w:r>
    </w:p>
    <w:tbl>
      <w:tblPr>
        <w:tblW w:w="9956" w:type="dxa"/>
        <w:jc w:val="left"/>
        <w:tblInd w:w="0" w:type="dxa"/>
        <w:tblLayout w:type="fixed"/>
        <w:tblCellMar>
          <w:top w:w="28" w:type="dxa"/>
          <w:left w:w="28" w:type="dxa"/>
          <w:bottom w:w="28" w:type="dxa"/>
          <w:right w:w="28" w:type="dxa"/>
        </w:tblCellMar>
      </w:tblPr>
      <w:tblGrid>
        <w:gridCol w:w="1734"/>
        <w:gridCol w:w="1524"/>
        <w:gridCol w:w="1526"/>
        <w:gridCol w:w="244"/>
        <w:gridCol w:w="626"/>
        <w:gridCol w:w="126"/>
        <w:gridCol w:w="126"/>
        <w:gridCol w:w="126"/>
        <w:gridCol w:w="126"/>
        <w:gridCol w:w="244"/>
        <w:gridCol w:w="626"/>
        <w:gridCol w:w="126"/>
        <w:gridCol w:w="109"/>
        <w:gridCol w:w="109"/>
        <w:gridCol w:w="109"/>
        <w:gridCol w:w="211"/>
        <w:gridCol w:w="601"/>
        <w:gridCol w:w="109"/>
        <w:gridCol w:w="109"/>
        <w:gridCol w:w="109"/>
        <w:gridCol w:w="109"/>
        <w:gridCol w:w="323"/>
        <w:gridCol w:w="323"/>
        <w:gridCol w:w="581"/>
      </w:tblGrid>
      <w:tr>
        <w:trPr/>
        <w:tc>
          <w:tcPr>
            <w:tcW w:w="173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 attributable to Mondelēz International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0.49</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144.9</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Mark-to-market (gains)/losses from derivatives </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Acquisition-related items </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Incremental costs due to geopolitical conflicts </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ERP System Implementation costs </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Remeasurement of net monetary position </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Pension participation changes </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Initial impacts from enacted tax law changes </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EPS </w:t>
            </w:r>
            <w:r>
              <w:rPr>
                <w:rFonts w:ascii="Arial;sans-serif" w:hAnsi="Arial;sans-serif"/>
                <w:b/>
                <w:color w:val="000000"/>
                <w:sz w:val="13"/>
              </w:rPr>
              <w:t>(1)</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0.73</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0.73</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EPS (constant currency)</w:t>
            </w:r>
            <w:r>
              <w:rPr>
                <w:color w:val="000000"/>
              </w:rPr>
              <w:t xml:space="preserve"> </w:t>
            </w:r>
            <w:r>
              <w:rPr>
                <w:rFonts w:ascii="Arial;sans-serif" w:hAnsi="Arial;sans-serif"/>
                <w:b/>
                <w:color w:val="000000"/>
                <w:sz w:val="13"/>
              </w:rPr>
              <w:t>(1)</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0.71</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0.73</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100" w:after="283"/>
        <w:jc w:val="both"/>
        <w:rPr/>
      </w:pPr>
      <w:r>
        <w:rPr/>
      </w:r>
    </w:p>
    <w:tbl>
      <w:tblPr>
        <w:tblW w:w="7907" w:type="dxa"/>
        <w:jc w:val="left"/>
        <w:tblInd w:w="0" w:type="dxa"/>
        <w:tblLayout w:type="fixed"/>
        <w:tblCellMar>
          <w:top w:w="28" w:type="dxa"/>
          <w:left w:w="28" w:type="dxa"/>
          <w:bottom w:w="28" w:type="dxa"/>
          <w:right w:w="28" w:type="dxa"/>
        </w:tblCellMar>
      </w:tblPr>
      <w:tblGrid>
        <w:gridCol w:w="1804"/>
        <w:gridCol w:w="1584"/>
        <w:gridCol w:w="1591"/>
        <w:gridCol w:w="109"/>
        <w:gridCol w:w="109"/>
        <w:gridCol w:w="109"/>
        <w:gridCol w:w="109"/>
        <w:gridCol w:w="109"/>
        <w:gridCol w:w="109"/>
        <w:gridCol w:w="109"/>
        <w:gridCol w:w="109"/>
        <w:gridCol w:w="109"/>
        <w:gridCol w:w="109"/>
        <w:gridCol w:w="109"/>
        <w:gridCol w:w="109"/>
        <w:gridCol w:w="211"/>
        <w:gridCol w:w="601"/>
        <w:gridCol w:w="109"/>
        <w:gridCol w:w="109"/>
        <w:gridCol w:w="109"/>
        <w:gridCol w:w="109"/>
        <w:gridCol w:w="109"/>
        <w:gridCol w:w="109"/>
        <w:gridCol w:w="154"/>
      </w:tblGrid>
      <w:tr>
        <w:trPr/>
        <w:tc>
          <w:tcPr>
            <w:tcW w:w="180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Drivers of Adjusted EPS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Change in interest and other expense,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Change in income taxes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change in Adjusted EPS (constant currency)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for additional information. The tax expense/(benefit) of each of the pre-tax items excluded from our U.S. GAAP results was computed based on the facts and tax assumptions associated with each item, and such impacts have also been excluded from Adjusted EPS.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For the three months ended June 30, 2026, taxes for the: mark-to-market gains from derivatives were $172 million, ERP System Implementation program were $(15) million and initial impacts from enacted tax law changes were $(30)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For the three months ended June 30, 2025, taxes for the: mark-to-market losses from derivatives were $(16) million, acquisition-related items were $9 million, ERP System Implementation program were $(10) million, pension participation changes were $(73) million and initial impacts from enacted tax law changes were $(1) million.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92785"/>
                <wp:effectExtent l="0" t="0" r="0" b="0"/>
                <wp:wrapNone/>
                <wp:docPr id="108" name="Frame3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0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7" descr=""/>
                                                <pic:cNvPicPr>
                                                  <a:picLocks noChangeAspect="1" noChangeArrowheads="1"/>
                                                </pic:cNvPicPr>
                                              </pic:nvPicPr>
                                              <pic:blipFill>
                                                <a:blip r:embed="rId73"/>
                                                <a:stretch>
                                                  <a:fillRect/>
                                                </a:stretch>
                                              </pic:blipFill>
                                              <pic:spPr bwMode="auto">
                                                <a:xfrm>
                                                  <a:off x="0" y="0"/>
                                                  <a:ext cx="314325" cy="209550"/>
                                                </a:xfrm>
                                                <a:prstGeom prst="rect">
                                                  <a:avLst/>
                                                </a:prstGeom>
                                              </pic:spPr>
                                            </pic:pic>
                                          </a:graphicData>
                                        </a:graphic>
                                      </wp:inline>
                                    </w:drawing>
                                  </w:r>
                                  <w:bookmarkStart w:id="71" w:name="i-37"/>
                                  <w:bookmarkEnd w:id="7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1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7" descr=""/>
                                          <pic:cNvPicPr>
                                            <a:picLocks noChangeAspect="1" noChangeArrowheads="1"/>
                                          </pic:cNvPicPr>
                                        </pic:nvPicPr>
                                        <pic:blipFill>
                                          <a:blip r:embed="rId74"/>
                                          <a:stretch>
                                            <a:fillRect/>
                                          </a:stretch>
                                        </pic:blipFill>
                                        <pic:spPr bwMode="auto">
                                          <a:xfrm>
                                            <a:off x="0" y="0"/>
                                            <a:ext cx="314325" cy="209550"/>
                                          </a:xfrm>
                                          <a:prstGeom prst="rect">
                                            <a:avLst/>
                                          </a:prstGeom>
                                        </pic:spPr>
                                      </pic:pic>
                                    </a:graphicData>
                                  </a:graphic>
                                </wp:inline>
                              </w:drawing>
                            </w:r>
                            <w:bookmarkStart w:id="72" w:name="i-37"/>
                            <w:bookmarkEnd w:id="72"/>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Six Months Ended June 30:</w:t>
      </w:r>
    </w:p>
    <w:tbl>
      <w:tblPr>
        <w:tblW w:w="9531" w:type="dxa"/>
        <w:jc w:val="left"/>
        <w:tblInd w:w="0" w:type="dxa"/>
        <w:tblLayout w:type="fixed"/>
        <w:tblCellMar>
          <w:top w:w="28" w:type="dxa"/>
          <w:left w:w="28" w:type="dxa"/>
          <w:bottom w:w="28" w:type="dxa"/>
          <w:right w:w="28" w:type="dxa"/>
        </w:tblCellMar>
      </w:tblPr>
      <w:tblGrid>
        <w:gridCol w:w="1652"/>
        <w:gridCol w:w="1275"/>
        <w:gridCol w:w="1288"/>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322"/>
        <w:gridCol w:w="324"/>
        <w:gridCol w:w="581"/>
      </w:tblGrid>
      <w:tr>
        <w:trPr/>
        <w:tc>
          <w:tcPr>
            <w:tcW w:w="16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Net earnings attributable to</w:t>
            </w:r>
          </w:p>
          <w:p>
            <w:pPr>
              <w:pStyle w:val="TableContents"/>
              <w:bidi w:val="0"/>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Diluted earnings per share attributable to</w:t>
            </w:r>
          </w:p>
          <w:p>
            <w:pPr>
              <w:pStyle w:val="TableContents"/>
              <w:bidi w:val="0"/>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Net Revenues</w:t>
      </w:r>
      <w:r>
        <w:rPr>
          <w:color w:val="000000"/>
        </w:rPr>
        <w:t xml:space="preserve"> – </w:t>
      </w:r>
      <w:r>
        <w:rPr>
          <w:rFonts w:ascii="Arial;sans-serif" w:hAnsi="Arial;sans-serif"/>
          <w:b w:val="false"/>
          <w:color w:val="000000"/>
          <w:sz w:val="20"/>
        </w:rPr>
        <w:t xml:space="preserve">Net revenues increased $1,138 million (6.2%) to $19,435 million in the first six months of 2026, and Organic Net Revenue </w:t>
      </w:r>
      <w:r>
        <w:rPr>
          <w:rFonts w:ascii="Arial;sans-serif" w:hAnsi="Arial;sans-serif"/>
          <w:b w:val="false"/>
          <w:color w:val="000000"/>
          <w:sz w:val="13"/>
        </w:rPr>
        <w:t xml:space="preserve">(1) </w:t>
      </w:r>
      <w:r>
        <w:rPr>
          <w:rFonts w:ascii="Arial;sans-serif" w:hAnsi="Arial;sans-serif"/>
          <w:b w:val="false"/>
          <w:color w:val="000000"/>
          <w:sz w:val="20"/>
        </w:rPr>
        <w:t xml:space="preserve">increased $477 million (2.6%) to $18,753 million. Emerging markets net revenues increased 9.5% and emerging markets Organic Net Revenue increased 5.3% </w:t>
      </w:r>
      <w:r>
        <w:rPr>
          <w:rFonts w:ascii="Arial;sans-serif" w:hAnsi="Arial;sans-serif"/>
          <w:b w:val="false"/>
          <w:color w:val="000000"/>
          <w:sz w:val="13"/>
        </w:rPr>
        <w:t>(1)</w:t>
      </w:r>
      <w:r>
        <w:rPr>
          <w:rFonts w:ascii="Arial;sans-serif" w:hAnsi="Arial;sans-serif"/>
          <w:b w:val="false"/>
          <w:color w:val="000000"/>
          <w:sz w:val="20"/>
        </w:rPr>
        <w:t xml:space="preserve">. Developed markets net revenues increased 4.0% and developed markets Organic Net Revenue increased 0.8% </w:t>
      </w:r>
      <w:r>
        <w:rPr>
          <w:rFonts w:ascii="Arial;sans-serif" w:hAnsi="Arial;sans-serif"/>
          <w:b w:val="false"/>
          <w:color w:val="000000"/>
          <w:sz w:val="13"/>
        </w:rPr>
        <w:t>(1)</w:t>
      </w:r>
      <w:r>
        <w:rPr>
          <w:rFonts w:ascii="Arial;sans-serif" w:hAnsi="Arial;sans-serif"/>
          <w:b w:val="false"/>
          <w:color w:val="000000"/>
          <w:sz w:val="20"/>
        </w:rPr>
        <w:t>. The underlying changes in net revenues and Organic Net Revenue are detailed below:</w:t>
      </w:r>
    </w:p>
    <w:tbl>
      <w:tblPr>
        <w:tblW w:w="7668" w:type="dxa"/>
        <w:jc w:val="left"/>
        <w:tblInd w:w="0" w:type="dxa"/>
        <w:tblLayout w:type="fixed"/>
        <w:tblCellMar>
          <w:top w:w="28" w:type="dxa"/>
          <w:left w:w="28" w:type="dxa"/>
          <w:bottom w:w="28" w:type="dxa"/>
          <w:right w:w="28" w:type="dxa"/>
        </w:tblCellMar>
      </w:tblPr>
      <w:tblGrid>
        <w:gridCol w:w="1142"/>
        <w:gridCol w:w="1002"/>
        <w:gridCol w:w="1006"/>
        <w:gridCol w:w="211"/>
        <w:gridCol w:w="646"/>
        <w:gridCol w:w="346"/>
        <w:gridCol w:w="109"/>
        <w:gridCol w:w="109"/>
        <w:gridCol w:w="109"/>
        <w:gridCol w:w="211"/>
        <w:gridCol w:w="751"/>
        <w:gridCol w:w="346"/>
        <w:gridCol w:w="109"/>
        <w:gridCol w:w="109"/>
        <w:gridCol w:w="109"/>
        <w:gridCol w:w="211"/>
        <w:gridCol w:w="751"/>
        <w:gridCol w:w="391"/>
      </w:tblGrid>
      <w:tr>
        <w:trPr/>
        <w:tc>
          <w:tcPr>
            <w:tcW w:w="11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Emerging</w:t>
              <w:br/>
              <w:t>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Developed</w:t>
              <w:br/>
              <w:t>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Mondelēz</w:t>
              <w:br/>
              <w:t>International</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Six Months Ended June 30, 2026</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8,058</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11,377</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19,435</w:t>
            </w: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7,754</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10,999</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18,753</w:t>
            </w:r>
            <w:r>
              <w:rPr>
                <w:color w:val="000000"/>
              </w:rPr>
              <w:t>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Six Months Ended June 30, 2025</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7,361</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10,936</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18,297</w:t>
            </w: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7,361</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10,915</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18,276</w:t>
            </w:r>
            <w:r>
              <w:rPr>
                <w:color w:val="000000"/>
              </w:rPr>
              <w:t>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 Change</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w:t>
            </w: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0.8</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w:t>
            </w: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Vol/Mix</w:t>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pp</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Pricing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above 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increase of 6.2%, driven by favorable currency-related items and Organic Net Revenue growth of 2.6%, partially offset by lapping prior year net revenue from a divestiture. Currency-related items increased net revenues by $682 million, primarily due to the strength of most currencies relative to the U.S. dollar, including the euro, Brazilian real, Mexican peso, Russian ruble, Australian dollar, British pound sterling and Chinese yuan, partially offset by the strength of the U.S. dollar relative to a few currencies, primarily the Indian rupee and Argentinean peso. Organic Net Revenue growth was driven by higher net pricing, while volume/mix was essentially flat. Higher net pricing reflected the carryover benefit of pricing actions taken in 2025, as well as input cost-driven pricing actions taken during the first six months of 2026, and was reflected across regions. Favorable volume/mix in AMEA and North America was partially offset by unfavorable volume/mix in Europe and Latin America, driven by pricing elasticity impacts.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92785"/>
                <wp:effectExtent l="0" t="0" r="0" b="0"/>
                <wp:wrapNone/>
                <wp:docPr id="111" name="Frame3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1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8" descr=""/>
                                                <pic:cNvPicPr>
                                                  <a:picLocks noChangeAspect="1" noChangeArrowheads="1"/>
                                                </pic:cNvPicPr>
                                              </pic:nvPicPr>
                                              <pic:blipFill>
                                                <a:blip r:embed="rId75"/>
                                                <a:stretch>
                                                  <a:fillRect/>
                                                </a:stretch>
                                              </pic:blipFill>
                                              <pic:spPr bwMode="auto">
                                                <a:xfrm>
                                                  <a:off x="0" y="0"/>
                                                  <a:ext cx="314325" cy="209550"/>
                                                </a:xfrm>
                                                <a:prstGeom prst="rect">
                                                  <a:avLst/>
                                                </a:prstGeom>
                                              </pic:spPr>
                                            </pic:pic>
                                          </a:graphicData>
                                        </a:graphic>
                                      </wp:inline>
                                    </w:drawing>
                                  </w:r>
                                  <w:bookmarkStart w:id="73" w:name="i-38"/>
                                  <w:bookmarkEnd w:id="7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1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8" descr=""/>
                                          <pic:cNvPicPr>
                                            <a:picLocks noChangeAspect="1" noChangeArrowheads="1"/>
                                          </pic:cNvPicPr>
                                        </pic:nvPicPr>
                                        <pic:blipFill>
                                          <a:blip r:embed="rId76"/>
                                          <a:stretch>
                                            <a:fillRect/>
                                          </a:stretch>
                                        </pic:blipFill>
                                        <pic:spPr bwMode="auto">
                                          <a:xfrm>
                                            <a:off x="0" y="0"/>
                                            <a:ext cx="314325" cy="209550"/>
                                          </a:xfrm>
                                          <a:prstGeom prst="rect">
                                            <a:avLst/>
                                          </a:prstGeom>
                                        </pic:spPr>
                                      </pic:pic>
                                    </a:graphicData>
                                  </a:graphic>
                                </wp:inline>
                              </w:drawing>
                            </w:r>
                            <w:bookmarkStart w:id="74" w:name="i-38"/>
                            <w:bookmarkEnd w:id="74"/>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i/>
          <w:color w:val="000000"/>
          <w:sz w:val="20"/>
        </w:rPr>
        <w:t>Operating Income</w:t>
      </w:r>
      <w:r>
        <w:rPr>
          <w:color w:val="000000"/>
        </w:rPr>
        <w:t xml:space="preserve"> – </w:t>
      </w:r>
      <w:r>
        <w:rPr>
          <w:rFonts w:ascii="Arial;sans-serif" w:hAnsi="Arial;sans-serif"/>
          <w:b w:val="false"/>
          <w:color w:val="000000"/>
          <w:sz w:val="20"/>
        </w:rPr>
        <w:t>Operating income increased $902 million (48.7%) to</w:t>
      </w:r>
      <w:r>
        <w:rPr>
          <w:color w:val="000000"/>
          <w:shd w:fill="FFFFFF" w:val="clear"/>
        </w:rPr>
        <w:t xml:space="preserve"> </w:t>
      </w:r>
      <w:r>
        <w:rPr>
          <w:rFonts w:ascii="Arial;sans-serif" w:hAnsi="Arial;sans-serif"/>
          <w:b w:val="false"/>
          <w:color w:val="000000"/>
          <w:sz w:val="20"/>
          <w:shd w:fill="FFFFFF" w:val="clear"/>
        </w:rPr>
        <w:t>$2,754 million</w:t>
      </w:r>
      <w:r>
        <w:rPr>
          <w:color w:val="000000"/>
        </w:rPr>
        <w:t xml:space="preserve"> </w:t>
      </w:r>
      <w:r>
        <w:rPr>
          <w:rFonts w:ascii="Arial;sans-serif" w:hAnsi="Arial;sans-serif"/>
          <w:b w:val="false"/>
          <w:color w:val="000000"/>
          <w:sz w:val="20"/>
        </w:rPr>
        <w:t xml:space="preserve">in the first six months of 2026. Adjusted Operating Income </w:t>
      </w:r>
      <w:r>
        <w:rPr>
          <w:rFonts w:ascii="Arial;sans-serif" w:hAnsi="Arial;sans-serif"/>
          <w:b w:val="false"/>
          <w:color w:val="000000"/>
          <w:sz w:val="12"/>
        </w:rPr>
        <w:t xml:space="preserve">(1) </w:t>
      </w:r>
      <w:r>
        <w:rPr>
          <w:rFonts w:ascii="Arial;sans-serif" w:hAnsi="Arial;sans-serif"/>
          <w:b w:val="false"/>
          <w:color w:val="000000"/>
          <w:sz w:val="20"/>
        </w:rPr>
        <w:t xml:space="preserve">decreased $253 million (9.5%) to $2,404 million and Adjusted Operating Income on a constant currency basis </w:t>
      </w:r>
      <w:r>
        <w:rPr>
          <w:rFonts w:ascii="Arial;sans-serif" w:hAnsi="Arial;sans-serif"/>
          <w:b w:val="false"/>
          <w:color w:val="000000"/>
          <w:sz w:val="12"/>
        </w:rPr>
        <w:t xml:space="preserve">(1) </w:t>
      </w:r>
      <w:r>
        <w:rPr>
          <w:rFonts w:ascii="Arial;sans-serif" w:hAnsi="Arial;sans-serif"/>
          <w:b w:val="false"/>
          <w:color w:val="000000"/>
          <w:sz w:val="20"/>
        </w:rPr>
        <w:t>decreased $339 million (12.8%) to $2,318 million due to the following:</w:t>
      </w:r>
    </w:p>
    <w:tbl>
      <w:tblPr>
        <w:tblW w:w="9789" w:type="dxa"/>
        <w:jc w:val="left"/>
        <w:tblInd w:w="0" w:type="dxa"/>
        <w:tblLayout w:type="fixed"/>
        <w:tblCellMar>
          <w:top w:w="28" w:type="dxa"/>
          <w:left w:w="28" w:type="dxa"/>
          <w:bottom w:w="28" w:type="dxa"/>
          <w:right w:w="28" w:type="dxa"/>
        </w:tblCellMar>
      </w:tblPr>
      <w:tblGrid>
        <w:gridCol w:w="1716"/>
        <w:gridCol w:w="1509"/>
        <w:gridCol w:w="1515"/>
        <w:gridCol w:w="211"/>
        <w:gridCol w:w="646"/>
        <w:gridCol w:w="109"/>
        <w:gridCol w:w="109"/>
        <w:gridCol w:w="109"/>
        <w:gridCol w:w="109"/>
        <w:gridCol w:w="211"/>
        <w:gridCol w:w="646"/>
        <w:gridCol w:w="109"/>
        <w:gridCol w:w="109"/>
        <w:gridCol w:w="109"/>
        <w:gridCol w:w="109"/>
        <w:gridCol w:w="211"/>
        <w:gridCol w:w="541"/>
        <w:gridCol w:w="109"/>
        <w:gridCol w:w="109"/>
        <w:gridCol w:w="109"/>
        <w:gridCol w:w="109"/>
        <w:gridCol w:w="299"/>
        <w:gridCol w:w="301"/>
        <w:gridCol w:w="675"/>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48.7</w:t>
            </w:r>
            <w:r>
              <w:rPr>
                <w:color w:val="000000"/>
              </w:rPr>
              <w:t>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color w:val="000000"/>
                <w:sz w:val="20"/>
              </w:rPr>
            </w:pPr>
            <w:r>
              <w:rPr>
                <w:rFonts w:ascii="Arial;sans-serif" w:hAnsi="Arial;sans-serif"/>
                <w:b/>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Mark-to-market (gains)/losses from derivatives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Acquisition-related items</w:t>
            </w:r>
            <w:r>
              <w:rPr>
                <w:color w:val="000000"/>
              </w:rPr>
              <w:t xml:space="preserve">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Divestiture-related items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Incremental costs due to geopolitical conflicts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ERP System Implementation costs</w:t>
            </w:r>
            <w:r>
              <w:rPr>
                <w:color w:val="000000"/>
              </w:rPr>
              <w:t xml:space="preserve">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Remeasurement of net monetary position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Operating Income </w:t>
            </w:r>
            <w:r>
              <w:rPr>
                <w:rFonts w:ascii="Arial;sans-serif" w:hAnsi="Arial;sans-serif"/>
                <w:b/>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Operating Income (constant currency) </w:t>
            </w:r>
            <w:r>
              <w:rPr>
                <w:rFonts w:ascii="Arial;sans-serif" w:hAnsi="Arial;sans-serif"/>
                <w:b/>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(12.8)</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100" w:after="283"/>
        <w:jc w:val="both"/>
        <w:rPr/>
      </w:pPr>
      <w:r>
        <w:rPr/>
      </w:r>
    </w:p>
    <w:tbl>
      <w:tblPr>
        <w:tblW w:w="8254" w:type="dxa"/>
        <w:jc w:val="left"/>
        <w:tblInd w:w="0" w:type="dxa"/>
        <w:tblLayout w:type="fixed"/>
        <w:tblCellMar>
          <w:top w:w="28" w:type="dxa"/>
          <w:left w:w="28" w:type="dxa"/>
          <w:bottom w:w="28" w:type="dxa"/>
          <w:right w:w="28" w:type="dxa"/>
        </w:tblCellMar>
      </w:tblPr>
      <w:tblGrid>
        <w:gridCol w:w="1945"/>
        <w:gridCol w:w="1705"/>
        <w:gridCol w:w="1718"/>
        <w:gridCol w:w="115"/>
        <w:gridCol w:w="115"/>
        <w:gridCol w:w="115"/>
        <w:gridCol w:w="109"/>
        <w:gridCol w:w="109"/>
        <w:gridCol w:w="109"/>
        <w:gridCol w:w="109"/>
        <w:gridCol w:w="109"/>
        <w:gridCol w:w="109"/>
        <w:gridCol w:w="109"/>
        <w:gridCol w:w="109"/>
        <w:gridCol w:w="109"/>
        <w:gridCol w:w="211"/>
        <w:gridCol w:w="541"/>
        <w:gridCol w:w="109"/>
        <w:gridCol w:w="109"/>
        <w:gridCol w:w="109"/>
        <w:gridCol w:w="109"/>
        <w:gridCol w:w="109"/>
        <w:gridCol w:w="109"/>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Drivers of Adjusted Operating Income (constant currency)</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Higher net pricing</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Higher input costs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Unfavorable volume/mix</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Higher selling, general and administrative expenses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6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Lower amortization of intangible assets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Higher fixed asset impairment charges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Total change in Adjusted Operating Income (constant currency) </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above 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first six months of 2026, we realized higher net pricing, which was more than offset by increased input costs and unfavorable volume/mix. Higher net pricing, which included the carryover impact of pricing actions taken in 2025 as well as the effects of input cost-driven pricing actions taken during the first six months of 2026, was reflected across all regions. The increase in input costs was driven by higher raw material costs, partially offset by lower manufacturing costs driven by productivity. While cocoa prices moderated from prior year levels, those declines did not translate into lower costs as our existing hedge positions continue to reflect previously contracted prices. Higher raw material costs were also driven by higher packaging, nuts, edible oils, energy, grains and other ingredient costs, as well as unfavorable year-over-year currency exchange impacts on imported materials, partially offset by lower dairy and sugar costs. Overall, unfavorable volume/mix was experienced across all regions except AMEA, reflecting pricing elasticity impacts.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selling, general and administrative expenses increased $481 million from the first six months of 2025, which included unfavorable currency-related impacts to expenses, an unfavorable year-over-year change in acquisition-related items and higher costs incurred for the ERP System Implementation program. Excluding these unfavorable factors, selling, general and administrative expenses increased $286 million from the first six months of 2025. The increase was driven primarily by higher other selling, general and administrative expenses and higher advertising and consumer promotion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Currency-related items increased operating income by $86 million, primarily due to the strength of several currencies relative to the U.S. dollar, including the euro, Brazilian real, Chinese yuan, Mexican peso and Russian ruble.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92785"/>
                <wp:effectExtent l="0" t="0" r="0" b="0"/>
                <wp:wrapNone/>
                <wp:docPr id="114" name="Frame3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1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9" descr=""/>
                                                <pic:cNvPicPr>
                                                  <a:picLocks noChangeAspect="1" noChangeArrowheads="1"/>
                                                </pic:cNvPicPr>
                                              </pic:nvPicPr>
                                              <pic:blipFill>
                                                <a:blip r:embed="rId77"/>
                                                <a:stretch>
                                                  <a:fillRect/>
                                                </a:stretch>
                                              </pic:blipFill>
                                              <pic:spPr bwMode="auto">
                                                <a:xfrm>
                                                  <a:off x="0" y="0"/>
                                                  <a:ext cx="314325" cy="209550"/>
                                                </a:xfrm>
                                                <a:prstGeom prst="rect">
                                                  <a:avLst/>
                                                </a:prstGeom>
                                              </pic:spPr>
                                            </pic:pic>
                                          </a:graphicData>
                                        </a:graphic>
                                      </wp:inline>
                                    </w:drawing>
                                  </w:r>
                                  <w:bookmarkStart w:id="75" w:name="i-39"/>
                                  <w:bookmarkEnd w:id="7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1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9" descr=""/>
                                          <pic:cNvPicPr>
                                            <a:picLocks noChangeAspect="1" noChangeArrowheads="1"/>
                                          </pic:cNvPicPr>
                                        </pic:nvPicPr>
                                        <pic:blipFill>
                                          <a:blip r:embed="rId78"/>
                                          <a:stretch>
                                            <a:fillRect/>
                                          </a:stretch>
                                        </pic:blipFill>
                                        <pic:spPr bwMode="auto">
                                          <a:xfrm>
                                            <a:off x="0" y="0"/>
                                            <a:ext cx="314325" cy="209550"/>
                                          </a:xfrm>
                                          <a:prstGeom prst="rect">
                                            <a:avLst/>
                                          </a:prstGeom>
                                        </pic:spPr>
                                      </pic:pic>
                                    </a:graphicData>
                                  </a:graphic>
                                </wp:inline>
                              </w:drawing>
                            </w:r>
                            <w:bookmarkStart w:id="76" w:name="i-39"/>
                            <w:bookmarkEnd w:id="76"/>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income margin increased from 10.1% in the first six months of 2025 to 14.2% in the first six months of 2026. The increase in operating income margin was driven primarily by a favorable year-over-year change in mark-to-market impacts from commodity and foreign currency derivatives, partially offset by lower Adjusted Operating Income margin, higher restructuring charges, higher costs incurred for the ERP System Implementation program, an unfavorable year-over-year change in acquisition-related items and incremental costs due to geopolitical conflicts. Adjusted Operating Income margin decreased from 14.5% for the first six months of 2025 to 12.4% for the first six months of 2026. The decrease was driven primarily by higher raw material costs, higher other selling, general and administrative expenses, higher advertising and consumer promotion costs and unfavorable product mix, partially offset by higher net pricing and lower manufacturing costs driven by productivity.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 xml:space="preserve">Income Taxes </w:t>
      </w:r>
      <w:r>
        <w:rPr>
          <w:color w:val="000000"/>
        </w:rPr>
        <w:t xml:space="preserve">– </w:t>
      </w:r>
      <w:r>
        <w:rPr>
          <w:rFonts w:ascii="Arial;sans-serif" w:hAnsi="Arial;sans-serif"/>
          <w:b w:val="false"/>
          <w:color w:val="000000"/>
          <w:sz w:val="20"/>
        </w:rPr>
        <w:t>Our effective tax rate for the six months ended June 30, 2026, was 22.1% as compared to 27.4% for the six months ended June 30, 2025. The decrease in our year-to-date effective tax rate was driven by our jurisdictional mix of earnings, in particular the impact of mark-to-market gains and losses on commodity and foreign currency derivatives on a year over year basis, as well as tax benefits related to a legal entity reorganization and a U.S. amended tax return filing in the six months ended June 30, 2026, partially offset by tax benefits from releases of liabilities for uncertain tax positions due to audit developments in the six months ended June 30,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Net Earnings and Earnings per Share Attributable to Mondelēz International</w:t>
      </w:r>
      <w:r>
        <w:rPr>
          <w:color w:val="000000"/>
        </w:rPr>
        <w:t xml:space="preserve"> – </w:t>
      </w:r>
      <w:r>
        <w:rPr>
          <w:rFonts w:ascii="Arial;sans-serif" w:hAnsi="Arial;sans-serif"/>
          <w:b w:val="false"/>
          <w:color w:val="000000"/>
          <w:sz w:val="20"/>
        </w:rPr>
        <w:t>Net earnings attributable to Mondelēz International of $2,108 million increased by $1,065 million (102.1%) in the first six months of 2026</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Diluted EPS attributable to Mondelēz International was $1.64 in the first six months of 2026, up $0.84 (105.0%) from the first six months of 2025. Adjusted EPS </w:t>
      </w:r>
      <w:r>
        <w:rPr>
          <w:rFonts w:ascii="Arial;sans-serif" w:hAnsi="Arial;sans-serif"/>
          <w:b w:val="false"/>
          <w:color w:val="000000"/>
          <w:sz w:val="13"/>
        </w:rPr>
        <w:t>(1)</w:t>
      </w:r>
      <w:r>
        <w:rPr>
          <w:color w:val="000000"/>
        </w:rPr>
        <w:t> </w:t>
      </w:r>
      <w:r>
        <w:rPr>
          <w:rFonts w:ascii="Arial;sans-serif" w:hAnsi="Arial;sans-serif"/>
          <w:b w:val="false"/>
          <w:color w:val="000000"/>
          <w:sz w:val="20"/>
        </w:rPr>
        <w:t xml:space="preserve">was $1.40 in the first six months of 2026, down $0.07 (4.8%) from the first six months of 2025. Adjusted EPS on a constant currency basis </w:t>
      </w:r>
      <w:r>
        <w:rPr>
          <w:rFonts w:ascii="Arial;sans-serif" w:hAnsi="Arial;sans-serif"/>
          <w:b w:val="false"/>
          <w:color w:val="000000"/>
          <w:sz w:val="13"/>
        </w:rPr>
        <w:t>(1)</w:t>
      </w:r>
      <w:r>
        <w:rPr>
          <w:color w:val="000000"/>
        </w:rPr>
        <w:t> </w:t>
      </w:r>
      <w:r>
        <w:rPr>
          <w:rFonts w:ascii="Arial;sans-serif" w:hAnsi="Arial;sans-serif"/>
          <w:b w:val="false"/>
          <w:color w:val="000000"/>
          <w:sz w:val="20"/>
        </w:rPr>
        <w:t>was $1.34 in the first six months of 2026, down $0.13 (8.8%) from the first six months of 2025.</w:t>
      </w:r>
    </w:p>
    <w:tbl>
      <w:tblPr>
        <w:tblW w:w="9834" w:type="dxa"/>
        <w:jc w:val="left"/>
        <w:tblInd w:w="0" w:type="dxa"/>
        <w:tblLayout w:type="fixed"/>
        <w:tblCellMar>
          <w:top w:w="28" w:type="dxa"/>
          <w:left w:w="28" w:type="dxa"/>
          <w:bottom w:w="28" w:type="dxa"/>
          <w:right w:w="28" w:type="dxa"/>
        </w:tblCellMar>
      </w:tblPr>
      <w:tblGrid>
        <w:gridCol w:w="1734"/>
        <w:gridCol w:w="1524"/>
        <w:gridCol w:w="1526"/>
        <w:gridCol w:w="222"/>
        <w:gridCol w:w="570"/>
        <w:gridCol w:w="114"/>
        <w:gridCol w:w="114"/>
        <w:gridCol w:w="114"/>
        <w:gridCol w:w="114"/>
        <w:gridCol w:w="222"/>
        <w:gridCol w:w="570"/>
        <w:gridCol w:w="114"/>
        <w:gridCol w:w="109"/>
        <w:gridCol w:w="109"/>
        <w:gridCol w:w="109"/>
        <w:gridCol w:w="211"/>
        <w:gridCol w:w="601"/>
        <w:gridCol w:w="109"/>
        <w:gridCol w:w="109"/>
        <w:gridCol w:w="109"/>
        <w:gridCol w:w="109"/>
        <w:gridCol w:w="323"/>
        <w:gridCol w:w="323"/>
        <w:gridCol w:w="675"/>
      </w:tblGrid>
      <w:tr>
        <w:trPr/>
        <w:tc>
          <w:tcPr>
            <w:tcW w:w="173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 attributable to Mondelēz International</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0.80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105.0</w:t>
            </w:r>
            <w:r>
              <w:rPr>
                <w:color w:val="000000"/>
              </w:rPr>
              <w:t>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color w:val="000000"/>
                <w:sz w:val="20"/>
              </w:rPr>
            </w:pPr>
            <w:r>
              <w:rPr>
                <w:rFonts w:ascii="Arial;sans-serif" w:hAnsi="Arial;sans-serif"/>
                <w:b/>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Mark-to-market (gains)/losses from derivatives </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Acquisition-related items </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Incremental costs due to geopolitical conflicts</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ERP System Implementation costs</w:t>
            </w:r>
            <w:r>
              <w:rPr>
                <w:color w:val="000000"/>
              </w:rPr>
              <w:t xml:space="preserve"> </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Remeasurement of net monetary position </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Pension participation changes </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Initial impacts from enacted tax law changes </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EPS </w:t>
            </w:r>
            <w:r>
              <w:rPr>
                <w:rFonts w:ascii="Arial;sans-serif" w:hAnsi="Arial;sans-serif"/>
                <w:b/>
                <w:color w:val="000000"/>
                <w:sz w:val="13"/>
              </w:rPr>
              <w:t>(1)</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EPS (constant currency)</w:t>
            </w:r>
            <w:r>
              <w:rPr>
                <w:color w:val="000000"/>
              </w:rPr>
              <w:t xml:space="preserve"> </w:t>
            </w:r>
            <w:r>
              <w:rPr>
                <w:rFonts w:ascii="Arial;sans-serif" w:hAnsi="Arial;sans-serif"/>
                <w:b/>
                <w:color w:val="000000"/>
                <w:sz w:val="13"/>
              </w:rPr>
              <w:t>(1)</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(8.8)</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tbl>
      <w:tblPr>
        <w:tblW w:w="7907" w:type="dxa"/>
        <w:jc w:val="left"/>
        <w:tblInd w:w="0" w:type="dxa"/>
        <w:tblLayout w:type="fixed"/>
        <w:tblCellMar>
          <w:top w:w="28" w:type="dxa"/>
          <w:left w:w="28" w:type="dxa"/>
          <w:bottom w:w="28" w:type="dxa"/>
          <w:right w:w="28" w:type="dxa"/>
        </w:tblCellMar>
      </w:tblPr>
      <w:tblGrid>
        <w:gridCol w:w="1805"/>
        <w:gridCol w:w="1584"/>
        <w:gridCol w:w="1590"/>
        <w:gridCol w:w="109"/>
        <w:gridCol w:w="109"/>
        <w:gridCol w:w="109"/>
        <w:gridCol w:w="109"/>
        <w:gridCol w:w="109"/>
        <w:gridCol w:w="109"/>
        <w:gridCol w:w="109"/>
        <w:gridCol w:w="109"/>
        <w:gridCol w:w="109"/>
        <w:gridCol w:w="109"/>
        <w:gridCol w:w="109"/>
        <w:gridCol w:w="109"/>
        <w:gridCol w:w="211"/>
        <w:gridCol w:w="601"/>
        <w:gridCol w:w="109"/>
        <w:gridCol w:w="109"/>
        <w:gridCol w:w="109"/>
        <w:gridCol w:w="109"/>
        <w:gridCol w:w="109"/>
        <w:gridCol w:w="109"/>
        <w:gridCol w:w="154"/>
      </w:tblGrid>
      <w:tr>
        <w:trPr/>
        <w:tc>
          <w:tcPr>
            <w:tcW w:w="1805"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Drivers of Adjusted EPS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Decrease in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Change in benefit plan non-service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 xml:space="preserve">Change in interest and other expense,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 xml:space="preserve">Change in shares 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change in Adjusted EPS (constant currency) </w:t>
            </w:r>
            <w:r>
              <w:rPr>
                <w:rFonts w:ascii="Arial;sans-serif" w:hAnsi="Arial;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(1)</w:t>
      </w:r>
      <w:r>
        <w:rPr>
          <w:rFonts w:ascii="Arial;sans-serif" w:hAnsi="Arial;sans-serif"/>
          <w:b w:val="false"/>
          <w:color w:val="000000"/>
          <w:sz w:val="16"/>
        </w:rPr>
        <w:t xml:space="preserve">Refer to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above for additional information.</w:t>
      </w:r>
      <w:r>
        <w:rPr>
          <w:color w:val="000000"/>
          <w:shd w:fill="FFFFFF" w:val="clear"/>
        </w:rPr>
        <w:t xml:space="preserve"> </w:t>
      </w:r>
      <w:r>
        <w:rPr>
          <w:rFonts w:ascii="Arial;sans-serif" w:hAnsi="Arial;sans-serif"/>
          <w:b w:val="false"/>
          <w:color w:val="000000"/>
          <w:sz w:val="16"/>
          <w:shd w:fill="FFFFFF" w:val="clear"/>
        </w:rPr>
        <w:t>The tax expense/(benefit) of each of the pre-tax items excluded from our U.S. GAAP results was computed based on the facts and tax assumptions associated with each item, and such impacts have</w:t>
      </w:r>
      <w:r>
        <w:rPr>
          <w:color w:val="000000"/>
        </w:rPr>
        <w:t xml:space="preserve"> </w:t>
      </w:r>
      <w:r>
        <w:rPr>
          <w:rFonts w:ascii="Arial;sans-serif" w:hAnsi="Arial;sans-serif"/>
          <w:b w:val="false"/>
          <w:color w:val="000000"/>
          <w:sz w:val="16"/>
        </w:rPr>
        <w:t>also been excluded from Adjusted EPS.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For the six months ended June 30, 2026, taxes for the: restructuring charges were $(13) million, mark-to-market gains from derivatives were $113 million, acquisition-related items were $3 million, ERP System Implementation program were $(28) million and initial impacts from enacted tax law changes were $(29)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 xml:space="preserve">For the six months ended June 30, 2025, taxes for the: mark-to-market losses from derivatives were $(152) million, acquisition-related items were $14 million, ERP System Implementation program were $(18) million and impact from pension charges were $(73) million.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92785"/>
                <wp:effectExtent l="0" t="0" r="0" b="0"/>
                <wp:wrapNone/>
                <wp:docPr id="117" name="Frame4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1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0" descr=""/>
                                                <pic:cNvPicPr>
                                                  <a:picLocks noChangeAspect="1" noChangeArrowheads="1"/>
                                                </pic:cNvPicPr>
                                              </pic:nvPicPr>
                                              <pic:blipFill>
                                                <a:blip r:embed="rId79"/>
                                                <a:stretch>
                                                  <a:fillRect/>
                                                </a:stretch>
                                              </pic:blipFill>
                                              <pic:spPr bwMode="auto">
                                                <a:xfrm>
                                                  <a:off x="0" y="0"/>
                                                  <a:ext cx="314325" cy="209550"/>
                                                </a:xfrm>
                                                <a:prstGeom prst="rect">
                                                  <a:avLst/>
                                                </a:prstGeom>
                                              </pic:spPr>
                                            </pic:pic>
                                          </a:graphicData>
                                        </a:graphic>
                                      </wp:inline>
                                    </w:drawing>
                                  </w:r>
                                  <w:bookmarkStart w:id="77" w:name="i-40"/>
                                  <w:bookmarkEnd w:id="7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1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0" descr=""/>
                                          <pic:cNvPicPr>
                                            <a:picLocks noChangeAspect="1" noChangeArrowheads="1"/>
                                          </pic:cNvPicPr>
                                        </pic:nvPicPr>
                                        <pic:blipFill>
                                          <a:blip r:embed="rId80"/>
                                          <a:stretch>
                                            <a:fillRect/>
                                          </a:stretch>
                                        </pic:blipFill>
                                        <pic:spPr bwMode="auto">
                                          <a:xfrm>
                                            <a:off x="0" y="0"/>
                                            <a:ext cx="314325" cy="209550"/>
                                          </a:xfrm>
                                          <a:prstGeom prst="rect">
                                            <a:avLst/>
                                          </a:prstGeom>
                                        </pic:spPr>
                                      </pic:pic>
                                    </a:graphicData>
                                  </a:graphic>
                                </wp:inline>
                              </w:drawing>
                            </w:r>
                            <w:bookmarkStart w:id="78" w:name="i-40"/>
                            <w:bookmarkEnd w:id="78"/>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Results of Operations by Reportable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operations and management structure are organized into four operating segments which are also our reportable segments: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Latin America</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AMEA</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Europe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North America</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 Refer to Note 14, </w:t>
      </w:r>
      <w:r>
        <w:rPr>
          <w:rFonts w:ascii="Arial;sans-serif" w:hAnsi="Arial;sans-serif"/>
          <w:b w:val="false"/>
          <w:i/>
          <w:color w:val="000000"/>
          <w:sz w:val="20"/>
        </w:rPr>
        <w:t>Segment Reporting,</w:t>
      </w:r>
      <w:r>
        <w:rPr>
          <w:color w:val="000000"/>
        </w:rPr>
        <w:t xml:space="preserve"> </w:t>
      </w:r>
      <w:r>
        <w:rPr>
          <w:rFonts w:ascii="Arial;sans-serif" w:hAnsi="Arial;sans-serif"/>
          <w:b w:val="false"/>
          <w:color w:val="000000"/>
          <w:sz w:val="20"/>
        </w:rPr>
        <w:t xml:space="preserve">for additional information on our segments and </w:t>
      </w:r>
      <w:r>
        <w:rPr>
          <w:rFonts w:ascii="Arial;sans-serif" w:hAnsi="Arial;sans-serif"/>
          <w:b w:val="false"/>
          <w:i/>
          <w:color w:val="000000"/>
          <w:sz w:val="20"/>
        </w:rPr>
        <w:t>Items Affecting Comparability of Financial Results</w:t>
      </w:r>
      <w:r>
        <w:rPr>
          <w:color w:val="000000"/>
        </w:rPr>
        <w:t xml:space="preserve"> </w:t>
      </w:r>
      <w:r>
        <w:rPr>
          <w:rFonts w:ascii="Arial;sans-serif" w:hAnsi="Arial;sans-serif"/>
          <w:b w:val="false"/>
          <w:color w:val="000000"/>
          <w:sz w:val="20"/>
        </w:rPr>
        <w:t>earlier in this section for items affecting our segment operating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reconciliation of segment net revenues and earnings to consolidated financial statement totals were:</w:t>
      </w:r>
    </w:p>
    <w:tbl>
      <w:tblPr>
        <w:tblW w:w="9378" w:type="dxa"/>
        <w:jc w:val="left"/>
        <w:tblInd w:w="0" w:type="dxa"/>
        <w:tblLayout w:type="fixed"/>
        <w:tblCellMar>
          <w:top w:w="28" w:type="dxa"/>
          <w:left w:w="28" w:type="dxa"/>
          <w:bottom w:w="28" w:type="dxa"/>
          <w:right w:w="28" w:type="dxa"/>
        </w:tblCellMar>
      </w:tblPr>
      <w:tblGrid>
        <w:gridCol w:w="1513"/>
        <w:gridCol w:w="1323"/>
        <w:gridCol w:w="1333"/>
        <w:gridCol w:w="221"/>
        <w:gridCol w:w="678"/>
        <w:gridCol w:w="114"/>
        <w:gridCol w:w="114"/>
        <w:gridCol w:w="114"/>
        <w:gridCol w:w="114"/>
        <w:gridCol w:w="221"/>
        <w:gridCol w:w="678"/>
        <w:gridCol w:w="114"/>
        <w:gridCol w:w="109"/>
        <w:gridCol w:w="109"/>
        <w:gridCol w:w="109"/>
        <w:gridCol w:w="211"/>
        <w:gridCol w:w="751"/>
        <w:gridCol w:w="109"/>
        <w:gridCol w:w="109"/>
        <w:gridCol w:w="109"/>
        <w:gridCol w:w="109"/>
        <w:gridCol w:w="211"/>
        <w:gridCol w:w="751"/>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Mark-to-market gains/(losses) from derivatives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corporate expenses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divestiture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92785"/>
                <wp:effectExtent l="0" t="0" r="0" b="0"/>
                <wp:wrapNone/>
                <wp:docPr id="120" name="Frame4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1" descr=""/>
                                                <pic:cNvPicPr>
                                                  <a:picLocks noChangeAspect="1" noChangeArrowheads="1"/>
                                                </pic:cNvPicPr>
                                              </pic:nvPicPr>
                                              <pic:blipFill>
                                                <a:blip r:embed="rId81"/>
                                                <a:stretch>
                                                  <a:fillRect/>
                                                </a:stretch>
                                              </pic:blipFill>
                                              <pic:spPr bwMode="auto">
                                                <a:xfrm>
                                                  <a:off x="0" y="0"/>
                                                  <a:ext cx="314325" cy="209550"/>
                                                </a:xfrm>
                                                <a:prstGeom prst="rect">
                                                  <a:avLst/>
                                                </a:prstGeom>
                                              </pic:spPr>
                                            </pic:pic>
                                          </a:graphicData>
                                        </a:graphic>
                                      </wp:inline>
                                    </w:drawing>
                                  </w:r>
                                  <w:bookmarkStart w:id="79" w:name="i-41"/>
                                  <w:bookmarkEnd w:id="7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2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1" descr=""/>
                                          <pic:cNvPicPr>
                                            <a:picLocks noChangeAspect="1" noChangeArrowheads="1"/>
                                          </pic:cNvPicPr>
                                        </pic:nvPicPr>
                                        <pic:blipFill>
                                          <a:blip r:embed="rId82"/>
                                          <a:stretch>
                                            <a:fillRect/>
                                          </a:stretch>
                                        </pic:blipFill>
                                        <pic:spPr bwMode="auto">
                                          <a:xfrm>
                                            <a:off x="0" y="0"/>
                                            <a:ext cx="314325" cy="209550"/>
                                          </a:xfrm>
                                          <a:prstGeom prst="rect">
                                            <a:avLst/>
                                          </a:prstGeom>
                                        </pic:spPr>
                                      </pic:pic>
                                    </a:graphicData>
                                  </a:graphic>
                                </wp:inline>
                              </w:drawing>
                            </w:r>
                            <w:bookmarkStart w:id="80" w:name="i-41"/>
                            <w:bookmarkEnd w:id="80"/>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Latin America</w:t>
      </w:r>
    </w:p>
    <w:tbl>
      <w:tblPr>
        <w:tblW w:w="7444"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25"/>
        <w:gridCol w:w="514"/>
        <w:gridCol w:w="117"/>
        <w:gridCol w:w="109"/>
        <w:gridCol w:w="109"/>
        <w:gridCol w:w="109"/>
        <w:gridCol w:w="270"/>
        <w:gridCol w:w="271"/>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20" w:after="283"/>
        <w:ind w:left="0" w:right="0" w:hanging="27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increased $180 million (15.1%), due to higher net pricing (7.9 pp), favorable impact of currency-related items (6.7 pp) and favorable volume/mix (0.5 pp). Higher net pricing was driven by input cost-driven pricing actions and reflected across all categories, primarily in Brazil and Argentina. Currency-related items were favorable due to the strength of most currencies relative to the U.S. dollar, including the Brazilian real and Mexican peso, partially offset by the strength of the U.S. dollar relative to the Argentinean peso. Favorable volume/mix reflected volume growth in Mexico and Argentina, partially offset by declines in Brazil. Overall, favorable volume/mix driven by gains in gum &amp; candy, biscuits &amp; baked snacks and meals, partially offset by chocolate and beverages.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$33 million (24.8%), primarily due to higher net pricing, lower manufacturing costs driven by productivity, favorable currency translation rate changes and favorable volume/mix. These favorable items were partially offset by higher raw material costs, higher other selling, general and administrative expenses, higher advertising and consumer promotion costs and higher restructuring charges.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Six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increased $325 million (13.6%), due to higher net pricing (8.0 pp) and favorable impact of currency-related items (6.9 pp), partially offset by unfavorable volume/mix (1.3 pp). Higher net pricing was driven by input cost-driven pricing actions and reflected across all categories, primarily in Brazil, Argentina and Mexico. Currency-related items were favorable due to the strength of most currencies relative to the U.S. dollar, primarily the Brazilian real and Mexican peso, partially offset by the strength of the U.S. dollar relative to the Argentinean peso. Unfavorable volume/mix reflected pricing elasticity, mainly in Argentina and Brazil. Overall, unfavorable volume/mix was driven by declines in chocolate and beverages, partially offset by gains in gum &amp; candy, meals and biscuits &amp; baked snacks.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$43 million (15.8%), primarily due to higher net pricing, lower manufacturing costs driven by productivity and favorable currency-related items. These favorable items were partially offset by higher raw material costs, higher other selling, general and administrative expenses, unfavorable volume/mix, higher costs incurred for the ERP System Implementation program and higher advertising and consumer promotion costs.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92785"/>
                <wp:effectExtent l="0" t="0" r="0" b="0"/>
                <wp:wrapNone/>
                <wp:docPr id="123" name="Frame4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2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2" descr=""/>
                                                <pic:cNvPicPr>
                                                  <a:picLocks noChangeAspect="1" noChangeArrowheads="1"/>
                                                </pic:cNvPicPr>
                                              </pic:nvPicPr>
                                              <pic:blipFill>
                                                <a:blip r:embed="rId83"/>
                                                <a:stretch>
                                                  <a:fillRect/>
                                                </a:stretch>
                                              </pic:blipFill>
                                              <pic:spPr bwMode="auto">
                                                <a:xfrm>
                                                  <a:off x="0" y="0"/>
                                                  <a:ext cx="314325" cy="209550"/>
                                                </a:xfrm>
                                                <a:prstGeom prst="rect">
                                                  <a:avLst/>
                                                </a:prstGeom>
                                              </pic:spPr>
                                            </pic:pic>
                                          </a:graphicData>
                                        </a:graphic>
                                      </wp:inline>
                                    </w:drawing>
                                  </w:r>
                                  <w:bookmarkStart w:id="81" w:name="i-42"/>
                                  <w:bookmarkEnd w:id="8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2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2" descr=""/>
                                          <pic:cNvPicPr>
                                            <a:picLocks noChangeAspect="1" noChangeArrowheads="1"/>
                                          </pic:cNvPicPr>
                                        </pic:nvPicPr>
                                        <pic:blipFill>
                                          <a:blip r:embed="rId84"/>
                                          <a:stretch>
                                            <a:fillRect/>
                                          </a:stretch>
                                        </pic:blipFill>
                                        <pic:spPr bwMode="auto">
                                          <a:xfrm>
                                            <a:off x="0" y="0"/>
                                            <a:ext cx="314325" cy="209550"/>
                                          </a:xfrm>
                                          <a:prstGeom prst="rect">
                                            <a:avLst/>
                                          </a:prstGeom>
                                        </pic:spPr>
                                      </pic:pic>
                                    </a:graphicData>
                                  </a:graphic>
                                </wp:inline>
                              </w:drawing>
                            </w:r>
                            <w:bookmarkStart w:id="82" w:name="i-42"/>
                            <w:bookmarkEnd w:id="82"/>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AMEA</w:t>
      </w:r>
    </w:p>
    <w:tbl>
      <w:tblPr>
        <w:tblW w:w="7444"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25"/>
        <w:gridCol w:w="514"/>
        <w:gridCol w:w="117"/>
        <w:gridCol w:w="109"/>
        <w:gridCol w:w="109"/>
        <w:gridCol w:w="109"/>
        <w:gridCol w:w="270"/>
        <w:gridCol w:w="271"/>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increased $150 million (8.2%), due to favorable volume/mix (5.2 pp), higher net pricing (1.9 pp) and favorable currency translation rate changes (1.1 pp). Favorable volume/mix reflected volume growth in all categories except beverages. Higher net pricing, driven by input cost-driven pricing actions, was reflected primarily in chocolate and biscuits &amp; baked snacks, partially offset by beverages and meals. Favorable currency translation impacts were due to the strength of several currencies in the region relative to the U.S. dollar, including the Chinese yuan and Australian dollar, partially offset by the strength of U.S. dollar relative to a few currencies, primarily the Indian rupee.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decreased $17 million (6.3%), primarily due to higher raw material costs, higher other selling, general and administrative expenses, higher advertising and consumer promotion costs and incremental costs due to geopolitical conflicts. These unfavorable items were partially offset by lower manufacturing costs driven by productivity, higher net pricing and favorable volume/mix.</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Six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increased $438 million (11.4%), due to favorable volume/mix (5.5 pp), higher net pricing (3.8 pp) and favorable currency translation rate changes (2.1 pp). Favorable volume/mix was reflected across all geographies, except certain markets in Africa, and was favorable in all categories except for beverages. Higher net pricing, driven by input cost-driven pricing actions, was reflected in chocolate, biscuits &amp; baked snacks and meals, partially offset by beverages and gum &amp; candy. Favorable currency translation impacts were due to the strength of several currencies in the region relative to the U.S. dollar, including the Australian dollar, Chinese yuan and South African rand, partially offset by the strength of the U.S. dollar relative to a few currencies, primarily the Indian rupee.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decreased $34 million (5.5%), primarily due to higher raw material costs, higher other selling, general and administrative expenses, higher advertising and consumer promotion costs and incremental costs due to geopolitical conflicts. These unfavorable items were partially offset by higher net pricing, lower manufacturing costs driven by productivity, favorable volume/mix and favorable currency translation rate 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92785"/>
                <wp:effectExtent l="0" t="0" r="0" b="0"/>
                <wp:wrapNone/>
                <wp:docPr id="126" name="Frame4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2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3" descr=""/>
                                                <pic:cNvPicPr>
                                                  <a:picLocks noChangeAspect="1" noChangeArrowheads="1"/>
                                                </pic:cNvPicPr>
                                              </pic:nvPicPr>
                                              <pic:blipFill>
                                                <a:blip r:embed="rId85"/>
                                                <a:stretch>
                                                  <a:fillRect/>
                                                </a:stretch>
                                              </pic:blipFill>
                                              <pic:spPr bwMode="auto">
                                                <a:xfrm>
                                                  <a:off x="0" y="0"/>
                                                  <a:ext cx="314325" cy="209550"/>
                                                </a:xfrm>
                                                <a:prstGeom prst="rect">
                                                  <a:avLst/>
                                                </a:prstGeom>
                                              </pic:spPr>
                                            </pic:pic>
                                          </a:graphicData>
                                        </a:graphic>
                                      </wp:inline>
                                    </w:drawing>
                                  </w:r>
                                  <w:bookmarkStart w:id="83" w:name="i-43"/>
                                  <w:bookmarkEnd w:id="8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2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3" descr=""/>
                                          <pic:cNvPicPr>
                                            <a:picLocks noChangeAspect="1" noChangeArrowheads="1"/>
                                          </pic:cNvPicPr>
                                        </pic:nvPicPr>
                                        <pic:blipFill>
                                          <a:blip r:embed="rId86"/>
                                          <a:stretch>
                                            <a:fillRect/>
                                          </a:stretch>
                                        </pic:blipFill>
                                        <pic:spPr bwMode="auto">
                                          <a:xfrm>
                                            <a:off x="0" y="0"/>
                                            <a:ext cx="314325" cy="209550"/>
                                          </a:xfrm>
                                          <a:prstGeom prst="rect">
                                            <a:avLst/>
                                          </a:prstGeom>
                                        </pic:spPr>
                                      </pic:pic>
                                    </a:graphicData>
                                  </a:graphic>
                                </wp:inline>
                              </w:drawing>
                            </w:r>
                            <w:bookmarkStart w:id="84" w:name="i-43"/>
                            <w:bookmarkEnd w:id="84"/>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Europe</w:t>
      </w:r>
    </w:p>
    <w:tbl>
      <w:tblPr>
        <w:tblW w:w="7503"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25"/>
        <w:gridCol w:w="514"/>
        <w:gridCol w:w="117"/>
        <w:gridCol w:w="109"/>
        <w:gridCol w:w="109"/>
        <w:gridCol w:w="109"/>
        <w:gridCol w:w="299"/>
        <w:gridCol w:w="301"/>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decreased $35 million (1.0%), due to unfavorable volume/mix (2.1 pp), and lower net pricing (1.4 pp), partially offset by favorable currency translation rate changes (2.5 pp). Unfavorable volume/mix reflected continued pricing elasticity impacts from prior year pricing actions, primarily driven by declines in chocolate. Lower net pricing was primarily due to chocolate and biscuits &amp; baked snacks, partially offset by higher net pricing in beverages and gum &amp; candy. Favorable currency translation rate changes reflected the strength of most currencies relative to the U.S. dollar, primarily the euro and Russian ruble.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decreased $132 million (25.7%), primarily due to lower net pricing, higher other selling, general and administrative expenses, higher advertising and consumer promotion costs, unfavorable volume/mix, higher costs incurred for the ERP System Implementation program and higher restructuring charges. These unfavorable items were partially offset by favorable currency-related items.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Six Months Ended June 30:</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Net revenues increased $286 million (4.1%), due to favorable currency translation rate changes (6.1 pp) and higher net pricing (0.7 pp), partially offset by unfavorable volume/mix (2.7 pp</w:t>
      </w:r>
      <w:r>
        <w:rPr>
          <w:rFonts w:ascii="Times New Roman;serif" w:hAnsi="Times New Roman;serif"/>
          <w:b w:val="false"/>
          <w:color w:val="000000"/>
          <w:sz w:val="20"/>
        </w:rPr>
        <w:t>)</w:t>
      </w:r>
      <w:r>
        <w:rPr>
          <w:rFonts w:ascii="Arial;sans-serif" w:hAnsi="Arial;sans-serif"/>
          <w:b w:val="false"/>
          <w:color w:val="000000"/>
          <w:sz w:val="20"/>
        </w:rPr>
        <w:t>. Favorable currency translation rate changes reflected strength of most currencies relative to the U.S. dollar, including the euro, Russian ruble and British pound. Higher net pricing was driven by the benefit of carryover pricing from 2025, and was reflected across all categories except biscuits &amp; baked snacks and meals. Overall, unfavorable volume/mix reflected volume declines as the category continued to experience pricing elasticity effects from prior year pricing actions, partially offset by favorable product mix. Unfavorable volume/mix was primarily driven by declines in chocolate.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decreased $300 million (30.7%), primarily due to higher raw material costs, unfavorable volume/mix, higher restructuring charges, higher other selling, general and administrative expenses, higher advertising and consumer promotion costs and higher costs incurred for the ERP System Implementation program.</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unfavorable items were partially offset by higher net pricing, favorable currency-related items and lower manufacturing costs driven by productivity.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92785"/>
                <wp:effectExtent l="0" t="0" r="0" b="0"/>
                <wp:wrapNone/>
                <wp:docPr id="129" name="Frame4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3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4" descr=""/>
                                                <pic:cNvPicPr>
                                                  <a:picLocks noChangeAspect="1" noChangeArrowheads="1"/>
                                                </pic:cNvPicPr>
                                              </pic:nvPicPr>
                                              <pic:blipFill>
                                                <a:blip r:embed="rId87"/>
                                                <a:stretch>
                                                  <a:fillRect/>
                                                </a:stretch>
                                              </pic:blipFill>
                                              <pic:spPr bwMode="auto">
                                                <a:xfrm>
                                                  <a:off x="0" y="0"/>
                                                  <a:ext cx="314325" cy="209550"/>
                                                </a:xfrm>
                                                <a:prstGeom prst="rect">
                                                  <a:avLst/>
                                                </a:prstGeom>
                                              </pic:spPr>
                                            </pic:pic>
                                          </a:graphicData>
                                        </a:graphic>
                                      </wp:inline>
                                    </w:drawing>
                                  </w:r>
                                  <w:bookmarkStart w:id="85" w:name="i-44"/>
                                  <w:bookmarkEnd w:id="8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3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4" descr=""/>
                                          <pic:cNvPicPr>
                                            <a:picLocks noChangeAspect="1" noChangeArrowheads="1"/>
                                          </pic:cNvPicPr>
                                        </pic:nvPicPr>
                                        <pic:blipFill>
                                          <a:blip r:embed="rId88"/>
                                          <a:stretch>
                                            <a:fillRect/>
                                          </a:stretch>
                                        </pic:blipFill>
                                        <pic:spPr bwMode="auto">
                                          <a:xfrm>
                                            <a:off x="0" y="0"/>
                                            <a:ext cx="314325" cy="209550"/>
                                          </a:xfrm>
                                          <a:prstGeom prst="rect">
                                            <a:avLst/>
                                          </a:prstGeom>
                                        </pic:spPr>
                                      </pic:pic>
                                    </a:graphicData>
                                  </a:graphic>
                                </wp:inline>
                              </w:drawing>
                            </w:r>
                            <w:bookmarkStart w:id="86" w:name="i-44"/>
                            <w:bookmarkEnd w:id="86"/>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North America</w:t>
      </w:r>
    </w:p>
    <w:tbl>
      <w:tblPr>
        <w:tblW w:w="7503"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59"/>
        <w:gridCol w:w="462"/>
        <w:gridCol w:w="135"/>
        <w:gridCol w:w="109"/>
        <w:gridCol w:w="109"/>
        <w:gridCol w:w="109"/>
        <w:gridCol w:w="299"/>
        <w:gridCol w:w="301"/>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increased $76 million (3.0%), due to higher net pricing (2.2 pp) and favorable volume/mix (1.2 pp), partially offset by lapping prior year net revenue from a divestiture (0.4 pp). Higher net pricing was due to the benefit of carryover pricing from 2025 and was reflected across all categories. Favorable volume/mix was primarily driven by gains in biscuits &amp; baked snacks due to favorable product mix.</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decreased $23 million (5.1%), primarily due to unfavorable acquisition-related items reflecting a lower year-over-year benefit from contingent consideration adjustments related to Clif Bar, higher advertising and consumer promotion costs, higher raw material costs and higher other selling, general and administrative expenses. These unfavorable items were partially offset by higher net pricing and lower manufacturing costs driven by productivity.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Six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increased $89 million (1.7%), due to higher net pricing (1.6 pp), favorable volume/mix (0.4 pp) and favorable currency translation rate changes (0.2 pp), partially offset by lapping prior year net revenue from a divestiture (0.5 pp). Higher net pricing was driven by the benefit of carryover pricing from 2025 and was reflected across all categories. Overall, favorable volume/mix was primarily driven by gains in biscuits &amp; baked snacks. Favorable currency translation rate changes were due to the strength of the Canadian dollar relative to the U.S. dollar.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decreased $124 million (13.2%), primarily due to higher raw material costs, unfavorable acquisition-related items reflecting a lower year-over-year benefit from contingent consideration adjustments related to Clif Bar, higher advertising and consumer promotion costs, unfavorable volume/mix, higher other selling, general and administrative expenses and higher costs incurred for the ERP System Implementation program. These unfavorable items were partially offset by higher net pricing and lower manufacturing costs due to productivity.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92785"/>
                <wp:effectExtent l="0" t="0" r="0" b="0"/>
                <wp:wrapNone/>
                <wp:docPr id="132" name="Frame4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3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5" descr=""/>
                                                <pic:cNvPicPr>
                                                  <a:picLocks noChangeAspect="1" noChangeArrowheads="1"/>
                                                </pic:cNvPicPr>
                                              </pic:nvPicPr>
                                              <pic:blipFill>
                                                <a:blip r:embed="rId89"/>
                                                <a:stretch>
                                                  <a:fillRect/>
                                                </a:stretch>
                                              </pic:blipFill>
                                              <pic:spPr bwMode="auto">
                                                <a:xfrm>
                                                  <a:off x="0" y="0"/>
                                                  <a:ext cx="314325" cy="209550"/>
                                                </a:xfrm>
                                                <a:prstGeom prst="rect">
                                                  <a:avLst/>
                                                </a:prstGeom>
                                              </pic:spPr>
                                            </pic:pic>
                                          </a:graphicData>
                                        </a:graphic>
                                      </wp:inline>
                                    </w:drawing>
                                  </w:r>
                                  <w:bookmarkStart w:id="87" w:name="i-45"/>
                                  <w:bookmarkEnd w:id="8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3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5" descr=""/>
                                          <pic:cNvPicPr>
                                            <a:picLocks noChangeAspect="1" noChangeArrowheads="1"/>
                                          </pic:cNvPicPr>
                                        </pic:nvPicPr>
                                        <pic:blipFill>
                                          <a:blip r:embed="rId90"/>
                                          <a:stretch>
                                            <a:fillRect/>
                                          </a:stretch>
                                        </pic:blipFill>
                                        <pic:spPr bwMode="auto">
                                          <a:xfrm>
                                            <a:off x="0" y="0"/>
                                            <a:ext cx="314325" cy="209550"/>
                                          </a:xfrm>
                                          <a:prstGeom prst="rect">
                                            <a:avLst/>
                                          </a:prstGeom>
                                        </pic:spPr>
                                      </pic:pic>
                                    </a:graphicData>
                                  </a:graphic>
                                </wp:inline>
                              </w:drawing>
                            </w:r>
                            <w:bookmarkStart w:id="88" w:name="i-45"/>
                            <w:bookmarkEnd w:id="88"/>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that cash from operations, our revolving credit facilities, short-term borrowings and long-term debt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Overall, we do not expect negative effects to our funding sources that would have a material effect on our liquidity, and we continue to monitor our global operations including the impact of developments in Ukraine and the Middle East. To date, we have been successful in generating cash and raising financing as needed. However, if a serious economic or credit market crisis ensues or other adverse developments arise, it could have a material adverse effect on our liquidity,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property, plant and equipment and any significant non-operating items.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Long-term cash requirements primarily relate to funding long-term debt repayments (refer to Note 5, </w:t>
      </w:r>
      <w:r>
        <w:rPr>
          <w:rFonts w:ascii="Arial;sans-serif" w:hAnsi="Arial;sans-serif"/>
          <w:b w:val="false"/>
          <w:i/>
          <w:color w:val="000000"/>
          <w:sz w:val="20"/>
        </w:rPr>
        <w:t>Debt and Borrowing Arrangements</w:t>
      </w:r>
      <w:r>
        <w:rPr>
          <w:rFonts w:ascii="Arial;sans-serif" w:hAnsi="Arial;sans-serif"/>
          <w:b w:val="false"/>
          <w:color w:val="000000"/>
          <w:sz w:val="20"/>
        </w:rPr>
        <w:t xml:space="preserve">), deferred taxes (refer to Note 16,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 xml:space="preserve">in our Annual Report on Form 10-K for the year ended December 31, 2025), long-term benefit plan obligations (refer to Note 7, </w:t>
      </w:r>
      <w:r>
        <w:rPr>
          <w:rFonts w:ascii="Arial;sans-serif" w:hAnsi="Arial;sans-serif"/>
          <w:b w:val="false"/>
          <w:i/>
          <w:color w:val="000000"/>
          <w:sz w:val="20"/>
        </w:rPr>
        <w:t xml:space="preserve">Benefit Plans, </w:t>
      </w:r>
      <w:r>
        <w:rPr>
          <w:rFonts w:ascii="Arial;sans-serif" w:hAnsi="Arial;sans-serif"/>
          <w:b w:val="false"/>
          <w:color w:val="000000"/>
          <w:sz w:val="20"/>
        </w:rPr>
        <w:t>in Item 1 herein</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Note 10</w:t>
      </w:r>
      <w:r>
        <w:rPr>
          <w:rFonts w:ascii="Arial;sans-serif" w:hAnsi="Arial;sans-serif"/>
          <w:b w:val="false"/>
          <w:i/>
          <w:color w:val="000000"/>
          <w:sz w:val="20"/>
        </w:rPr>
        <w:t>, Benefit Plans,</w:t>
      </w:r>
      <w:r>
        <w:rPr>
          <w:color w:val="000000"/>
        </w:rPr>
        <w:t xml:space="preserve"> </w:t>
      </w:r>
      <w:r>
        <w:rPr>
          <w:rFonts w:ascii="Arial;sans-serif" w:hAnsi="Arial;sans-serif"/>
          <w:b w:val="false"/>
          <w:color w:val="000000"/>
          <w:sz w:val="20"/>
        </w:rPr>
        <w:t xml:space="preserve">in our Annual Report on Form 10-K for the year ended December 31, 2025) and commodity-related purchase commitments and derivative contracts (refer to Note 6, </w:t>
      </w:r>
      <w:r>
        <w:rPr>
          <w:rFonts w:ascii="Arial;sans-serif" w:hAnsi="Arial;sans-serif"/>
          <w:b w:val="false"/>
          <w:i/>
          <w:color w:val="000000"/>
          <w:sz w:val="20"/>
        </w:rPr>
        <w:t>Financial Instruments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generally fund short- and long-term cash requirements with cash from operating activities as well as cash proceeds from short- and long-term debt financing (refer to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 xml:space="preserve">below). We generally do not use equity to fund our ongoing obligations.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is noted below:</w:t>
      </w:r>
    </w:p>
    <w:p>
      <w:pPr>
        <w:pStyle w:val="TextBody"/>
        <w:bidi w:val="0"/>
        <w:spacing w:before="0" w:after="0"/>
        <w:jc w:val="both"/>
        <w:rPr/>
      </w:pPr>
      <w:r>
        <w:rPr/>
      </w:r>
    </w:p>
    <w:tbl>
      <w:tblPr>
        <w:tblW w:w="5300" w:type="dxa"/>
        <w:jc w:val="left"/>
        <w:tblInd w:w="0" w:type="dxa"/>
        <w:tblLayout w:type="fixed"/>
        <w:tblCellMar>
          <w:top w:w="28" w:type="dxa"/>
          <w:left w:w="28" w:type="dxa"/>
          <w:bottom w:w="28" w:type="dxa"/>
          <w:right w:w="28" w:type="dxa"/>
        </w:tblCellMar>
      </w:tblPr>
      <w:tblGrid>
        <w:gridCol w:w="1035"/>
        <w:gridCol w:w="909"/>
        <w:gridCol w:w="915"/>
        <w:gridCol w:w="211"/>
        <w:gridCol w:w="646"/>
        <w:gridCol w:w="109"/>
        <w:gridCol w:w="109"/>
        <w:gridCol w:w="109"/>
        <w:gridCol w:w="109"/>
        <w:gridCol w:w="239"/>
        <w:gridCol w:w="732"/>
        <w:gridCol w:w="177"/>
      </w:tblGrid>
      <w:tr>
        <w:trPr/>
        <w:tc>
          <w:tcPr>
            <w:tcW w:w="10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23" w:before="0" w:after="0"/>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23" w:before="0" w:after="0"/>
              <w:ind w:left="0" w:right="0" w:firstLine="637"/>
              <w:jc w:val="center"/>
              <w:rPr>
                <w:rFonts w:ascii="Arial;sans-serif" w:hAnsi="Arial;sans-serif"/>
                <w:b/>
                <w:color w:val="000000"/>
                <w:sz w:val="16"/>
              </w:rPr>
            </w:pPr>
            <w:r>
              <w:rPr>
                <w:rFonts w:ascii="Arial;sans-serif" w:hAnsi="Arial;sans-serif"/>
                <w:b/>
                <w:color w:val="000000"/>
                <w:sz w:val="16"/>
              </w:rPr>
              <w:t>2025</w:t>
            </w:r>
          </w:p>
        </w:tc>
      </w:tr>
      <w:tr>
        <w:trPr/>
        <w:tc>
          <w:tcPr>
            <w:tcW w:w="2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5"/>
              <w:jc w:val="left"/>
              <w:rPr>
                <w:rFonts w:ascii="Arial;sans-serif" w:hAnsi="Arial;sans-serif"/>
                <w:b w:val="false"/>
                <w:color w:val="000000"/>
                <w:sz w:val="20"/>
              </w:rPr>
            </w:pPr>
            <w:r>
              <w:rPr>
                <w:rFonts w:ascii="Arial;sans-serif" w:hAnsi="Arial;sans-serif"/>
                <w:b w:val="false"/>
                <w:color w:val="000000"/>
                <w:sz w:val="20"/>
              </w:rPr>
              <w:t>Net cash provided by/(used in):</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5"/>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firstLine="25"/>
              <w:jc w:val="left"/>
              <w:rPr>
                <w:sz w:val="4"/>
                <w:szCs w:val="4"/>
              </w:rPr>
            </w:pPr>
            <w:r>
              <w:rPr>
                <w:sz w:val="4"/>
                <w:szCs w:val="4"/>
              </w:rPr>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firstLine="25"/>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Provided by Operating Activities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reduction in net cash provided by operating activities was primarily due to lower cash-basis net earnings.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Used in Investing Activities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increase in net cash used in investing activities was primarily driven by higher net payments for derivative settlements and higher capital expenditures in the current year versus the prior year. We continue to make capital expenditures primarily to modernize manufacturing facilities, implement new product manufacturing and support productivity initiatives. We expect 2026 capital expenditures to be up to $1.4 billion, including capital expenditures in connection with funding our strategic priorities. We expect to continue to fund these expenditures with cash from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92785"/>
                <wp:effectExtent l="0" t="0" r="0" b="0"/>
                <wp:wrapNone/>
                <wp:docPr id="135" name="Frame4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3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6" descr=""/>
                                                <pic:cNvPicPr>
                                                  <a:picLocks noChangeAspect="1" noChangeArrowheads="1"/>
                                                </pic:cNvPicPr>
                                              </pic:nvPicPr>
                                              <pic:blipFill>
                                                <a:blip r:embed="rId91"/>
                                                <a:stretch>
                                                  <a:fillRect/>
                                                </a:stretch>
                                              </pic:blipFill>
                                              <pic:spPr bwMode="auto">
                                                <a:xfrm>
                                                  <a:off x="0" y="0"/>
                                                  <a:ext cx="314325" cy="209550"/>
                                                </a:xfrm>
                                                <a:prstGeom prst="rect">
                                                  <a:avLst/>
                                                </a:prstGeom>
                                              </pic:spPr>
                                            </pic:pic>
                                          </a:graphicData>
                                        </a:graphic>
                                      </wp:inline>
                                    </w:drawing>
                                  </w:r>
                                  <w:bookmarkStart w:id="89" w:name="i-46"/>
                                  <w:bookmarkEnd w:id="8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3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6" descr=""/>
                                          <pic:cNvPicPr>
                                            <a:picLocks noChangeAspect="1" noChangeArrowheads="1"/>
                                          </pic:cNvPicPr>
                                        </pic:nvPicPr>
                                        <pic:blipFill>
                                          <a:blip r:embed="rId92"/>
                                          <a:stretch>
                                            <a:fillRect/>
                                          </a:stretch>
                                        </pic:blipFill>
                                        <pic:spPr bwMode="auto">
                                          <a:xfrm>
                                            <a:off x="0" y="0"/>
                                            <a:ext cx="314325" cy="209550"/>
                                          </a:xfrm>
                                          <a:prstGeom prst="rect">
                                            <a:avLst/>
                                          </a:prstGeom>
                                        </pic:spPr>
                                      </pic:pic>
                                    </a:graphicData>
                                  </a:graphic>
                                </wp:inline>
                              </w:drawing>
                            </w:r>
                            <w:bookmarkStart w:id="90" w:name="i-46"/>
                            <w:bookmarkEnd w:id="90"/>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Used in Financing Activities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increase in cash used in financing activities was primarily due to higher net debt repayments, lower proceeds from debt issuances in the current year and higher dividends paid, partially offset by lower share repurchases in the six months of 2026 compared to the same prior 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Dividends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paid dividends of $1,287 million in the first six months of 2026 and $1,233 million in the first six months of 2025. The second quarter 2026 dividend of $0.50 per share, declared on May 20, 2026 for shareholders of record as of June 30, 2026, was paid on July 14, 2026. On July 28, 2026, the Audit Committee, with authorization delegated from our Board of Directors, declared a quarterly cash dividend of $0.52 per share of Class A Common Stock, an increase of 4%. This dividend is payable on October 14, 2026, to shareholders of record as of September 30, 2026.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Guarantees</w:t>
      </w:r>
    </w:p>
    <w:p>
      <w:pPr>
        <w:pStyle w:val="TextBody"/>
        <w:bidi w:val="0"/>
        <w:spacing w:lineRule="auto" w:line="288" w:before="0" w:after="0"/>
        <w:jc w:val="both"/>
        <w:rPr/>
      </w:pPr>
      <w:r>
        <w:rPr>
          <w:rFonts w:ascii="Arial;sans-serif" w:hAnsi="Arial;sans-serif"/>
          <w:b w:val="false"/>
          <w:color w:val="000000"/>
          <w:sz w:val="20"/>
        </w:rPr>
        <w:t xml:space="preserve">As discussed in Note 8, </w:t>
      </w:r>
      <w:r>
        <w:rPr>
          <w:rFonts w:ascii="Arial;sans-serif" w:hAnsi="Arial;sans-serif"/>
          <w:b w:val="false"/>
          <w:i/>
          <w:color w:val="000000"/>
          <w:sz w:val="20"/>
        </w:rPr>
        <w:t>Commitments and Contingencies</w:t>
      </w:r>
      <w:r>
        <w:rPr>
          <w:rFonts w:ascii="Arial;sans-serif" w:hAnsi="Arial;sans-serif"/>
          <w:b w:val="false"/>
          <w:color w:val="000000"/>
          <w:sz w:val="20"/>
        </w:rPr>
        <w:t>, we enter into third-party guarantees primarily to cover the long-term obligations of our vendors. As part of these transactions, we guarantee that third parties will make contractual payments or achieve performance measures. As of June 30, 2026 and December 31, 2025, we had no material third-party guarantees recorded on our condensed consolidated balance sheets. Guarantees do not have, and we do not expect them to have, a material effect on our 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Debt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nature and amount of our long-term and short-term debt and the proportionate amount of each varies as a result of current and expected business requirements, market conditions and other factors. As such, we may issue commercial paper or secure other forms of financing throughout the year to meet our short-term working capital or other financing needs.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At its December 2025 meeting, the Board of Directors approved a new $4 billion long-term financing authorization that replaced the prior long-term financing authorization of $4 billion. As of June 30, 2026, $2.9 billion of the long-term financing authorization remained available.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total debt was $21.5 billion as of June 30, 2026 and $21.2 billion as of December 31, 2025. Our debt-to-capitalization ratio was 0.45 at June 30, 2026 and 0.45 at December 31, 2025. At June 30, 2026, the weighted-average term of our outstanding long-term debt was 6.8 years. Our average daily commercial paper borrowings outstanding were $1.5 billion in the first six months of 2026 and $2.0 billion in the first six months of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One of our subsidiaries, Mondelez International Holdings Netherlands B.V. (“MIHN”), has outstanding debt. The operations held by MIHN generated approximately 75.8% (or $14.7 billion) of the $19.4 billion of consolidated net revenue for the six months ended June 30, 2026. The operations held by MIHN represented approximately 96.3% (or $25.7 billion) of the $26.7 billion of consolidated net assets as of June 30, 2026.</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Refer to Note 5, </w:t>
      </w:r>
      <w:r>
        <w:rPr>
          <w:rFonts w:ascii="Arial;sans-serif" w:hAnsi="Arial;sans-serif"/>
          <w:b w:val="false"/>
          <w:i/>
          <w:color w:val="000000"/>
          <w:sz w:val="20"/>
        </w:rPr>
        <w:t xml:space="preserve">Debt and Borrowing Arrangements, </w:t>
      </w:r>
      <w:r>
        <w:rPr>
          <w:rFonts w:ascii="Arial;sans-serif" w:hAnsi="Arial;sans-serif"/>
          <w:b w:val="false"/>
          <w:color w:val="000000"/>
          <w:sz w:val="20"/>
        </w:rPr>
        <w:t>for additional information on our debt and debt covenants.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Commodity Trends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regularly monitor worldwide supply, commodity cost and currency trends so we can cost-effectively secure ingredients, packaging and fuel required for production. Throughout 2026 the market for cocoa has experienced price volatility, however, changes in market prices are not immediately reflected in our cost of goods sold due to our commodity hedging program and the timing of inventory consumption. Other drivers of the increase in our aggregate commodity costs during the first six months of 2026 included higher packaging, nuts, edible oils, energy, grains and other ingredient costs, as well as unfavorable year-over-year currency exchange impacts on imported materials, partially offset by lower dairy and sugar costs. While the costs of our principal raw materials fluctuate, generally we believe there will continue to be an adequate supply of the raw materials we use and that they will broadly remain available.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 number of external factors such as the current macroeconomic environment, including global inflation, effects of geopolitical uncertainty, climate, weather and other conditions affecting plant health and crop yield, commodity, transportation and labor market conditions, exchange rate volatility and the effects of local and global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92785"/>
                <wp:effectExtent l="0" t="0" r="0" b="0"/>
                <wp:wrapNone/>
                <wp:docPr id="138" name="Frame4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3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7" descr=""/>
                                                <pic:cNvPicPr>
                                                  <a:picLocks noChangeAspect="1" noChangeArrowheads="1"/>
                                                </pic:cNvPicPr>
                                              </pic:nvPicPr>
                                              <pic:blipFill>
                                                <a:blip r:embed="rId93"/>
                                                <a:stretch>
                                                  <a:fillRect/>
                                                </a:stretch>
                                              </pic:blipFill>
                                              <pic:spPr bwMode="auto">
                                                <a:xfrm>
                                                  <a:off x="0" y="0"/>
                                                  <a:ext cx="314325" cy="209550"/>
                                                </a:xfrm>
                                                <a:prstGeom prst="rect">
                                                  <a:avLst/>
                                                </a:prstGeom>
                                              </pic:spPr>
                                            </pic:pic>
                                          </a:graphicData>
                                        </a:graphic>
                                      </wp:inline>
                                    </w:drawing>
                                  </w:r>
                                  <w:bookmarkStart w:id="91" w:name="i-47"/>
                                  <w:bookmarkEnd w:id="9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4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7" descr=""/>
                                          <pic:cNvPicPr>
                                            <a:picLocks noChangeAspect="1" noChangeArrowheads="1"/>
                                          </pic:cNvPicPr>
                                        </pic:nvPicPr>
                                        <pic:blipFill>
                                          <a:blip r:embed="rId94"/>
                                          <a:stretch>
                                            <a:fillRect/>
                                          </a:stretch>
                                        </pic:blipFill>
                                        <pic:spPr bwMode="auto">
                                          <a:xfrm>
                                            <a:off x="0" y="0"/>
                                            <a:ext cx="314325" cy="209550"/>
                                          </a:xfrm>
                                          <a:prstGeom prst="rect">
                                            <a:avLst/>
                                          </a:prstGeom>
                                        </pic:spPr>
                                      </pic:pic>
                                    </a:graphicData>
                                  </a:graphic>
                                </wp:inline>
                              </w:drawing>
                            </w:r>
                            <w:bookmarkStart w:id="92" w:name="i-47"/>
                            <w:bookmarkEnd w:id="92"/>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including trade policies, governmental agricultural or other programs affect the availability and cost of raw materials and agricultural materials used in our products. In particular, the supply of cocoa is exposed to many of these factors, including climate change, weather and other events affecting plant health and crop yield, local regulations in cocoa-producing countries and global regulations such as the EU Deforestation Regulation (which requires companies to ensure that the products they place on the EU market or export from it are not associated with deforestation). These factors could impact the supply of cocoa, which could potentially limit our ability to produce our products and significantly impact our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first six months of 2026, price volatility and the higher aggregate cost environment increased due to international supply chain and labor market disruptions and generally higher commodity, transportation and labor costs. We expect these conditions to continue to impact our aggregate commodity costs. In particular, cocoa costs are lower compared to prior year but are expected to remain elevated compared to historical levels in the near- and medium-term due to these factors. It is possible that we may not be able to increase prices sufficiently to fully cover the incremental costs of cocoa prices in this environment and/or our hedging strategies may not protect us from increases in cocoa costs, which could result in a significant adverse impact on our profitability.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Our commodity procurement practices are intended to mitigate price volatility and provide visibility to future costs, but also may potentially limit our ability to benefit from possible future price decreases. Additionally, our costs for major raw materials will not necessarily reflect market price fluctuations because of our forward purchasing and hedging practices. For example, our hedging positions resulted in our current period costs not fully reflecting the decline in cocoa market prices during the period. Due to competitive or market conditions, planned trade or promotional incentives, fluctuations in currency exchange rates or other factors, our pricing actions may also lag commodity cost changes temporarily.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Significant Accounting Estimates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and estimates are described in Note 1 to our consolidated financial statements and </w:t>
      </w:r>
      <w:r>
        <w:rPr>
          <w:rFonts w:ascii="Arial;sans-serif" w:hAnsi="Arial;sans-serif"/>
          <w:b w:val="false"/>
          <w:i/>
          <w:color w:val="000000"/>
          <w:sz w:val="20"/>
        </w:rPr>
        <w:t xml:space="preserve">Management’s Discussion and Analysis of Financial Condition and Results of Operations, </w:t>
      </w:r>
      <w:r>
        <w:rPr>
          <w:rFonts w:ascii="Arial;sans-serif" w:hAnsi="Arial;sans-serif"/>
          <w:b w:val="false"/>
          <w:color w:val="000000"/>
          <w:sz w:val="20"/>
        </w:rPr>
        <w:t xml:space="preserve">respectively, in our Annual Report on Form 10-K for the year ended December 31, 2025. Also refer to Note 1, </w:t>
      </w:r>
      <w:r>
        <w:rPr>
          <w:rFonts w:ascii="Arial;sans-serif" w:hAnsi="Arial;sans-serif"/>
          <w:b w:val="false"/>
          <w:i/>
          <w:color w:val="000000"/>
          <w:sz w:val="20"/>
        </w:rPr>
        <w:t>Basis of Presentation</w:t>
      </w:r>
      <w:r>
        <w:rPr>
          <w:rFonts w:ascii="Arial;sans-serif" w:hAnsi="Arial;sans-serif"/>
          <w:b w:val="false"/>
          <w:color w:val="000000"/>
          <w:sz w:val="20"/>
        </w:rPr>
        <w:t>,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report contains “forward-looking statements” within the meaning of Section 27A of the Securities Act of 1933, as amended, and Section 21E of the Securities Exchange Act of 1934, as amended (the "Exchange Act").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the words, “will,” “may,” “expect,” “would,” “could,” “might,” “intend,” “plan,” “believe,” “likely,” “estimate,” “anticipate,” “objective,” “predict,” “project,” “drive,” “seek,” “aim,” “target,” "remain," “potential,” “commitment,” “outlook,” “continue” or any other similar words.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and are amplified by ongoing macroeconomic volatility and uncertainty, including current and potential trade and tariff actions affecting the countries where we operate. Important factors that could cause our actual results or performance to differ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92785"/>
                <wp:effectExtent l="0" t="0" r="0" b="0"/>
                <wp:wrapNone/>
                <wp:docPr id="141" name="Frame4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4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8" descr=""/>
                                                <pic:cNvPicPr>
                                                  <a:picLocks noChangeAspect="1" noChangeArrowheads="1"/>
                                                </pic:cNvPicPr>
                                              </pic:nvPicPr>
                                              <pic:blipFill>
                                                <a:blip r:embed="rId95"/>
                                                <a:stretch>
                                                  <a:fillRect/>
                                                </a:stretch>
                                              </pic:blipFill>
                                              <pic:spPr bwMode="auto">
                                                <a:xfrm>
                                                  <a:off x="0" y="0"/>
                                                  <a:ext cx="314325" cy="209550"/>
                                                </a:xfrm>
                                                <a:prstGeom prst="rect">
                                                  <a:avLst/>
                                                </a:prstGeom>
                                              </pic:spPr>
                                            </pic:pic>
                                          </a:graphicData>
                                        </a:graphic>
                                      </wp:inline>
                                    </w:drawing>
                                  </w:r>
                                  <w:bookmarkStart w:id="93" w:name="i-48"/>
                                  <w:bookmarkEnd w:id="9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4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8" descr=""/>
                                          <pic:cNvPicPr>
                                            <a:picLocks noChangeAspect="1" noChangeArrowheads="1"/>
                                          </pic:cNvPicPr>
                                        </pic:nvPicPr>
                                        <pic:blipFill>
                                          <a:blip r:embed="rId96"/>
                                          <a:stretch>
                                            <a:fillRect/>
                                          </a:stretch>
                                        </pic:blipFill>
                                        <pic:spPr bwMode="auto">
                                          <a:xfrm>
                                            <a:off x="0" y="0"/>
                                            <a:ext cx="314325" cy="209550"/>
                                          </a:xfrm>
                                          <a:prstGeom prst="rect">
                                            <a:avLst/>
                                          </a:prstGeom>
                                        </pic:spPr>
                                      </pic:pic>
                                    </a:graphicData>
                                  </a:graphic>
                                </wp:inline>
                              </w:drawing>
                            </w:r>
                            <w:bookmarkStart w:id="94" w:name="i-48"/>
                            <w:bookmarkEnd w:id="94"/>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materially from those contained in or implied by our forward-looking statements include, but are not limited to,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weakness and/or volatility in macroeconomic conditions in our markets, including as a result of inflation (and related monetary policy actions by governments in response to inflation) and the instability of certain financial institutions;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from operating globally including geopolitical, trade, tariff and regulatory uncertainties affecting developed and emerging markets;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volatility of cocoa and other commodity input costs, our ability to effectively hedge such costs and the availability of commodities;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geopolitical uncertainty, including the impact of ongoing or new developments in Ukraine and the Middle East, related current and future sanctions imposed by governments and other authorities and related impacts, including on our business operations, employees, reputation, brands,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competition and our response to channel shifts and pricing and other competitive pressures;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pricing actions and customer and consumer responses to such actions;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promotion and protection of our reputation and brand image;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weakness in consumer spending and/or changes in consumer preferences and demand, including evolving health and wellness trends, and our ability to predict, identify, interpret and meet these changes;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outcome and effects on us of legal and tax proceedings and government investigations;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use of information technology and third party service providers;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unanticipated disruptions to our business, such as malware incidents, cyberattacks or other security breaches, and supply, commodity, labor and transportation constraints;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ability to identify, complete, manage and realize the full extent of the benefits, cost savings, efficiencies and/or synergies presented by strategic acquisitions and other transactions as well as other strategic initiatives, such as our ERP System Implementation program;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investments and our ownership interests in those investments;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restructuring actions and other transformation initiatives not yielding the anticipated benefits;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the assumptions on which restructuring actions or other transformation initiatives are based;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impact of climate change on our supply chain and operations;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global or regional health pandemics or epidemics;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consolidation of retail customers and competition with retailer and other economy brands;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changes in our relationships with customers, suppliers or distributors;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management of our workforce and shifts in labor availability or labor costs;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compliance with legal, regulatory, tax and benefit laws and related changes, claims or actions, including evolving and potentially inconsistent federal, state, local and foreign requirements regarding food ingredients, additives, labeling and marketing;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perceived or actual product quality issues or product recalls, or changing consumer, media, governmental or scientific perceptions of our products or their ingredients;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failure to maintain effective internal control over financial reporting or disclosure controls and procedures;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protect our intellectual property and intangible assets;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tax matters including changes in tax laws and rates, disagreements with taxing authorities and imposition of new taxes;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changes in currency exchange rates, controls and restrictions;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volatility of and access to capital or other markets, interest rates, the effectiveness of our cash management programs and our liquidity;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pension costs;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significant changes in valuation factors that may adversely affect our impairment testing of goodwill and intangible assets; and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risks and uncertainties, as they may be amended from time to time, set forth in our filings with the U.S. Securities and Exchange Commission, including our Annual Report on Form 10-K for the year ended December 31, 2025 and subsequent Quarterly Reports on Form 10-Q.</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92785"/>
                <wp:effectExtent l="0" t="0" r="0" b="0"/>
                <wp:wrapNone/>
                <wp:docPr id="144" name="Frame4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4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9" descr=""/>
                                                <pic:cNvPicPr>
                                                  <a:picLocks noChangeAspect="1" noChangeArrowheads="1"/>
                                                </pic:cNvPicPr>
                                              </pic:nvPicPr>
                                              <pic:blipFill>
                                                <a:blip r:embed="rId97"/>
                                                <a:stretch>
                                                  <a:fillRect/>
                                                </a:stretch>
                                              </pic:blipFill>
                                              <pic:spPr bwMode="auto">
                                                <a:xfrm>
                                                  <a:off x="0" y="0"/>
                                                  <a:ext cx="314325" cy="209550"/>
                                                </a:xfrm>
                                                <a:prstGeom prst="rect">
                                                  <a:avLst/>
                                                </a:prstGeom>
                                              </pic:spPr>
                                            </pic:pic>
                                          </a:graphicData>
                                        </a:graphic>
                                      </wp:inline>
                                    </w:drawing>
                                  </w:r>
                                  <w:bookmarkStart w:id="95" w:name="i-49"/>
                                  <w:bookmarkEnd w:id="9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47</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4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9" descr=""/>
                                          <pic:cNvPicPr>
                                            <a:picLocks noChangeAspect="1" noChangeArrowheads="1"/>
                                          </pic:cNvPicPr>
                                        </pic:nvPicPr>
                                        <pic:blipFill>
                                          <a:blip r:embed="rId98"/>
                                          <a:stretch>
                                            <a:fillRect/>
                                          </a:stretch>
                                        </pic:blipFill>
                                        <pic:spPr bwMode="auto">
                                          <a:xfrm>
                                            <a:off x="0" y="0"/>
                                            <a:ext cx="314325" cy="209550"/>
                                          </a:xfrm>
                                          <a:prstGeom prst="rect">
                                            <a:avLst/>
                                          </a:prstGeom>
                                        </pic:spPr>
                                      </pic:pic>
                                    </a:graphicData>
                                  </a:graphic>
                                </wp:inline>
                              </w:drawing>
                            </w:r>
                            <w:bookmarkStart w:id="96" w:name="i-49"/>
                            <w:bookmarkEnd w:id="96"/>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principally utilize derivative instruments to reduce significant, unanticipated earnings fluctuations that may arise from volatility in currency exchange rates, commodity prices and interest rates. Additionally, we periodically use interest rate swaps and forward interest rate contracts to achieve a desired proportion of variable versus fixed rate debt based on current and projected market conditions. For additional information on our derivative activity and the types of derivative instruments we use to hedge our currency exchange, commodity price and interest rate exposures, see Note 6, </w:t>
      </w:r>
      <w:r>
        <w:rPr>
          <w:rFonts w:ascii="Arial;sans-serif" w:hAnsi="Arial;sans-serif"/>
          <w:b w:val="false"/>
          <w:i/>
          <w:color w:val="000000"/>
          <w:sz w:val="20"/>
        </w:rPr>
        <w:t>Financial Instruments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 xml:space="preserve">for additional information on our debt activity, see Note 5, </w:t>
      </w:r>
      <w:r>
        <w:rPr>
          <w:rFonts w:ascii="Arial;sans-serif" w:hAnsi="Arial;sans-serif"/>
          <w:b w:val="false"/>
          <w:i/>
          <w:color w:val="000000"/>
          <w:sz w:val="20"/>
        </w:rPr>
        <w:t>Debt and Borrowing Arrangements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additional information on our strategies, policies and practices on an ongoing basis, refer to our Annual Report on Form 10-K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June 30, 2026. Based on this evaluation, the CEO and CFO concluded that our disclosure controls and procedures were effective as of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together with our CEO and CFO, evaluated the changes in our internal control over financial reporting during the quarter ended June 30, 2026. There were no material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92785"/>
                <wp:effectExtent l="0" t="0" r="0" b="0"/>
                <wp:wrapNone/>
                <wp:docPr id="147" name="Frame5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4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0" descr=""/>
                                                <pic:cNvPicPr>
                                                  <a:picLocks noChangeAspect="1" noChangeArrowheads="1"/>
                                                </pic:cNvPicPr>
                                              </pic:nvPicPr>
                                              <pic:blipFill>
                                                <a:blip r:embed="rId99"/>
                                                <a:stretch>
                                                  <a:fillRect/>
                                                </a:stretch>
                                              </pic:blipFill>
                                              <pic:spPr bwMode="auto">
                                                <a:xfrm>
                                                  <a:off x="0" y="0"/>
                                                  <a:ext cx="314325" cy="209550"/>
                                                </a:xfrm>
                                                <a:prstGeom prst="rect">
                                                  <a:avLst/>
                                                </a:prstGeom>
                                              </pic:spPr>
                                            </pic:pic>
                                          </a:graphicData>
                                        </a:graphic>
                                      </wp:inline>
                                    </w:drawing>
                                  </w:r>
                                  <w:bookmarkStart w:id="97" w:name="i-50"/>
                                  <w:bookmarkEnd w:id="9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48</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4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0" descr=""/>
                                          <pic:cNvPicPr>
                                            <a:picLocks noChangeAspect="1" noChangeArrowheads="1"/>
                                          </pic:cNvPicPr>
                                        </pic:nvPicPr>
                                        <pic:blipFill>
                                          <a:blip r:embed="rId100"/>
                                          <a:stretch>
                                            <a:fillRect/>
                                          </a:stretch>
                                        </pic:blipFill>
                                        <pic:spPr bwMode="auto">
                                          <a:xfrm>
                                            <a:off x="0" y="0"/>
                                            <a:ext cx="314325" cy="209550"/>
                                          </a:xfrm>
                                          <a:prstGeom prst="rect">
                                            <a:avLst/>
                                          </a:prstGeom>
                                        </pic:spPr>
                                      </pic:pic>
                                    </a:graphicData>
                                  </a:graphic>
                                </wp:inline>
                              </w:drawing>
                            </w:r>
                            <w:bookmarkStart w:id="98" w:name="i-50"/>
                            <w:bookmarkEnd w:id="98"/>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Information regarding legal proceedings is available in Note 8, </w:t>
      </w:r>
      <w:r>
        <w:rPr>
          <w:rFonts w:ascii="Arial;sans-serif" w:hAnsi="Arial;sans-serif"/>
          <w:b w:val="false"/>
          <w:i/>
          <w:color w:val="000000"/>
          <w:sz w:val="20"/>
        </w:rPr>
        <w:t>Commitments and Contingencies</w:t>
      </w:r>
      <w:r>
        <w:rPr>
          <w:rFonts w:ascii="Arial;sans-serif" w:hAnsi="Arial;sans-serif"/>
          <w:b w:val="false"/>
          <w:color w:val="000000"/>
          <w:sz w:val="20"/>
        </w:rPr>
        <w:t>, to the condensed consolidated financial statements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There were no material changes to the risk factors disclosed in our Annual Report on Form 10-K for the year ended December 31,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stock repurchase activity for each of the three months in the quarter ended June 30, 2026 was:</w:t>
      </w:r>
    </w:p>
    <w:tbl>
      <w:tblPr>
        <w:tblW w:w="10205" w:type="dxa"/>
        <w:jc w:val="left"/>
        <w:tblInd w:w="0" w:type="dxa"/>
        <w:tblLayout w:type="fixed"/>
        <w:tblCellMar>
          <w:top w:w="28" w:type="dxa"/>
          <w:left w:w="28" w:type="dxa"/>
          <w:bottom w:w="28" w:type="dxa"/>
          <w:right w:w="28" w:type="dxa"/>
        </w:tblCellMar>
      </w:tblPr>
      <w:tblGrid>
        <w:gridCol w:w="699"/>
        <w:gridCol w:w="617"/>
        <w:gridCol w:w="563"/>
        <w:gridCol w:w="523"/>
        <w:gridCol w:w="498"/>
        <w:gridCol w:w="328"/>
        <w:gridCol w:w="109"/>
        <w:gridCol w:w="109"/>
        <w:gridCol w:w="109"/>
        <w:gridCol w:w="217"/>
        <w:gridCol w:w="666"/>
        <w:gridCol w:w="113"/>
        <w:gridCol w:w="109"/>
        <w:gridCol w:w="109"/>
        <w:gridCol w:w="109"/>
        <w:gridCol w:w="510"/>
        <w:gridCol w:w="511"/>
        <w:gridCol w:w="511"/>
        <w:gridCol w:w="109"/>
        <w:gridCol w:w="109"/>
        <w:gridCol w:w="109"/>
        <w:gridCol w:w="722"/>
        <w:gridCol w:w="2211"/>
        <w:gridCol w:w="535"/>
      </w:tblGrid>
      <w:tr>
        <w:trPr/>
        <w:tc>
          <w:tcPr>
            <w:tcW w:w="69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Issuer Purchases of Equity Securities</w:t>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Period</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Number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of Shares</w:t>
            </w:r>
          </w:p>
          <w:p>
            <w:pPr>
              <w:pStyle w:val="TableContents"/>
              <w:bidi w:val="0"/>
              <w:spacing w:lineRule="auto" w:line="240" w:before="0" w:after="0"/>
              <w:jc w:val="center"/>
              <w:rPr/>
            </w:pPr>
            <w:r>
              <w:rPr>
                <w:rFonts w:ascii="Arial;sans-serif" w:hAnsi="Arial;sans-serif"/>
                <w:b/>
                <w:color w:val="000000"/>
                <w:sz w:val="16"/>
              </w:rPr>
              <w:t xml:space="preserve">Purchased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Price Paid</w:t>
            </w:r>
          </w:p>
          <w:p>
            <w:pPr>
              <w:pStyle w:val="TableContents"/>
              <w:bidi w:val="0"/>
              <w:spacing w:lineRule="auto" w:line="240" w:before="0" w:after="0"/>
              <w:jc w:val="center"/>
              <w:rPr/>
            </w:pPr>
            <w:r>
              <w:rPr>
                <w:rFonts w:ascii="Arial;sans-serif" w:hAnsi="Arial;sans-serif"/>
                <w:b/>
                <w:color w:val="000000"/>
                <w:sz w:val="16"/>
              </w:rPr>
              <w:t>per Share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Number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Shares Purchased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Part of Publicly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Announced Plans</w:t>
            </w:r>
          </w:p>
          <w:p>
            <w:pPr>
              <w:pStyle w:val="TableContents"/>
              <w:bidi w:val="0"/>
              <w:spacing w:lineRule="auto" w:line="240" w:before="0" w:after="0"/>
              <w:jc w:val="center"/>
              <w:rPr/>
            </w:pPr>
            <w:r>
              <w:rPr>
                <w:rFonts w:ascii="Arial;sans-serif" w:hAnsi="Arial;sans-serif"/>
                <w:b/>
                <w:color w:val="000000"/>
                <w:sz w:val="16"/>
              </w:rPr>
              <w:t xml:space="preserve">or Programs </w:t>
            </w:r>
            <w:r>
              <w:rPr>
                <w:rFonts w:ascii="Arial;sans-serif" w:hAnsi="Arial;sans-serif"/>
                <w:b/>
                <w:color w:val="000000"/>
                <w:sz w:val="10"/>
              </w:rPr>
              <w:t>(2)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Approximate Dollar Value of Shares That May Yet Be Purchased Under the Plans or Programs </w:t>
            </w:r>
            <w:r>
              <w:rPr>
                <w:rFonts w:ascii="Arial;sans-serif" w:hAnsi="Arial;sans-serif"/>
                <w:b/>
                <w:color w:val="000000"/>
                <w:sz w:val="10"/>
              </w:rPr>
              <w:t>(2) (4)</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1-30, 2026</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6,181 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6,702 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1-31, 2026</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6,702 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1-30, 2026</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3,456,652 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3,456,263 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6,492 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Quarter Ended June 30, 2026</w:t>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3,463,904 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3,456,263 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6,181 shares, 1,071 shares and 389 shares for the months of April, May and June 2026, respectively.</w:t>
      </w:r>
    </w:p>
    <w:p>
      <w:pPr>
        <w:pStyle w:val="TextBody"/>
        <w:bidi w:val="0"/>
        <w:spacing w:lineRule="auto" w:line="288" w:before="0" w:after="0"/>
        <w:ind w:left="0" w:right="0" w:hanging="360"/>
        <w:jc w:val="both"/>
        <w:rPr/>
      </w:pPr>
      <w:r>
        <w:rPr>
          <w:rFonts w:ascii="Arial;sans-serif" w:hAnsi="Arial;sans-serif"/>
          <w:b w:val="false"/>
          <w:color w:val="000000"/>
          <w:sz w:val="16"/>
        </w:rPr>
        <w:t xml:space="preserve">(2)Effective January 1, 2025, our Board of Directors authorized a program for the repurchase of up to $9.0 billion of our Common Stock through December 31, 2027, excluding excise taxes. During the six months ended June 30, 2026, we repurchased $210 million and, as of June 30, 2026, we had approximately $6.5 billion of share repurchase authorization remaining. See related information in Note 9, </w:t>
      </w:r>
      <w:r>
        <w:rPr>
          <w:rFonts w:ascii="Arial;sans-serif" w:hAnsi="Arial;sans-serif"/>
          <w:b w:val="false"/>
          <w:i/>
          <w:color w:val="000000"/>
          <w:sz w:val="16"/>
        </w:rPr>
        <w:t>Shareholders' Equity</w:t>
      </w:r>
      <w:r>
        <w:rPr>
          <w:rFonts w:ascii="Arial;sans-serif" w:hAnsi="Arial;sans-serif"/>
          <w:b w:val="false"/>
          <w:color w:val="000000"/>
          <w:sz w:val="16"/>
        </w:rPr>
        <w: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(3)Any excise tax incurred on share repurchases is recognized as part of the cost basis of the shares acquired.</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(4)Dollar values stated in millions.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 Insider Trading Arrangements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15, 2026, Dirk Van de Put, our Chief Executive Officer and Chairman, adopted a trading plan (the “Trading Plan”) intended to satisfy Rule 10b5-1(c) to sell the following shares of Class A Common Stock over a period ending on May 15, 2027, subject to certain conditions: (i) 577,767 shares and (ii) an additional number of shares that may be earned in connection with grants of Performance Share Units (“PSUs”) which cannot be determined at this time. Assuming the PSUs vest at 100% of target, the Trading Plan would provide for the sale of up to 577,767 shares, although the actual number may vary depending on how many PSUs ultimately vest. The maximum number of shares to be sold will be reduced by any shares withheld to satisfy tax withholding obligations arising in connection with the vesting and settlement of the PSUs.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92785"/>
                <wp:effectExtent l="0" t="0" r="0" b="0"/>
                <wp:wrapNone/>
                <wp:docPr id="150" name="Frame5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1" descr=""/>
                                                <pic:cNvPicPr>
                                                  <a:picLocks noChangeAspect="1" noChangeArrowheads="1"/>
                                                </pic:cNvPicPr>
                                              </pic:nvPicPr>
                                              <pic:blipFill>
                                                <a:blip r:embed="rId101"/>
                                                <a:stretch>
                                                  <a:fillRect/>
                                                </a:stretch>
                                              </pic:blipFill>
                                              <pic:spPr bwMode="auto">
                                                <a:xfrm>
                                                  <a:off x="0" y="0"/>
                                                  <a:ext cx="314325" cy="209550"/>
                                                </a:xfrm>
                                                <a:prstGeom prst="rect">
                                                  <a:avLst/>
                                                </a:prstGeom>
                                              </pic:spPr>
                                            </pic:pic>
                                          </a:graphicData>
                                        </a:graphic>
                                      </wp:inline>
                                    </w:drawing>
                                  </w:r>
                                  <w:bookmarkStart w:id="99" w:name="i-51"/>
                                  <w:bookmarkEnd w:id="9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49</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5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1" descr=""/>
                                          <pic:cNvPicPr>
                                            <a:picLocks noChangeAspect="1" noChangeArrowheads="1"/>
                                          </pic:cNvPicPr>
                                        </pic:nvPicPr>
                                        <pic:blipFill>
                                          <a:blip r:embed="rId102"/>
                                          <a:stretch>
                                            <a:fillRect/>
                                          </a:stretch>
                                        </pic:blipFill>
                                        <pic:spPr bwMode="auto">
                                          <a:xfrm>
                                            <a:off x="0" y="0"/>
                                            <a:ext cx="314325" cy="209550"/>
                                          </a:xfrm>
                                          <a:prstGeom prst="rect">
                                            <a:avLst/>
                                          </a:prstGeom>
                                        </pic:spPr>
                                      </pic:pic>
                                    </a:graphicData>
                                  </a:graphic>
                                </wp:inline>
                              </w:drawing>
                            </w:r>
                            <w:bookmarkStart w:id="100" w:name="i-51"/>
                            <w:bookmarkEnd w:id="100"/>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8"/>
        <w:gridCol w:w="253"/>
        <w:gridCol w:w="255"/>
        <w:gridCol w:w="109"/>
        <w:gridCol w:w="109"/>
        <w:gridCol w:w="109"/>
        <w:gridCol w:w="3064"/>
        <w:gridCol w:w="2808"/>
        <w:gridCol w:w="2837"/>
        <w:gridCol w:w="109"/>
        <w:gridCol w:w="109"/>
        <w:gridCol w:w="155"/>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Description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ex101_63026.htm">
              <w:r>
                <w:rPr>
                  <w:rStyle w:val="InternetLink"/>
                  <w:rFonts w:ascii="Arial;sans-serif" w:hAnsi="Arial;sans-serif"/>
                  <w:b w:val="false"/>
                  <w:color w:val="0000FF"/>
                  <w:sz w:val="20"/>
                  <w:u w:val="single"/>
                </w:rPr>
                <w:t>Offer of Employment Letter between the Registrant and Amit Banati, dated June 12, 2026</w:t>
              </w:r>
            </w:hyperlink>
            <w:r>
              <w:rPr>
                <w:rFonts w:ascii="Arial;sans-serif" w:hAnsi="Arial;sans-serif"/>
                <w:b w:val="false"/>
                <w:color w:val="000000"/>
                <w:sz w:val="20"/>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_63026.htm">
              <w:r>
                <w:rPr>
                  <w:rStyle w:val="InternetLink"/>
                  <w:rFonts w:ascii="Arial;sans-serif" w:hAnsi="Arial;sans-serif"/>
                  <w:b w:val="false"/>
                  <w:color w:val="0000FF"/>
                  <w:sz w:val="20"/>
                  <w:u w:val="single"/>
                </w:rPr>
                <w:t>Certification of Chief Executive Officer pursuant to Rule 13a-14(a)/15d-14(a) of the Securities Exchange Act of 1934, as amended.</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_63026.htm">
              <w:r>
                <w:rPr>
                  <w:rStyle w:val="InternetLink"/>
                  <w:rFonts w:ascii="Arial;sans-serif" w:hAnsi="Arial;sans-serif"/>
                  <w:b w:val="false"/>
                  <w:color w:val="0000FF"/>
                  <w:sz w:val="20"/>
                  <w:u w:val="single"/>
                </w:rPr>
                <w:t>Certification of Chief Financial Officer pursuant to Rule 13a-14(a)/15d-14(a) of the Securities Exchange Act of 1934, as amended.</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_63026.htm">
              <w:r>
                <w:rPr>
                  <w:rStyle w:val="InternetLink"/>
                  <w:rFonts w:ascii="Arial;sans-serif" w:hAnsi="Arial;sans-serif"/>
                  <w:b w:val="false"/>
                  <w:color w:val="0000FF"/>
                  <w:sz w:val="20"/>
                  <w:u w:val="single"/>
                </w:rPr>
                <w:t>Certifications of Chief Executive Officer and Chief Financial Officer pursuant to 18 U.S.C. 1350, as adopted pursuant to Section 906 of the Sarbanes-Oxley Act of 2002.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 xml:space="preserve">The following materials from Mondelēz International’s Quarterly Report on Form 10-Q for the quarter ended June 30, 2026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(vi) Notes to Condensed Consolidated Financial Statements and (vii) Part II, Item 5.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cover page from Mondelēz International’s Quarterly Report on Form 10-Q for the quarter ended June 30, 2026, formatted in Inline XBRL (included as Exhibit 101).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Indicates a management contract or compensatory plan or arrangement.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0"/>
        <w:ind w:left="0" w:right="0" w:firstLine="14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92785"/>
                <wp:effectExtent l="0" t="0" r="0" b="0"/>
                <wp:wrapNone/>
                <wp:docPr id="153" name="Frame5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2" descr=""/>
                                                <pic:cNvPicPr>
                                                  <a:picLocks noChangeAspect="1" noChangeArrowheads="1"/>
                                                </pic:cNvPicPr>
                                              </pic:nvPicPr>
                                              <pic:blipFill>
                                                <a:blip r:embed="rId103"/>
                                                <a:stretch>
                                                  <a:fillRect/>
                                                </a:stretch>
                                              </pic:blipFill>
                                              <pic:spPr bwMode="auto">
                                                <a:xfrm>
                                                  <a:off x="0" y="0"/>
                                                  <a:ext cx="314325" cy="209550"/>
                                                </a:xfrm>
                                                <a:prstGeom prst="rect">
                                                  <a:avLst/>
                                                </a:prstGeom>
                                              </pic:spPr>
                                            </pic:pic>
                                          </a:graphicData>
                                        </a:graphic>
                                      </wp:inline>
                                    </w:drawing>
                                  </w:r>
                                  <w:bookmarkStart w:id="101" w:name="i-52"/>
                                  <w:bookmarkEnd w:id="10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2" descr=""/>
                                          <pic:cNvPicPr>
                                            <a:picLocks noChangeAspect="1" noChangeArrowheads="1"/>
                                          </pic:cNvPicPr>
                                        </pic:nvPicPr>
                                        <pic:blipFill>
                                          <a:blip r:embed="rId104"/>
                                          <a:stretch>
                                            <a:fillRect/>
                                          </a:stretch>
                                        </pic:blipFill>
                                        <pic:spPr bwMode="auto">
                                          <a:xfrm>
                                            <a:off x="0" y="0"/>
                                            <a:ext cx="314325" cy="209550"/>
                                          </a:xfrm>
                                          <a:prstGeom prst="rect">
                                            <a:avLst/>
                                          </a:prstGeom>
                                        </pic:spPr>
                                      </pic:pic>
                                    </a:graphicData>
                                  </a:graphic>
                                </wp:inline>
                              </w:drawing>
                            </w:r>
                            <w:bookmarkStart w:id="102" w:name="i-52"/>
                            <w:bookmarkEnd w:id="102"/>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710b02758484c5b9569a0148d11c5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3376" w:type="dxa"/>
        <w:jc w:val="left"/>
        <w:tblInd w:w="0" w:type="dxa"/>
        <w:tblLayout w:type="fixed"/>
        <w:tblCellMar>
          <w:top w:w="28" w:type="dxa"/>
          <w:left w:w="28" w:type="dxa"/>
          <w:bottom w:w="28" w:type="dxa"/>
          <w:right w:w="28" w:type="dxa"/>
        </w:tblCellMar>
      </w:tblPr>
      <w:tblGrid>
        <w:gridCol w:w="1081"/>
        <w:gridCol w:w="950"/>
        <w:gridCol w:w="1345"/>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MONDELĒZ INTERNATIONAL, INC.</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 BRIAN STEVENS</w:t>
            </w:r>
          </w:p>
        </w:tc>
      </w:tr>
      <w:tr>
        <w:trPr/>
        <w:tc>
          <w:tcPr>
            <w:tcW w:w="3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Brian Stevens</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Senior Vice President, </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Controller and</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Accounting Officer</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(Duly Authorized Officer)</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28, 2026</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92785"/>
                <wp:effectExtent l="0" t="0" r="0" b="0"/>
                <wp:wrapNone/>
                <wp:docPr id="156" name="Frame5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3" descr=""/>
                                                <pic:cNvPicPr>
                                                  <a:picLocks noChangeAspect="1" noChangeArrowheads="1"/>
                                                </pic:cNvPicPr>
                                              </pic:nvPicPr>
                                              <pic:blipFill>
                                                <a:blip r:embed="rId105"/>
                                                <a:stretch>
                                                  <a:fillRect/>
                                                </a:stretch>
                                              </pic:blipFill>
                                              <pic:spPr bwMode="auto">
                                                <a:xfrm>
                                                  <a:off x="0" y="0"/>
                                                  <a:ext cx="314325" cy="209550"/>
                                                </a:xfrm>
                                                <a:prstGeom prst="rect">
                                                  <a:avLst/>
                                                </a:prstGeom>
                                              </pic:spPr>
                                            </pic:pic>
                                          </a:graphicData>
                                        </a:graphic>
                                      </wp:inline>
                                    </w:drawing>
                                  </w:r>
                                  <w:bookmarkStart w:id="103" w:name="i-53"/>
                                  <w:bookmarkEnd w:id="10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51</w:t>
                            </w:r>
                          </w:p>
                        </w:tc>
                        <w:tc>
                          <w:tcPr>
                            <w:tcW w:w="6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14325" cy="209550"/>
                                  <wp:effectExtent l="0" t="0" r="0" b="0"/>
                                  <wp:docPr id="15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3" descr=""/>
                                          <pic:cNvPicPr>
                                            <a:picLocks noChangeAspect="1" noChangeArrowheads="1"/>
                                          </pic:cNvPicPr>
                                        </pic:nvPicPr>
                                        <pic:blipFill>
                                          <a:blip r:embed="rId106"/>
                                          <a:stretch>
                                            <a:fillRect/>
                                          </a:stretch>
                                        </pic:blipFill>
                                        <pic:spPr bwMode="auto">
                                          <a:xfrm>
                                            <a:off x="0" y="0"/>
                                            <a:ext cx="314325" cy="209550"/>
                                          </a:xfrm>
                                          <a:prstGeom prst="rect">
                                            <a:avLst/>
                                          </a:prstGeom>
                                        </pic:spPr>
                                      </pic:pic>
                                    </a:graphicData>
                                  </a:graphic>
                                </wp:inline>
                              </w:drawing>
                            </w:r>
                            <w:bookmarkStart w:id="104" w:name="i-53"/>
                            <w:bookmarkEnd w:id="104"/>
                          </w:p>
                        </w:tc>
                      </w:tr>
                    </w:tbl>
                    <w:p>
                      <w:pPr>
                        <w:pStyle w:val="TextBody"/>
                        <w:bidi w:val="0"/>
                        <w:spacing w:before="0" w:after="0"/>
                        <w:jc w:val="center"/>
                        <w:rPr/>
                      </w:pPr>
                      <w:r>
                        <w:rPr/>
                      </w:r>
                    </w:p>
                  </w:txbxContent>
                </v:textbox>
                <w10:wrap type="none"/>
              </v:rect>
            </w:pict>
          </mc:Fallback>
        </mc:AlternateContent>
      </w:r>
    </w:p>
    <w:tbl>
      <w:tblPr>
        <w:tblW w:w="3338" w:type="dxa"/>
        <w:jc w:val="left"/>
        <w:tblInd w:w="0" w:type="dxa"/>
        <w:tblLayout w:type="fixed"/>
        <w:tblCellMar>
          <w:top w:w="28" w:type="dxa"/>
          <w:left w:w="28" w:type="dxa"/>
          <w:bottom w:w="28" w:type="dxa"/>
          <w:right w:w="28" w:type="dxa"/>
        </w:tblCellMar>
      </w:tblPr>
      <w:tblGrid>
        <w:gridCol w:w="536"/>
        <w:gridCol w:w="472"/>
        <w:gridCol w:w="473"/>
        <w:gridCol w:w="109"/>
        <w:gridCol w:w="109"/>
        <w:gridCol w:w="109"/>
        <w:gridCol w:w="447"/>
        <w:gridCol w:w="447"/>
        <w:gridCol w:w="636"/>
      </w:tblGrid>
      <w:tr>
        <w:trPr/>
        <w:tc>
          <w:tcPr>
            <w:tcW w:w="5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drawing>
                <wp:inline distT="0" distB="0" distL="0" distR="0">
                  <wp:extent cx="876300" cy="533400"/>
                  <wp:effectExtent l="0" t="0" r="0" b="0"/>
                  <wp:docPr id="15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4" descr=""/>
                          <pic:cNvPicPr>
                            <a:picLocks noChangeAspect="1" noChangeArrowheads="1"/>
                          </pic:cNvPicPr>
                        </pic:nvPicPr>
                        <pic:blipFill>
                          <a:blip r:embed="rId107"/>
                          <a:stretch>
                            <a:fillRect/>
                          </a:stretch>
                        </pic:blipFill>
                        <pic:spPr bwMode="auto">
                          <a:xfrm>
                            <a:off x="0" y="0"/>
                            <a:ext cx="876300" cy="5334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right"/>
              <w:rPr>
                <w:rFonts w:ascii="Arial;sans-serif" w:hAnsi="Arial;sans-serif"/>
                <w:b w:val="false"/>
                <w:color w:val="000000"/>
                <w:sz w:val="24"/>
              </w:rPr>
            </w:pPr>
            <w:r>
              <w:rPr>
                <w:rFonts w:ascii="Arial;sans-serif" w:hAnsi="Arial;sans-serif"/>
                <w:b w:val="false"/>
                <w:color w:val="000000"/>
                <w:sz w:val="24"/>
              </w:rPr>
              <w:t>Exhibit 10.1</w:t>
            </w:r>
          </w:p>
        </w:tc>
      </w:tr>
      <w:tr>
        <w:trPr/>
        <w:tc>
          <w:tcPr>
            <w:tcW w:w="1481"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 xml:space="preserve">Mondelēz International Inc. </w:t>
            </w:r>
          </w:p>
          <w:p>
            <w:pPr>
              <w:pStyle w:val="TableContents"/>
              <w:bidi w:val="0"/>
              <w:spacing w:lineRule="auto" w:line="240" w:before="0" w:after="0"/>
              <w:ind w:left="0" w:right="0" w:hanging="0"/>
              <w:jc w:val="right"/>
              <w:rPr>
                <w:rFonts w:ascii="Arial;sans-serif" w:hAnsi="Arial;sans-serif"/>
                <w:b w:val="false"/>
                <w:color w:val="000000"/>
                <w:sz w:val="12"/>
              </w:rPr>
            </w:pPr>
            <w:r>
              <w:rPr>
                <w:rFonts w:ascii="Arial;sans-serif" w:hAnsi="Arial;sans-serif"/>
                <w:b w:val="false"/>
                <w:color w:val="000000"/>
                <w:sz w:val="12"/>
              </w:rPr>
              <w:t>Chicago, IL 60607 USA</w:t>
            </w:r>
          </w:p>
        </w:tc>
      </w:tr>
      <w:tr>
        <w:trPr/>
        <w:tc>
          <w:tcPr>
            <w:tcW w:w="1481"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mondelezinternational.com</w:t>
            </w:r>
          </w:p>
        </w:tc>
      </w:tr>
    </w:tbl>
    <w:p>
      <w:pPr>
        <w:pStyle w:val="TextBody"/>
        <w:bidi w:val="0"/>
        <w:spacing w:before="0" w:after="0"/>
        <w:jc w:val="left"/>
        <w:rPr/>
      </w:pPr>
      <w:r>
        <w:rPr/>
      </w:r>
    </w:p>
    <w:p>
      <w:pPr>
        <w:pStyle w:val="TextBody"/>
        <w:bidi w:val="0"/>
        <w:spacing w:lineRule="auto" w:line="288" w:before="185" w:after="283"/>
        <w:jc w:val="both"/>
        <w:rPr/>
      </w:pPr>
      <w:r>
        <w:rPr>
          <w:rFonts w:ascii="Arial;sans-serif" w:hAnsi="Arial;sans-serif"/>
          <w:b/>
          <w:color w:val="000000"/>
          <w:sz w:val="24"/>
        </w:rPr>
        <w:t>PRIVATE</w:t>
      </w:r>
      <w:r>
        <w:rPr>
          <w:color w:val="000000"/>
        </w:rPr>
        <w:t xml:space="preserve"> </w:t>
      </w:r>
      <w:r>
        <w:rPr>
          <w:rFonts w:ascii="Arial;sans-serif" w:hAnsi="Arial;sans-serif"/>
          <w:b/>
          <w:color w:val="000000"/>
          <w:sz w:val="24"/>
        </w:rPr>
        <w:t>AND</w:t>
      </w:r>
      <w:r>
        <w:rPr>
          <w:color w:val="000000"/>
        </w:rPr>
        <w:t xml:space="preserve"> </w:t>
      </w:r>
      <w:r>
        <w:rPr>
          <w:rFonts w:ascii="Arial;sans-serif" w:hAnsi="Arial;sans-serif"/>
          <w:b/>
          <w:color w:val="000000"/>
          <w:sz w:val="24"/>
        </w:rPr>
        <w:t>CONFIDENTIAL</w:t>
      </w:r>
    </w:p>
    <w:p>
      <w:pPr>
        <w:pStyle w:val="TextBody"/>
        <w:bidi w:val="0"/>
        <w:spacing w:before="0" w:after="0"/>
        <w:jc w:val="left"/>
        <w:rPr/>
      </w:pPr>
      <w:r>
        <w:rPr/>
      </w:r>
    </w:p>
    <w:p>
      <w:pPr>
        <w:pStyle w:val="TextBody"/>
        <w:bidi w:val="0"/>
        <w:spacing w:lineRule="auto" w:line="556" w:before="0" w:after="0"/>
        <w:jc w:val="left"/>
        <w:rPr>
          <w:rFonts w:ascii="Arial;sans-serif" w:hAnsi="Arial;sans-serif"/>
          <w:b w:val="false"/>
          <w:color w:val="000000"/>
          <w:sz w:val="24"/>
        </w:rPr>
      </w:pPr>
      <w:r>
        <w:rPr>
          <w:rFonts w:ascii="Arial;sans-serif" w:hAnsi="Arial;sans-serif"/>
          <w:b w:val="false"/>
          <w:color w:val="000000"/>
          <w:sz w:val="24"/>
        </w:rPr>
        <w:t>Mr. Amit Banati</w:t>
      </w:r>
    </w:p>
    <w:p>
      <w:pPr>
        <w:pStyle w:val="TextBody"/>
        <w:bidi w:val="0"/>
        <w:spacing w:lineRule="auto" w:line="556" w:before="0" w:after="0"/>
        <w:jc w:val="left"/>
        <w:rPr>
          <w:rFonts w:ascii="Arial;sans-serif" w:hAnsi="Arial;sans-serif"/>
          <w:b w:val="false"/>
          <w:color w:val="000000"/>
          <w:sz w:val="24"/>
        </w:rPr>
      </w:pPr>
      <w:r>
        <w:rPr>
          <w:rFonts w:ascii="Arial;sans-serif" w:hAnsi="Arial;sans-serif"/>
          <w:b w:val="false"/>
          <w:color w:val="000000"/>
          <w:sz w:val="24"/>
        </w:rPr>
        <w:t>June 12, 2026</w:t>
      </w:r>
    </w:p>
    <w:p>
      <w:pPr>
        <w:pStyle w:val="TextBody"/>
        <w:bidi w:val="0"/>
        <w:spacing w:lineRule="auto" w:line="556" w:before="0" w:after="0"/>
        <w:jc w:val="left"/>
        <w:rPr>
          <w:rFonts w:ascii="Arial;sans-serif" w:hAnsi="Arial;sans-serif"/>
          <w:b/>
          <w:color w:val="000000"/>
          <w:sz w:val="24"/>
        </w:rPr>
      </w:pPr>
      <w:r>
        <w:rPr>
          <w:rFonts w:ascii="Arial;sans-serif" w:hAnsi="Arial;sans-serif"/>
          <w:b/>
          <w:color w:val="000000"/>
          <w:sz w:val="24"/>
        </w:rPr>
        <w:t>OFFER LETTER</w:t>
      </w:r>
    </w:p>
    <w:p>
      <w:pPr>
        <w:pStyle w:val="TextBody"/>
        <w:bidi w:val="0"/>
        <w:spacing w:lineRule="auto" w:line="288" w:before="0" w:after="0"/>
        <w:jc w:val="both"/>
        <w:rPr/>
      </w:pPr>
      <w:r>
        <w:rPr>
          <w:rFonts w:ascii="Arial;sans-serif" w:hAnsi="Arial;sans-serif"/>
          <w:b w:val="false"/>
          <w:color w:val="000000"/>
          <w:sz w:val="24"/>
        </w:rPr>
        <w:t>Dear</w:t>
      </w:r>
      <w:r>
        <w:rPr>
          <w:color w:val="000000"/>
        </w:rPr>
        <w:t xml:space="preserve"> </w:t>
      </w:r>
      <w:r>
        <w:rPr>
          <w:rFonts w:ascii="Arial;sans-serif" w:hAnsi="Arial;sans-serif"/>
          <w:b w:val="false"/>
          <w:color w:val="000000"/>
          <w:sz w:val="24"/>
        </w:rPr>
        <w:t>Amit,</w:t>
      </w:r>
    </w:p>
    <w:p>
      <w:pPr>
        <w:pStyle w:val="TextBody"/>
        <w:bidi w:val="0"/>
        <w:spacing w:lineRule="auto" w:line="288" w:before="275" w:after="283"/>
        <w:jc w:val="both"/>
        <w:rPr/>
      </w:pPr>
      <w:r>
        <w:rPr>
          <w:rFonts w:ascii="Arial;sans-serif" w:hAnsi="Arial;sans-serif"/>
          <w:b w:val="false"/>
          <w:color w:val="000000"/>
          <w:sz w:val="24"/>
        </w:rPr>
        <w:t>I</w:t>
      </w:r>
      <w:r>
        <w:rPr>
          <w:color w:val="000000"/>
        </w:rPr>
        <w:t xml:space="preserve"> </w:t>
      </w:r>
      <w:r>
        <w:rPr>
          <w:rFonts w:ascii="Arial;sans-serif" w:hAnsi="Arial;sans-serif"/>
          <w:b w:val="false"/>
          <w:color w:val="000000"/>
          <w:sz w:val="24"/>
        </w:rPr>
        <w:t>am</w:t>
      </w:r>
      <w:r>
        <w:rPr>
          <w:color w:val="000000"/>
        </w:rPr>
        <w:t xml:space="preserve"> </w:t>
      </w:r>
      <w:r>
        <w:rPr>
          <w:rFonts w:ascii="Arial;sans-serif" w:hAnsi="Arial;sans-serif"/>
          <w:b w:val="false"/>
          <w:color w:val="000000"/>
          <w:sz w:val="24"/>
        </w:rPr>
        <w:t>very</w:t>
      </w:r>
      <w:r>
        <w:rPr>
          <w:color w:val="000000"/>
        </w:rPr>
        <w:t xml:space="preserve"> </w:t>
      </w:r>
      <w:r>
        <w:rPr>
          <w:rFonts w:ascii="Arial;sans-serif" w:hAnsi="Arial;sans-serif"/>
          <w:b w:val="false"/>
          <w:color w:val="000000"/>
          <w:sz w:val="24"/>
        </w:rPr>
        <w:t>pleased</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provide</w:t>
      </w:r>
      <w:r>
        <w:rPr>
          <w:color w:val="000000"/>
        </w:rPr>
        <w:t xml:space="preserve"> </w:t>
      </w:r>
      <w:r>
        <w:rPr>
          <w:rFonts w:ascii="Arial;sans-serif" w:hAnsi="Arial;sans-serif"/>
          <w:b w:val="false"/>
          <w:color w:val="000000"/>
          <w:sz w:val="24"/>
        </w:rPr>
        <w:t>you</w:t>
      </w:r>
      <w:r>
        <w:rPr>
          <w:color w:val="000000"/>
        </w:rPr>
        <w:t xml:space="preserve"> </w:t>
      </w:r>
      <w:r>
        <w:rPr>
          <w:rFonts w:ascii="Arial;sans-serif" w:hAnsi="Arial;sans-serif"/>
          <w:b w:val="false"/>
          <w:color w:val="000000"/>
          <w:sz w:val="24"/>
        </w:rPr>
        <w:t>with</w:t>
      </w:r>
      <w:r>
        <w:rPr>
          <w:color w:val="000000"/>
        </w:rPr>
        <w:t xml:space="preserve"> </w:t>
      </w:r>
      <w:r>
        <w:rPr>
          <w:rFonts w:ascii="Arial;sans-serif" w:hAnsi="Arial;sans-serif"/>
          <w:b w:val="false"/>
          <w:color w:val="000000"/>
          <w:sz w:val="24"/>
        </w:rPr>
        <w:t>this</w:t>
      </w:r>
      <w:r>
        <w:rPr>
          <w:color w:val="000000"/>
        </w:rPr>
        <w:t xml:space="preserve"> </w:t>
      </w:r>
      <w:r>
        <w:rPr>
          <w:rFonts w:ascii="Arial;sans-serif" w:hAnsi="Arial;sans-serif"/>
          <w:b w:val="false"/>
          <w:color w:val="000000"/>
          <w:sz w:val="24"/>
        </w:rPr>
        <w:t>offer</w:t>
      </w:r>
      <w:r>
        <w:rPr>
          <w:color w:val="000000"/>
        </w:rPr>
        <w:t xml:space="preserve"> </w:t>
      </w:r>
      <w:r>
        <w:rPr>
          <w:rFonts w:ascii="Arial;sans-serif" w:hAnsi="Arial;sans-serif"/>
          <w:b w:val="false"/>
          <w:color w:val="000000"/>
          <w:sz w:val="24"/>
        </w:rPr>
        <w:t>letter</w:t>
      </w:r>
      <w:r>
        <w:rPr>
          <w:color w:val="000000"/>
        </w:rPr>
        <w:t xml:space="preserve"> </w:t>
      </w:r>
      <w:r>
        <w:rPr>
          <w:rFonts w:ascii="Arial;sans-serif" w:hAnsi="Arial;sans-serif"/>
          <w:b w:val="false"/>
          <w:color w:val="000000"/>
          <w:sz w:val="24"/>
        </w:rPr>
        <w:t>setting</w:t>
      </w:r>
      <w:r>
        <w:rPr>
          <w:color w:val="000000"/>
        </w:rPr>
        <w:t xml:space="preserve"> </w:t>
      </w:r>
      <w:r>
        <w:rPr>
          <w:rFonts w:ascii="Arial;sans-serif" w:hAnsi="Arial;sans-serif"/>
          <w:b w:val="false"/>
          <w:color w:val="000000"/>
          <w:sz w:val="24"/>
        </w:rPr>
        <w:t>forth</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terms</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your</w:t>
      </w:r>
      <w:r>
        <w:rPr>
          <w:color w:val="000000"/>
        </w:rPr>
        <w:t xml:space="preserve"> </w:t>
      </w:r>
      <w:r>
        <w:rPr>
          <w:rFonts w:ascii="Arial;sans-serif" w:hAnsi="Arial;sans-serif"/>
          <w:b w:val="false"/>
          <w:color w:val="000000"/>
          <w:sz w:val="24"/>
        </w:rPr>
        <w:t>offer</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employment (“Offer Letter”). It confirms the verbal offer previously extended to you for the position of EVP &amp; Chief Financial Officer, Mondelēz Global LLC (together with Mondelēz International, Inc., the “Company”) reporting to the Chief Executive Officer of the Company. Your principal office will be located in our Fulton Market-Chicago, Illinois office. Your employment commencement date (your “Start Date”) will be July 1, 2026.</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4"/>
        </w:rPr>
        <w:t>Your</w:t>
      </w:r>
      <w:r>
        <w:rPr>
          <w:color w:val="000000"/>
        </w:rPr>
        <w:t xml:space="preserve"> </w:t>
      </w:r>
      <w:r>
        <w:rPr>
          <w:rFonts w:ascii="Arial;sans-serif" w:hAnsi="Arial;sans-serif"/>
          <w:b w:val="false"/>
          <w:color w:val="000000"/>
          <w:sz w:val="24"/>
        </w:rPr>
        <w:t>annualized</w:t>
      </w:r>
      <w:r>
        <w:rPr>
          <w:color w:val="000000"/>
        </w:rPr>
        <w:t xml:space="preserve"> </w:t>
      </w:r>
      <w:r>
        <w:rPr>
          <w:rFonts w:ascii="Arial;sans-serif" w:hAnsi="Arial;sans-serif"/>
          <w:b w:val="false"/>
          <w:color w:val="000000"/>
          <w:sz w:val="24"/>
        </w:rPr>
        <w:t>target</w:t>
      </w:r>
      <w:r>
        <w:rPr>
          <w:color w:val="000000"/>
        </w:rPr>
        <w:t xml:space="preserve"> </w:t>
      </w:r>
      <w:r>
        <w:rPr>
          <w:rFonts w:ascii="Arial;sans-serif" w:hAnsi="Arial;sans-serif"/>
          <w:b w:val="false"/>
          <w:color w:val="000000"/>
          <w:sz w:val="24"/>
        </w:rPr>
        <w:t>compensation</w:t>
      </w:r>
      <w:r>
        <w:rPr>
          <w:color w:val="000000"/>
        </w:rPr>
        <w:t xml:space="preserve"> </w:t>
      </w:r>
      <w:r>
        <w:rPr>
          <w:rFonts w:ascii="Arial;sans-serif" w:hAnsi="Arial;sans-serif"/>
          <w:b w:val="false"/>
          <w:color w:val="000000"/>
          <w:sz w:val="24"/>
        </w:rPr>
        <w:t>opportunity</w:t>
      </w:r>
      <w:r>
        <w:rPr>
          <w:color w:val="000000"/>
        </w:rPr>
        <w:t xml:space="preserve"> </w:t>
      </w:r>
      <w:r>
        <w:rPr>
          <w:rFonts w:ascii="Arial;sans-serif" w:hAnsi="Arial;sans-serif"/>
          <w:b w:val="false"/>
          <w:color w:val="000000"/>
          <w:sz w:val="24"/>
        </w:rPr>
        <w:t>will</w:t>
      </w:r>
      <w:r>
        <w:rPr>
          <w:color w:val="000000"/>
        </w:rPr>
        <w:t xml:space="preserve"> </w:t>
      </w:r>
      <w:r>
        <w:rPr>
          <w:rFonts w:ascii="Arial;sans-serif" w:hAnsi="Arial;sans-serif"/>
          <w:b w:val="false"/>
          <w:color w:val="000000"/>
          <w:sz w:val="24"/>
        </w:rPr>
        <w:t>be</w:t>
      </w:r>
      <w:r>
        <w:rPr>
          <w:color w:val="000000"/>
        </w:rPr>
        <w:t xml:space="preserve"> </w:t>
      </w:r>
      <w:r>
        <w:rPr>
          <w:rFonts w:ascii="Arial;sans-serif" w:hAnsi="Arial;sans-serif"/>
          <w:b w:val="false"/>
          <w:color w:val="000000"/>
          <w:sz w:val="24"/>
        </w:rPr>
        <w:t>as</w:t>
      </w:r>
      <w:r>
        <w:rPr>
          <w:color w:val="000000"/>
        </w:rPr>
        <w:t xml:space="preserve"> </w:t>
      </w:r>
      <w:r>
        <w:rPr>
          <w:rFonts w:ascii="Arial;sans-serif" w:hAnsi="Arial;sans-serif"/>
          <w:b w:val="false"/>
          <w:color w:val="000000"/>
          <w:sz w:val="24"/>
        </w:rPr>
        <w:t>follows: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4"/>
          <w:u w:val="single"/>
        </w:rPr>
        <w:t>Annualized</w:t>
      </w:r>
      <w:r>
        <w:rPr>
          <w:color w:val="000000"/>
          <w:u w:val="single"/>
        </w:rPr>
        <w:t xml:space="preserve"> </w:t>
      </w:r>
      <w:r>
        <w:rPr>
          <w:rFonts w:ascii="Arial;sans-serif" w:hAnsi="Arial;sans-serif"/>
          <w:b/>
          <w:color w:val="000000"/>
          <w:sz w:val="24"/>
          <w:u w:val="single"/>
        </w:rPr>
        <w:t>Compensation</w:t>
      </w:r>
      <w:r>
        <w:rPr>
          <w:color w:val="000000"/>
          <w:u w:val="single"/>
        </w:rPr>
        <w:t xml:space="preserve"> </w:t>
      </w:r>
      <w:r>
        <w:rPr>
          <w:rFonts w:ascii="Arial;sans-serif" w:hAnsi="Arial;sans-serif"/>
          <w:b/>
          <w:color w:val="000000"/>
          <w:sz w:val="24"/>
          <w:u w:val="single"/>
        </w:rPr>
        <w:t>(Target</w:t>
      </w:r>
      <w:r>
        <w:rPr>
          <w:color w:val="000000"/>
          <w:u w:val="single"/>
        </w:rPr>
        <w:t xml:space="preserve"> </w:t>
      </w:r>
      <w:r>
        <w:rPr>
          <w:rFonts w:ascii="Arial;sans-serif" w:hAnsi="Arial;sans-serif"/>
          <w:b/>
          <w:color w:val="000000"/>
          <w:sz w:val="24"/>
          <w:u w:val="single"/>
        </w:rPr>
        <w:t>Opportunity)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Annual</w:t>
      </w:r>
      <w:r>
        <w:rPr>
          <w:color w:val="000000"/>
        </w:rPr>
        <w:t xml:space="preserve"> </w:t>
      </w:r>
      <w:r>
        <w:rPr>
          <w:rFonts w:ascii="Arial;sans-serif" w:hAnsi="Arial;sans-serif"/>
          <w:b w:val="false"/>
          <w:color w:val="000000"/>
          <w:sz w:val="24"/>
        </w:rPr>
        <w:t>Base</w:t>
      </w:r>
      <w:r>
        <w:rPr>
          <w:color w:val="000000"/>
        </w:rPr>
        <w:t xml:space="preserve"> </w:t>
      </w:r>
      <w:r>
        <w:rPr>
          <w:rFonts w:ascii="Arial;sans-serif" w:hAnsi="Arial;sans-serif"/>
          <w:b w:val="false"/>
          <w:color w:val="000000"/>
          <w:sz w:val="24"/>
        </w:rPr>
        <w:t>Salary</w:t>
      </w:r>
      <w:r>
        <w:rPr>
          <w:color w:val="000000"/>
        </w:rPr>
        <w:t>    </w:t>
      </w:r>
      <w:r>
        <w:rPr>
          <w:rFonts w:ascii="Arial;sans-serif" w:hAnsi="Arial;sans-serif"/>
          <w:b w:val="false"/>
          <w:color w:val="000000"/>
          <w:sz w:val="24"/>
        </w:rPr>
        <w:t>$1,050,000</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Annual</w:t>
      </w:r>
      <w:r>
        <w:rPr>
          <w:color w:val="000000"/>
        </w:rPr>
        <w:t xml:space="preserve"> </w:t>
      </w:r>
      <w:r>
        <w:rPr>
          <w:rFonts w:ascii="Arial;sans-serif" w:hAnsi="Arial;sans-serif"/>
          <w:b w:val="false"/>
          <w:color w:val="000000"/>
          <w:sz w:val="24"/>
        </w:rPr>
        <w:t>Incentive</w:t>
      </w:r>
      <w:r>
        <w:rPr>
          <w:color w:val="000000"/>
        </w:rPr>
        <w:t xml:space="preserve"> </w:t>
      </w:r>
      <w:r>
        <w:rPr>
          <w:rFonts w:ascii="Arial;sans-serif" w:hAnsi="Arial;sans-serif"/>
          <w:b w:val="false"/>
          <w:color w:val="000000"/>
          <w:sz w:val="24"/>
        </w:rPr>
        <w:t>Plan</w:t>
      </w:r>
      <w:r>
        <w:rPr>
          <w:color w:val="000000"/>
        </w:rPr>
        <w:t xml:space="preserve"> </w:t>
      </w:r>
      <w:r>
        <w:rPr>
          <w:rFonts w:ascii="Arial;sans-serif" w:hAnsi="Arial;sans-serif"/>
          <w:b w:val="false"/>
          <w:color w:val="000000"/>
          <w:sz w:val="24"/>
        </w:rPr>
        <w:t>(Target</w:t>
      </w:r>
      <w:r>
        <w:rPr>
          <w:color w:val="000000"/>
        </w:rPr>
        <w:t xml:space="preserve"> </w:t>
      </w:r>
      <w:r>
        <w:rPr>
          <w:rFonts w:ascii="Arial;sans-serif" w:hAnsi="Arial;sans-serif"/>
          <w:b w:val="false"/>
          <w:color w:val="000000"/>
          <w:sz w:val="24"/>
        </w:rPr>
        <w:t>-</w:t>
      </w:r>
      <w:r>
        <w:rPr>
          <w:color w:val="000000"/>
        </w:rPr>
        <w:t xml:space="preserve"> </w:t>
      </w:r>
      <w:r>
        <w:rPr>
          <w:rFonts w:ascii="Arial;sans-serif" w:hAnsi="Arial;sans-serif"/>
          <w:b w:val="false"/>
          <w:color w:val="000000"/>
          <w:sz w:val="24"/>
        </w:rPr>
        <w:t>125%*)</w:t>
      </w:r>
      <w:r>
        <w:rPr>
          <w:color w:val="000000"/>
        </w:rPr>
        <w:t>    </w:t>
      </w:r>
      <w:r>
        <w:rPr>
          <w:rFonts w:ascii="Arial;sans-serif" w:hAnsi="Arial;sans-serif"/>
          <w:b w:val="false"/>
          <w:color w:val="000000"/>
          <w:sz w:val="24"/>
        </w:rPr>
        <w:t>$1,312,500</w:t>
      </w:r>
    </w:p>
    <w:p>
      <w:pPr>
        <w:pStyle w:val="TextBody"/>
        <w:bidi w:val="0"/>
        <w:spacing w:before="0" w:after="0"/>
        <w:jc w:val="left"/>
        <w:rPr/>
      </w:pPr>
      <w:r>
        <w:rPr/>
      </w:r>
    </w:p>
    <w:p>
      <w:pPr>
        <w:pStyle w:val="TextBody"/>
        <w:bidi w:val="0"/>
        <w:spacing w:lineRule="auto" w:line="556" w:before="0" w:after="0"/>
        <w:jc w:val="left"/>
        <w:rPr/>
      </w:pPr>
      <w:r>
        <w:rPr>
          <w:rFonts w:ascii="Arial;sans-serif" w:hAnsi="Arial;sans-serif"/>
          <w:b w:val="false"/>
          <w:color w:val="000000"/>
          <w:sz w:val="24"/>
        </w:rPr>
        <w:t>Target Annual Long-Term Incentive Range**    $4,000,000</w:t>
      </w:r>
      <w:r>
        <w:rPr>
          <w:color w:val="000000"/>
        </w:rPr>
        <w:t xml:space="preserve"> </w:t>
      </w:r>
      <w:r>
        <w:rPr>
          <w:rFonts w:ascii="Arial;sans-serif" w:hAnsi="Arial;sans-serif"/>
          <w:b w:val="false"/>
          <w:color w:val="000000"/>
          <w:sz w:val="24"/>
        </w:rPr>
        <w:t>-</w:t>
      </w:r>
      <w:r>
        <w:rPr>
          <w:color w:val="000000"/>
        </w:rPr>
        <w:t xml:space="preserve"> </w:t>
      </w:r>
      <w:r>
        <w:rPr>
          <w:rFonts w:ascii="Arial;sans-serif" w:hAnsi="Arial;sans-serif"/>
          <w:b w:val="false"/>
          <w:color w:val="000000"/>
          <w:sz w:val="24"/>
        </w:rPr>
        <w:t>$5,000,000</w:t>
      </w:r>
      <w:r>
        <w:rPr>
          <w:color w:val="000000"/>
        </w:rPr>
        <w:t xml:space="preserve"> </w:t>
      </w:r>
      <w:r>
        <w:rPr>
          <w:rFonts w:ascii="Arial;sans-serif" w:hAnsi="Arial;sans-serif"/>
          <w:b w:val="false"/>
          <w:color w:val="000000"/>
          <w:sz w:val="24"/>
        </w:rPr>
        <w:t>-</w:t>
      </w:r>
      <w:r>
        <w:rPr>
          <w:color w:val="000000"/>
        </w:rPr>
        <w:t xml:space="preserve"> </w:t>
      </w:r>
      <w:r>
        <w:rPr>
          <w:rFonts w:ascii="Arial;sans-serif" w:hAnsi="Arial;sans-serif"/>
          <w:b w:val="false"/>
          <w:color w:val="000000"/>
          <w:sz w:val="24"/>
        </w:rPr>
        <w:t>$6,000,000 Total</w:t>
      </w:r>
      <w:r>
        <w:rPr>
          <w:color w:val="000000"/>
        </w:rPr>
        <w:t xml:space="preserve"> </w:t>
      </w:r>
      <w:r>
        <w:rPr>
          <w:rFonts w:ascii="Arial;sans-serif" w:hAnsi="Arial;sans-serif"/>
          <w:b w:val="false"/>
          <w:color w:val="000000"/>
          <w:sz w:val="24"/>
        </w:rPr>
        <w:t>Target</w:t>
      </w:r>
      <w:r>
        <w:rPr>
          <w:color w:val="000000"/>
        </w:rPr>
        <w:t xml:space="preserve"> </w:t>
      </w:r>
      <w:r>
        <w:rPr>
          <w:rFonts w:ascii="Arial;sans-serif" w:hAnsi="Arial;sans-serif"/>
          <w:b w:val="false"/>
          <w:color w:val="000000"/>
          <w:sz w:val="24"/>
        </w:rPr>
        <w:t>Compensation</w:t>
      </w:r>
      <w:r>
        <w:rPr>
          <w:color w:val="000000"/>
        </w:rPr>
        <w:t xml:space="preserve"> </w:t>
      </w:r>
      <w:r>
        <w:rPr>
          <w:rFonts w:ascii="Arial;sans-serif" w:hAnsi="Arial;sans-serif"/>
          <w:b w:val="false"/>
          <w:color w:val="000000"/>
          <w:sz w:val="24"/>
        </w:rPr>
        <w:t>Opportunity</w:t>
      </w:r>
      <w:r>
        <w:rPr>
          <w:color w:val="000000"/>
        </w:rPr>
        <w:t>    </w:t>
      </w:r>
      <w:r>
        <w:rPr>
          <w:rFonts w:ascii="Arial;sans-serif" w:hAnsi="Arial;sans-serif"/>
          <w:b w:val="false"/>
          <w:color w:val="000000"/>
          <w:sz w:val="24"/>
        </w:rPr>
        <w:t>$6,362,500</w:t>
      </w:r>
      <w:r>
        <w:rPr>
          <w:color w:val="000000"/>
        </w:rPr>
        <w:t xml:space="preserve"> </w:t>
      </w:r>
      <w:r>
        <w:rPr>
          <w:rFonts w:ascii="Arial;sans-serif" w:hAnsi="Arial;sans-serif"/>
          <w:b w:val="false"/>
          <w:color w:val="000000"/>
          <w:sz w:val="24"/>
        </w:rPr>
        <w:t>-</w:t>
      </w:r>
      <w:r>
        <w:rPr>
          <w:color w:val="000000"/>
        </w:rPr>
        <w:t xml:space="preserve"> </w:t>
      </w:r>
      <w:r>
        <w:rPr>
          <w:rFonts w:ascii="Arial;sans-serif" w:hAnsi="Arial;sans-serif"/>
          <w:b w:val="false"/>
          <w:color w:val="000000"/>
          <w:sz w:val="24"/>
        </w:rPr>
        <w:t>$7,362,500</w:t>
      </w:r>
      <w:r>
        <w:rPr>
          <w:color w:val="000000"/>
        </w:rPr>
        <w:t xml:space="preserve"> </w:t>
      </w:r>
      <w:r>
        <w:rPr>
          <w:rFonts w:ascii="Arial;sans-serif" w:hAnsi="Arial;sans-serif"/>
          <w:b w:val="false"/>
          <w:color w:val="000000"/>
          <w:sz w:val="24"/>
        </w:rPr>
        <w:t>-</w:t>
      </w:r>
      <w:r>
        <w:rPr>
          <w:color w:val="000000"/>
        </w:rPr>
        <w:t xml:space="preserve"> </w:t>
      </w:r>
      <w:r>
        <w:rPr>
          <w:rFonts w:ascii="Arial;sans-serif" w:hAnsi="Arial;sans-serif"/>
          <w:b w:val="false"/>
          <w:color w:val="000000"/>
          <w:sz w:val="24"/>
        </w:rPr>
        <w:t>$8,362,500</w:t>
      </w:r>
    </w:p>
    <w:p>
      <w:pPr>
        <w:pStyle w:val="TextBody"/>
        <w:bidi w:val="0"/>
        <w:spacing w:lineRule="auto" w:line="288" w:before="0" w:after="0"/>
        <w:jc w:val="left"/>
        <w:rPr/>
      </w:pPr>
      <w:r>
        <w:rPr>
          <w:rFonts w:ascii="Arial;sans-serif" w:hAnsi="Arial;sans-serif"/>
          <w:b w:val="false"/>
          <w:color w:val="000000"/>
          <w:sz w:val="24"/>
        </w:rPr>
        <w:t>Your</w:t>
      </w:r>
      <w:r>
        <w:rPr>
          <w:color w:val="000000"/>
        </w:rPr>
        <w:t xml:space="preserve"> </w:t>
      </w:r>
      <w:r>
        <w:rPr>
          <w:rFonts w:ascii="Arial;sans-serif" w:hAnsi="Arial;sans-serif"/>
          <w:b w:val="false"/>
          <w:color w:val="000000"/>
          <w:sz w:val="24"/>
        </w:rPr>
        <w:t>Annual</w:t>
      </w:r>
      <w:r>
        <w:rPr>
          <w:color w:val="000000"/>
        </w:rPr>
        <w:t xml:space="preserve"> </w:t>
      </w:r>
      <w:r>
        <w:rPr>
          <w:rFonts w:ascii="Arial;sans-serif" w:hAnsi="Arial;sans-serif"/>
          <w:b w:val="false"/>
          <w:color w:val="000000"/>
          <w:sz w:val="24"/>
        </w:rPr>
        <w:t>Base</w:t>
      </w:r>
      <w:r>
        <w:rPr>
          <w:color w:val="000000"/>
        </w:rPr>
        <w:t xml:space="preserve"> </w:t>
      </w:r>
      <w:r>
        <w:rPr>
          <w:rFonts w:ascii="Arial;sans-serif" w:hAnsi="Arial;sans-serif"/>
          <w:b w:val="false"/>
          <w:color w:val="000000"/>
          <w:sz w:val="24"/>
        </w:rPr>
        <w:t>Salary</w:t>
      </w:r>
      <w:r>
        <w:rPr>
          <w:color w:val="000000"/>
        </w:rPr>
        <w:t xml:space="preserve"> </w:t>
      </w:r>
      <w:r>
        <w:rPr>
          <w:rFonts w:ascii="Arial;sans-serif" w:hAnsi="Arial;sans-serif"/>
          <w:b w:val="false"/>
          <w:color w:val="000000"/>
          <w:sz w:val="24"/>
        </w:rPr>
        <w:t>will</w:t>
      </w:r>
      <w:r>
        <w:rPr>
          <w:color w:val="000000"/>
        </w:rPr>
        <w:t xml:space="preserve"> </w:t>
      </w:r>
      <w:r>
        <w:rPr>
          <w:rFonts w:ascii="Arial;sans-serif" w:hAnsi="Arial;sans-serif"/>
          <w:b w:val="false"/>
          <w:color w:val="000000"/>
          <w:sz w:val="24"/>
        </w:rPr>
        <w:t>be</w:t>
      </w:r>
      <w:r>
        <w:rPr>
          <w:color w:val="000000"/>
        </w:rPr>
        <w:t xml:space="preserve"> </w:t>
      </w:r>
      <w:r>
        <w:rPr>
          <w:rFonts w:ascii="Arial;sans-serif" w:hAnsi="Arial;sans-serif"/>
          <w:b w:val="false"/>
          <w:color w:val="000000"/>
          <w:sz w:val="24"/>
        </w:rPr>
        <w:t>subject</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an</w:t>
      </w:r>
      <w:r>
        <w:rPr>
          <w:color w:val="000000"/>
        </w:rPr>
        <w:t xml:space="preserve"> </w:t>
      </w:r>
      <w:r>
        <w:rPr>
          <w:rFonts w:ascii="Arial;sans-serif" w:hAnsi="Arial;sans-serif"/>
          <w:b w:val="false"/>
          <w:color w:val="000000"/>
          <w:sz w:val="24"/>
        </w:rPr>
        <w:t>annual</w:t>
      </w:r>
      <w:r>
        <w:rPr>
          <w:color w:val="000000"/>
        </w:rPr>
        <w:t xml:space="preserve"> </w:t>
      </w:r>
      <w:r>
        <w:rPr>
          <w:rFonts w:ascii="Arial;sans-serif" w:hAnsi="Arial;sans-serif"/>
          <w:b w:val="false"/>
          <w:color w:val="000000"/>
          <w:sz w:val="24"/>
        </w:rPr>
        <w:t>review</w:t>
      </w:r>
      <w:r>
        <w:rPr>
          <w:color w:val="000000"/>
        </w:rPr>
        <w:t xml:space="preserve"> </w:t>
      </w:r>
      <w:r>
        <w:rPr>
          <w:rFonts w:ascii="Arial;sans-serif" w:hAnsi="Arial;sans-serif"/>
          <w:b w:val="false"/>
          <w:color w:val="000000"/>
          <w:sz w:val="24"/>
        </w:rPr>
        <w:t>by</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Board</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4"/>
        </w:rPr>
        <w:t>adjustment</w:t>
      </w:r>
      <w:r>
        <w:rPr>
          <w:color w:val="000000"/>
        </w:rPr>
        <w:t xml:space="preserve"> </w:t>
      </w:r>
      <w:r>
        <w:rPr>
          <w:rFonts w:ascii="Arial;sans-serif" w:hAnsi="Arial;sans-serif"/>
          <w:b w:val="false"/>
          <w:color w:val="000000"/>
          <w:sz w:val="24"/>
        </w:rPr>
        <w:t>in</w:t>
      </w:r>
      <w:r>
        <w:rPr>
          <w:color w:val="000000"/>
        </w:rPr>
        <w:t xml:space="preserve"> </w:t>
      </w:r>
      <w:r>
        <w:rPr>
          <w:rFonts w:ascii="Arial;sans-serif" w:hAnsi="Arial;sans-serif"/>
          <w:b w:val="false"/>
          <w:color w:val="000000"/>
          <w:sz w:val="24"/>
        </w:rPr>
        <w:t>the Board’s sole discretion. The next annual review will be in 2027.</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w:t>
      </w:r>
      <w:r>
        <w:rPr>
          <w:color w:val="000000"/>
        </w:rPr>
        <w:t xml:space="preserve"> </w:t>
      </w:r>
      <w:r>
        <w:rPr>
          <w:rFonts w:ascii="Arial;sans-serif" w:hAnsi="Arial;sans-serif"/>
          <w:b w:val="false"/>
          <w:color w:val="000000"/>
          <w:sz w:val="18"/>
        </w:rPr>
        <w:t>Target</w:t>
      </w:r>
      <w:r>
        <w:rPr>
          <w:color w:val="000000"/>
        </w:rPr>
        <w:t xml:space="preserve"> </w:t>
      </w:r>
      <w:r>
        <w:rPr>
          <w:rFonts w:ascii="Arial;sans-serif" w:hAnsi="Arial;sans-serif"/>
          <w:b w:val="false"/>
          <w:color w:val="000000"/>
          <w:sz w:val="18"/>
        </w:rPr>
        <w:t>as</w:t>
      </w:r>
      <w:r>
        <w:rPr>
          <w:color w:val="000000"/>
        </w:rPr>
        <w:t xml:space="preserve"> </w:t>
      </w:r>
      <w:r>
        <w:rPr>
          <w:rFonts w:ascii="Arial;sans-serif" w:hAnsi="Arial;sans-serif"/>
          <w:b w:val="false"/>
          <w:color w:val="000000"/>
          <w:sz w:val="18"/>
        </w:rPr>
        <w:t>a</w:t>
      </w:r>
      <w:r>
        <w:rPr>
          <w:color w:val="000000"/>
        </w:rPr>
        <w:t xml:space="preserve"> </w:t>
      </w:r>
      <w:r>
        <w:rPr>
          <w:rFonts w:ascii="Arial;sans-serif" w:hAnsi="Arial;sans-serif"/>
          <w:b w:val="false"/>
          <w:color w:val="000000"/>
          <w:sz w:val="18"/>
        </w:rPr>
        <w:t>percent</w:t>
      </w:r>
      <w:r>
        <w:rPr>
          <w:color w:val="000000"/>
        </w:rPr>
        <w:t xml:space="preserve"> </w:t>
      </w:r>
      <w:r>
        <w:rPr>
          <w:rFonts w:ascii="Arial;sans-serif" w:hAnsi="Arial;sans-serif"/>
          <w:b w:val="false"/>
          <w:color w:val="000000"/>
          <w:sz w:val="18"/>
        </w:rPr>
        <w:t>of</w:t>
      </w:r>
      <w:r>
        <w:rPr>
          <w:color w:val="000000"/>
        </w:rPr>
        <w:t xml:space="preserve"> </w:t>
      </w:r>
      <w:r>
        <w:rPr>
          <w:rFonts w:ascii="Arial;sans-serif" w:hAnsi="Arial;sans-serif"/>
          <w:b w:val="false"/>
          <w:color w:val="000000"/>
          <w:sz w:val="18"/>
        </w:rPr>
        <w:t>Annual</w:t>
      </w:r>
      <w:r>
        <w:rPr>
          <w:color w:val="000000"/>
        </w:rPr>
        <w:t xml:space="preserve"> </w:t>
      </w:r>
      <w:r>
        <w:rPr>
          <w:rFonts w:ascii="Arial;sans-serif" w:hAnsi="Arial;sans-serif"/>
          <w:b w:val="false"/>
          <w:color w:val="000000"/>
          <w:sz w:val="18"/>
        </w:rPr>
        <w:t>Base</w:t>
      </w:r>
      <w:r>
        <w:rPr>
          <w:color w:val="000000"/>
        </w:rPr>
        <w:t xml:space="preserve"> </w:t>
      </w:r>
      <w:r>
        <w:rPr>
          <w:rFonts w:ascii="Arial;sans-serif" w:hAnsi="Arial;sans-serif"/>
          <w:b w:val="false"/>
          <w:color w:val="000000"/>
          <w:sz w:val="18"/>
        </w:rPr>
        <w:t>Salary.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**The value</w:t>
      </w:r>
      <w:r>
        <w:rPr>
          <w:color w:val="000000"/>
        </w:rPr>
        <w:t xml:space="preserve"> </w:t>
      </w:r>
      <w:r>
        <w:rPr>
          <w:rFonts w:ascii="Arial;sans-serif" w:hAnsi="Arial;sans-serif"/>
          <w:b w:val="false"/>
          <w:color w:val="000000"/>
          <w:sz w:val="18"/>
        </w:rPr>
        <w:t>of</w:t>
      </w:r>
      <w:r>
        <w:rPr>
          <w:color w:val="000000"/>
        </w:rPr>
        <w:t xml:space="preserve"> </w:t>
      </w: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long-term</w:t>
      </w:r>
      <w:r>
        <w:rPr>
          <w:color w:val="000000"/>
        </w:rPr>
        <w:t xml:space="preserve"> </w:t>
      </w:r>
      <w:r>
        <w:rPr>
          <w:rFonts w:ascii="Arial;sans-serif" w:hAnsi="Arial;sans-serif"/>
          <w:b w:val="false"/>
          <w:color w:val="000000"/>
          <w:sz w:val="18"/>
        </w:rPr>
        <w:t>incentive</w:t>
      </w:r>
      <w:r>
        <w:rPr>
          <w:color w:val="000000"/>
        </w:rPr>
        <w:t xml:space="preserve"> </w:t>
      </w:r>
      <w:r>
        <w:rPr>
          <w:rFonts w:ascii="Arial;sans-serif" w:hAnsi="Arial;sans-serif"/>
          <w:b w:val="false"/>
          <w:color w:val="000000"/>
          <w:sz w:val="18"/>
        </w:rPr>
        <w:t>grants</w:t>
      </w:r>
      <w:r>
        <w:rPr>
          <w:color w:val="000000"/>
        </w:rPr>
        <w:t xml:space="preserve"> </w:t>
      </w:r>
      <w:r>
        <w:rPr>
          <w:rFonts w:ascii="Arial;sans-serif" w:hAnsi="Arial;sans-serif"/>
          <w:b w:val="false"/>
          <w:color w:val="000000"/>
          <w:sz w:val="18"/>
        </w:rPr>
        <w:t>reflects</w:t>
      </w:r>
      <w:r>
        <w:rPr>
          <w:color w:val="000000"/>
        </w:rPr>
        <w:t xml:space="preserve"> </w:t>
      </w: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range</w:t>
      </w:r>
      <w:r>
        <w:rPr>
          <w:color w:val="000000"/>
        </w:rPr>
        <w:t xml:space="preserve"> </w:t>
      </w:r>
      <w:r>
        <w:rPr>
          <w:rFonts w:ascii="Arial;sans-serif" w:hAnsi="Arial;sans-serif"/>
          <w:b w:val="false"/>
          <w:color w:val="000000"/>
          <w:sz w:val="18"/>
        </w:rPr>
        <w:t>(i.e.,</w:t>
      </w:r>
      <w:r>
        <w:rPr>
          <w:color w:val="000000"/>
        </w:rPr>
        <w:t xml:space="preserve"> </w:t>
      </w:r>
      <w:r>
        <w:rPr>
          <w:rFonts w:ascii="Arial;sans-serif" w:hAnsi="Arial;sans-serif"/>
          <w:b w:val="false"/>
          <w:color w:val="000000"/>
          <w:sz w:val="18"/>
        </w:rPr>
        <w:t>minimum,</w:t>
      </w:r>
      <w:r>
        <w:rPr>
          <w:color w:val="000000"/>
        </w:rPr>
        <w:t xml:space="preserve"> </w:t>
      </w:r>
      <w:r>
        <w:rPr>
          <w:rFonts w:ascii="Arial;sans-serif" w:hAnsi="Arial;sans-serif"/>
          <w:b w:val="false"/>
          <w:color w:val="000000"/>
          <w:sz w:val="18"/>
        </w:rPr>
        <w:t>midpoint</w:t>
      </w:r>
      <w:r>
        <w:rPr>
          <w:color w:val="000000"/>
        </w:rPr>
        <w:t xml:space="preserve"> </w:t>
      </w:r>
      <w:r>
        <w:rPr>
          <w:rFonts w:ascii="Arial;sans-serif" w:hAnsi="Arial;sans-serif"/>
          <w:b w:val="false"/>
          <w:color w:val="000000"/>
          <w:sz w:val="18"/>
        </w:rPr>
        <w:t>and</w:t>
      </w:r>
      <w:r>
        <w:rPr>
          <w:color w:val="000000"/>
        </w:rPr>
        <w:t xml:space="preserve"> </w:t>
      </w:r>
      <w:r>
        <w:rPr>
          <w:rFonts w:ascii="Arial;sans-serif" w:hAnsi="Arial;sans-serif"/>
          <w:b w:val="false"/>
          <w:color w:val="000000"/>
          <w:sz w:val="18"/>
        </w:rPr>
        <w:t>maximum)</w:t>
      </w:r>
      <w:r>
        <w:rPr>
          <w:color w:val="000000"/>
        </w:rPr>
        <w:t xml:space="preserve"> </w:t>
      </w:r>
      <w:r>
        <w:rPr>
          <w:rFonts w:ascii="Arial;sans-serif" w:hAnsi="Arial;sans-serif"/>
          <w:b w:val="false"/>
          <w:color w:val="000000"/>
          <w:sz w:val="18"/>
        </w:rPr>
        <w:t>for</w:t>
      </w:r>
      <w:r>
        <w:rPr>
          <w:color w:val="000000"/>
        </w:rPr>
        <w:t xml:space="preserve"> </w:t>
      </w: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target</w:t>
      </w:r>
      <w:r>
        <w:rPr>
          <w:color w:val="000000"/>
        </w:rPr>
        <w:t xml:space="preserve"> </w:t>
      </w:r>
      <w:r>
        <w:rPr>
          <w:rFonts w:ascii="Arial;sans-serif" w:hAnsi="Arial;sans-serif"/>
          <w:b w:val="false"/>
          <w:color w:val="000000"/>
          <w:sz w:val="18"/>
        </w:rPr>
        <w:t>value</w:t>
      </w:r>
      <w:r>
        <w:rPr>
          <w:color w:val="000000"/>
        </w:rPr>
        <w:t xml:space="preserve"> </w:t>
      </w:r>
      <w:r>
        <w:rPr>
          <w:rFonts w:ascii="Arial;sans-serif" w:hAnsi="Arial;sans-serif"/>
          <w:b w:val="false"/>
          <w:color w:val="000000"/>
          <w:sz w:val="18"/>
        </w:rPr>
        <w:t>of</w:t>
      </w:r>
      <w:r>
        <w:rPr>
          <w:color w:val="000000"/>
        </w:rPr>
        <w:t xml:space="preserve"> </w:t>
      </w:r>
      <w:r>
        <w:rPr>
          <w:rFonts w:ascii="Arial;sans-serif" w:hAnsi="Arial;sans-serif"/>
          <w:b w:val="false"/>
          <w:color w:val="000000"/>
          <w:sz w:val="18"/>
        </w:rPr>
        <w:t>your</w:t>
      </w:r>
      <w:r>
        <w:rPr>
          <w:color w:val="000000"/>
        </w:rPr>
        <w:t xml:space="preserve"> </w:t>
      </w:r>
      <w:r>
        <w:rPr>
          <w:rFonts w:ascii="Arial;sans-serif" w:hAnsi="Arial;sans-serif"/>
          <w:b w:val="false"/>
          <w:color w:val="000000"/>
          <w:sz w:val="18"/>
        </w:rPr>
        <w:t>annual equity</w:t>
      </w:r>
      <w:r>
        <w:rPr>
          <w:color w:val="000000"/>
        </w:rPr>
        <w:t xml:space="preserve"> </w:t>
      </w:r>
      <w:r>
        <w:rPr>
          <w:rFonts w:ascii="Arial;sans-serif" w:hAnsi="Arial;sans-serif"/>
          <w:b w:val="false"/>
          <w:color w:val="000000"/>
          <w:sz w:val="18"/>
        </w:rPr>
        <w:t>grants.</w:t>
      </w:r>
      <w:r>
        <w:rPr>
          <w:color w:val="000000"/>
        </w:rPr>
        <w:t xml:space="preserve"> </w:t>
      </w: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actual</w:t>
      </w:r>
      <w:r>
        <w:rPr>
          <w:color w:val="000000"/>
        </w:rPr>
        <w:t xml:space="preserve"> </w:t>
      </w:r>
      <w:r>
        <w:rPr>
          <w:rFonts w:ascii="Arial;sans-serif" w:hAnsi="Arial;sans-serif"/>
          <w:b w:val="false"/>
          <w:color w:val="000000"/>
          <w:sz w:val="18"/>
        </w:rPr>
        <w:t>number</w:t>
      </w:r>
      <w:r>
        <w:rPr>
          <w:color w:val="000000"/>
        </w:rPr>
        <w:t xml:space="preserve"> </w:t>
      </w:r>
      <w:r>
        <w:rPr>
          <w:rFonts w:ascii="Arial;sans-serif" w:hAnsi="Arial;sans-serif"/>
          <w:b w:val="false"/>
          <w:color w:val="000000"/>
          <w:sz w:val="18"/>
        </w:rPr>
        <w:t>of</w:t>
      </w:r>
      <w:r>
        <w:rPr>
          <w:color w:val="000000"/>
        </w:rPr>
        <w:t xml:space="preserve"> </w:t>
      </w:r>
      <w:r>
        <w:rPr>
          <w:rFonts w:ascii="Arial;sans-serif" w:hAnsi="Arial;sans-serif"/>
          <w:b w:val="false"/>
          <w:color w:val="000000"/>
          <w:sz w:val="18"/>
        </w:rPr>
        <w:t>shares,</w:t>
      </w:r>
      <w:r>
        <w:rPr>
          <w:color w:val="000000"/>
        </w:rPr>
        <w:t xml:space="preserve"> </w:t>
      </w:r>
      <w:r>
        <w:rPr>
          <w:rFonts w:ascii="Arial;sans-serif" w:hAnsi="Arial;sans-serif"/>
          <w:b w:val="false"/>
          <w:color w:val="000000"/>
          <w:sz w:val="18"/>
        </w:rPr>
        <w:t>units,</w:t>
      </w:r>
      <w:r>
        <w:rPr>
          <w:color w:val="000000"/>
        </w:rPr>
        <w:t xml:space="preserve"> </w:t>
      </w:r>
      <w:r>
        <w:rPr>
          <w:rFonts w:ascii="Arial;sans-serif" w:hAnsi="Arial;sans-serif"/>
          <w:b w:val="false"/>
          <w:color w:val="000000"/>
          <w:sz w:val="18"/>
        </w:rPr>
        <w:t>or</w:t>
      </w:r>
      <w:r>
        <w:rPr>
          <w:color w:val="000000"/>
        </w:rPr>
        <w:t xml:space="preserve"> </w:t>
      </w:r>
      <w:r>
        <w:rPr>
          <w:rFonts w:ascii="Arial;sans-serif" w:hAnsi="Arial;sans-serif"/>
          <w:b w:val="false"/>
          <w:color w:val="000000"/>
          <w:sz w:val="18"/>
        </w:rPr>
        <w:t>options</w:t>
      </w:r>
      <w:r>
        <w:rPr>
          <w:color w:val="000000"/>
        </w:rPr>
        <w:t xml:space="preserve"> </w:t>
      </w:r>
      <w:r>
        <w:rPr>
          <w:rFonts w:ascii="Arial;sans-serif" w:hAnsi="Arial;sans-serif"/>
          <w:b w:val="false"/>
          <w:color w:val="000000"/>
          <w:sz w:val="18"/>
        </w:rPr>
        <w:t>will</w:t>
      </w:r>
      <w:r>
        <w:rPr>
          <w:color w:val="000000"/>
        </w:rPr>
        <w:t xml:space="preserve"> </w:t>
      </w:r>
      <w:r>
        <w:rPr>
          <w:rFonts w:ascii="Arial;sans-serif" w:hAnsi="Arial;sans-serif"/>
          <w:b w:val="false"/>
          <w:color w:val="000000"/>
          <w:sz w:val="18"/>
        </w:rPr>
        <w:t>be</w:t>
      </w:r>
      <w:r>
        <w:rPr>
          <w:color w:val="000000"/>
        </w:rPr>
        <w:t xml:space="preserve"> </w:t>
      </w:r>
      <w:r>
        <w:rPr>
          <w:rFonts w:ascii="Arial;sans-serif" w:hAnsi="Arial;sans-serif"/>
          <w:b w:val="false"/>
          <w:color w:val="000000"/>
          <w:sz w:val="18"/>
        </w:rPr>
        <w:t>determined</w:t>
      </w:r>
      <w:r>
        <w:rPr>
          <w:color w:val="000000"/>
        </w:rPr>
        <w:t xml:space="preserve"> </w:t>
      </w:r>
      <w:r>
        <w:rPr>
          <w:rFonts w:ascii="Arial;sans-serif" w:hAnsi="Arial;sans-serif"/>
          <w:b w:val="false"/>
          <w:color w:val="000000"/>
          <w:sz w:val="18"/>
        </w:rPr>
        <w:t>pursuant</w:t>
      </w:r>
      <w:r>
        <w:rPr>
          <w:color w:val="000000"/>
        </w:rPr>
        <w:t xml:space="preserve"> </w:t>
      </w:r>
      <w:r>
        <w:rPr>
          <w:rFonts w:ascii="Arial;sans-serif" w:hAnsi="Arial;sans-serif"/>
          <w:b w:val="false"/>
          <w:color w:val="000000"/>
          <w:sz w:val="18"/>
        </w:rPr>
        <w:t>to</w:t>
      </w:r>
      <w:r>
        <w:rPr>
          <w:color w:val="000000"/>
        </w:rPr>
        <w:t xml:space="preserve"> </w:t>
      </w: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Company’s</w:t>
      </w:r>
      <w:r>
        <w:rPr>
          <w:color w:val="000000"/>
        </w:rPr>
        <w:t xml:space="preserve"> </w:t>
      </w:r>
      <w:r>
        <w:rPr>
          <w:rFonts w:ascii="Arial;sans-serif" w:hAnsi="Arial;sans-serif"/>
          <w:b w:val="false"/>
          <w:color w:val="000000"/>
          <w:sz w:val="18"/>
        </w:rPr>
        <w:t>specific</w:t>
      </w:r>
      <w:r>
        <w:rPr>
          <w:color w:val="000000"/>
        </w:rPr>
        <w:t xml:space="preserve"> </w:t>
      </w:r>
      <w:r>
        <w:rPr>
          <w:rFonts w:ascii="Arial;sans-serif" w:hAnsi="Arial;sans-serif"/>
          <w:b w:val="false"/>
          <w:color w:val="000000"/>
          <w:sz w:val="18"/>
        </w:rPr>
        <w:t>valuation</w:t>
      </w:r>
      <w:r>
        <w:rPr>
          <w:color w:val="000000"/>
        </w:rPr>
        <w:t xml:space="preserve"> </w:t>
      </w:r>
      <w:r>
        <w:rPr>
          <w:rFonts w:ascii="Arial;sans-serif" w:hAnsi="Arial;sans-serif"/>
          <w:b w:val="false"/>
          <w:color w:val="000000"/>
          <w:sz w:val="18"/>
        </w:rPr>
        <w:t>methodology.</w:t>
      </w:r>
    </w:p>
    <w:p>
      <w:pPr>
        <w:pStyle w:val="TextBody"/>
        <w:bidi w:val="0"/>
        <w:spacing w:before="0" w:after="0"/>
        <w:jc w:val="left"/>
        <w:rPr/>
      </w:pPr>
      <w:r>
        <w:rPr/>
      </w:r>
    </w:p>
    <w:p>
      <w:pPr>
        <w:pStyle w:val="TextBody"/>
        <w:bidi w:val="0"/>
        <w:spacing w:before="185"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628650"/>
                <wp:effectExtent l="0" t="0" r="0" b="0"/>
                <wp:wrapNone/>
                <wp:docPr id="160" name="Frame5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988" w:type="dxa"/>
        <w:jc w:val="left"/>
        <w:tblInd w:w="0" w:type="dxa"/>
        <w:tblLayout w:type="fixed"/>
        <w:tblCellMar>
          <w:top w:w="28" w:type="dxa"/>
          <w:left w:w="28" w:type="dxa"/>
          <w:bottom w:w="28" w:type="dxa"/>
          <w:right w:w="28" w:type="dxa"/>
        </w:tblCellMar>
      </w:tblPr>
      <w:tblGrid>
        <w:gridCol w:w="536"/>
        <w:gridCol w:w="472"/>
        <w:gridCol w:w="473"/>
        <w:gridCol w:w="109"/>
        <w:gridCol w:w="109"/>
        <w:gridCol w:w="109"/>
        <w:gridCol w:w="931"/>
        <w:gridCol w:w="931"/>
        <w:gridCol w:w="1318"/>
      </w:tblGrid>
      <w:tr>
        <w:trPr/>
        <w:tc>
          <w:tcPr>
            <w:tcW w:w="5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76300" cy="533400"/>
                  <wp:effectExtent l="0" t="0" r="0" b="0"/>
                  <wp:docPr id="1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5" descr=""/>
                          <pic:cNvPicPr>
                            <a:picLocks noChangeAspect="1" noChangeArrowheads="1"/>
                          </pic:cNvPicPr>
                        </pic:nvPicPr>
                        <pic:blipFill>
                          <a:blip r:embed="rId108"/>
                          <a:stretch>
                            <a:fillRect/>
                          </a:stretch>
                        </pic:blipFill>
                        <pic:spPr bwMode="auto">
                          <a:xfrm>
                            <a:off x="0" y="0"/>
                            <a:ext cx="876300" cy="5334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4"/>
              </w:rPr>
            </w:pPr>
            <w:r>
              <w:rPr>
                <w:rFonts w:ascii="sans-serif" w:hAnsi="sans-serif"/>
                <w:b w:val="false"/>
                <w:color w:val="000000"/>
                <w:sz w:val="24"/>
              </w:rPr>
              <w:t>Exhibit 10.1</w:t>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Mondelēz International Inc. Chicago, IL 60607 USA</w:t>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mondelezinternational.com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color w:val="000000"/>
          <w:sz w:val="28"/>
          <w:u w:val="single"/>
        </w:rPr>
        <w:t>Annual</w:t>
      </w:r>
      <w:r>
        <w:rPr>
          <w:color w:val="000000"/>
          <w:u w:val="single"/>
        </w:rPr>
        <w:t xml:space="preserve"> </w:t>
      </w:r>
      <w:r>
        <w:rPr>
          <w:rFonts w:ascii="Arial;sans-serif" w:hAnsi="Arial;sans-serif"/>
          <w:b/>
          <w:color w:val="000000"/>
          <w:sz w:val="28"/>
          <w:u w:val="single"/>
        </w:rPr>
        <w:t>Incentive</w:t>
      </w:r>
      <w:r>
        <w:rPr>
          <w:color w:val="000000"/>
          <w:u w:val="single"/>
        </w:rPr>
        <w:t xml:space="preserve"> </w:t>
      </w:r>
      <w:r>
        <w:rPr>
          <w:rFonts w:ascii="Arial;sans-serif" w:hAnsi="Arial;sans-serif"/>
          <w:b/>
          <w:color w:val="000000"/>
          <w:sz w:val="28"/>
          <w:u w:val="single"/>
        </w:rPr>
        <w:t>Plan</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4"/>
        </w:rPr>
        <w:t>You</w:t>
      </w:r>
      <w:r>
        <w:rPr>
          <w:color w:val="000000"/>
        </w:rPr>
        <w:t xml:space="preserve"> </w:t>
      </w:r>
      <w:r>
        <w:rPr>
          <w:rFonts w:ascii="Arial;sans-serif" w:hAnsi="Arial;sans-serif"/>
          <w:b w:val="false"/>
          <w:color w:val="000000"/>
          <w:sz w:val="24"/>
        </w:rPr>
        <w:t>will</w:t>
      </w:r>
      <w:r>
        <w:rPr>
          <w:color w:val="000000"/>
        </w:rPr>
        <w:t xml:space="preserve"> </w:t>
      </w:r>
      <w:r>
        <w:rPr>
          <w:rFonts w:ascii="Arial;sans-serif" w:hAnsi="Arial;sans-serif"/>
          <w:b w:val="false"/>
          <w:color w:val="000000"/>
          <w:sz w:val="24"/>
        </w:rPr>
        <w:t>be</w:t>
      </w:r>
      <w:r>
        <w:rPr>
          <w:color w:val="000000"/>
        </w:rPr>
        <w:t xml:space="preserve"> </w:t>
      </w:r>
      <w:r>
        <w:rPr>
          <w:rFonts w:ascii="Arial;sans-serif" w:hAnsi="Arial;sans-serif"/>
          <w:b w:val="false"/>
          <w:color w:val="000000"/>
          <w:sz w:val="24"/>
        </w:rPr>
        <w:t>eligible</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participate</w:t>
      </w:r>
      <w:r>
        <w:rPr>
          <w:color w:val="000000"/>
        </w:rPr>
        <w:t xml:space="preserve"> </w:t>
      </w:r>
      <w:r>
        <w:rPr>
          <w:rFonts w:ascii="Arial;sans-serif" w:hAnsi="Arial;sans-serif"/>
          <w:b w:val="false"/>
          <w:color w:val="000000"/>
          <w:sz w:val="24"/>
        </w:rPr>
        <w:t>in</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Mondelēz</w:t>
      </w:r>
      <w:r>
        <w:rPr>
          <w:color w:val="000000"/>
        </w:rPr>
        <w:t xml:space="preserve"> </w:t>
      </w:r>
      <w:r>
        <w:rPr>
          <w:rFonts w:ascii="Arial;sans-serif" w:hAnsi="Arial;sans-serif"/>
          <w:b w:val="false"/>
          <w:color w:val="000000"/>
          <w:sz w:val="24"/>
        </w:rPr>
        <w:t>International</w:t>
      </w:r>
      <w:r>
        <w:rPr>
          <w:color w:val="000000"/>
        </w:rPr>
        <w:t xml:space="preserve"> </w:t>
      </w:r>
      <w:r>
        <w:rPr>
          <w:rFonts w:ascii="Arial;sans-serif" w:hAnsi="Arial;sans-serif"/>
          <w:b w:val="false"/>
          <w:color w:val="000000"/>
          <w:sz w:val="24"/>
        </w:rPr>
        <w:t>Management</w:t>
      </w:r>
      <w:r>
        <w:rPr>
          <w:color w:val="000000"/>
        </w:rPr>
        <w:t xml:space="preserve"> </w:t>
      </w:r>
      <w:r>
        <w:rPr>
          <w:rFonts w:ascii="Arial;sans-serif" w:hAnsi="Arial;sans-serif"/>
          <w:b w:val="false"/>
          <w:color w:val="000000"/>
          <w:sz w:val="24"/>
        </w:rPr>
        <w:t>Incentive</w:t>
      </w:r>
      <w:r>
        <w:rPr>
          <w:color w:val="000000"/>
        </w:rPr>
        <w:t xml:space="preserve"> </w:t>
      </w:r>
      <w:r>
        <w:rPr>
          <w:rFonts w:ascii="Arial;sans-serif" w:hAnsi="Arial;sans-serif"/>
          <w:b w:val="false"/>
          <w:color w:val="000000"/>
          <w:sz w:val="24"/>
        </w:rPr>
        <w:t>Plan</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MIP”), the</w:t>
      </w:r>
      <w:r>
        <w:rPr>
          <w:color w:val="000000"/>
        </w:rPr>
        <w:t xml:space="preserve"> </w:t>
      </w:r>
      <w:r>
        <w:rPr>
          <w:rFonts w:ascii="Arial;sans-serif" w:hAnsi="Arial;sans-serif"/>
          <w:b w:val="false"/>
          <w:color w:val="000000"/>
          <w:sz w:val="24"/>
        </w:rPr>
        <w:t>Company’s</w:t>
      </w:r>
      <w:r>
        <w:rPr>
          <w:color w:val="000000"/>
        </w:rPr>
        <w:t xml:space="preserve"> </w:t>
      </w:r>
      <w:r>
        <w:rPr>
          <w:rFonts w:ascii="Arial;sans-serif" w:hAnsi="Arial;sans-serif"/>
          <w:b w:val="false"/>
          <w:color w:val="000000"/>
          <w:sz w:val="24"/>
        </w:rPr>
        <w:t>annual</w:t>
      </w:r>
      <w:r>
        <w:rPr>
          <w:color w:val="000000"/>
        </w:rPr>
        <w:t xml:space="preserve"> </w:t>
      </w:r>
      <w:r>
        <w:rPr>
          <w:rFonts w:ascii="Arial;sans-serif" w:hAnsi="Arial;sans-serif"/>
          <w:b w:val="false"/>
          <w:color w:val="000000"/>
          <w:sz w:val="24"/>
        </w:rPr>
        <w:t>incentive</w:t>
      </w:r>
      <w:r>
        <w:rPr>
          <w:color w:val="000000"/>
        </w:rPr>
        <w:t xml:space="preserve"> </w:t>
      </w:r>
      <w:r>
        <w:rPr>
          <w:rFonts w:ascii="Arial;sans-serif" w:hAnsi="Arial;sans-serif"/>
          <w:b w:val="false"/>
          <w:color w:val="000000"/>
          <w:sz w:val="24"/>
        </w:rPr>
        <w:t>program.</w:t>
      </w:r>
      <w:r>
        <w:rPr>
          <w:color w:val="000000"/>
        </w:rPr>
        <w:t xml:space="preserve"> </w:t>
      </w:r>
      <w:r>
        <w:rPr>
          <w:rFonts w:ascii="Arial;sans-serif" w:hAnsi="Arial;sans-serif"/>
          <w:b w:val="false"/>
          <w:color w:val="000000"/>
          <w:sz w:val="24"/>
        </w:rPr>
        <w:t>Your</w:t>
      </w:r>
      <w:r>
        <w:rPr>
          <w:color w:val="000000"/>
        </w:rPr>
        <w:t xml:space="preserve"> </w:t>
      </w:r>
      <w:r>
        <w:rPr>
          <w:rFonts w:ascii="Arial;sans-serif" w:hAnsi="Arial;sans-serif"/>
          <w:b w:val="false"/>
          <w:color w:val="000000"/>
          <w:sz w:val="24"/>
        </w:rPr>
        <w:t>target</w:t>
      </w:r>
      <w:r>
        <w:rPr>
          <w:color w:val="000000"/>
        </w:rPr>
        <w:t xml:space="preserve"> </w:t>
      </w:r>
      <w:r>
        <w:rPr>
          <w:rFonts w:ascii="Arial;sans-serif" w:hAnsi="Arial;sans-serif"/>
          <w:b w:val="false"/>
          <w:color w:val="000000"/>
          <w:sz w:val="24"/>
        </w:rPr>
        <w:t>award</w:t>
      </w:r>
      <w:r>
        <w:rPr>
          <w:color w:val="000000"/>
        </w:rPr>
        <w:t xml:space="preserve"> </w:t>
      </w:r>
      <w:r>
        <w:rPr>
          <w:rFonts w:ascii="Arial;sans-serif" w:hAnsi="Arial;sans-serif"/>
          <w:b w:val="false"/>
          <w:color w:val="000000"/>
          <w:sz w:val="24"/>
        </w:rPr>
        <w:t>opportunity</w:t>
      </w:r>
      <w:r>
        <w:rPr>
          <w:color w:val="000000"/>
        </w:rPr>
        <w:t xml:space="preserve"> </w:t>
      </w:r>
      <w:r>
        <w:rPr>
          <w:rFonts w:ascii="Arial;sans-serif" w:hAnsi="Arial;sans-serif"/>
          <w:b w:val="false"/>
          <w:color w:val="000000"/>
          <w:sz w:val="24"/>
        </w:rPr>
        <w:t>under</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MIP</w:t>
      </w:r>
      <w:r>
        <w:rPr>
          <w:color w:val="000000"/>
        </w:rPr>
        <w:t xml:space="preserve"> </w:t>
      </w:r>
      <w:r>
        <w:rPr>
          <w:rFonts w:ascii="Arial;sans-serif" w:hAnsi="Arial;sans-serif"/>
          <w:b w:val="false"/>
          <w:color w:val="000000"/>
          <w:sz w:val="24"/>
        </w:rPr>
        <w:t>is</w:t>
      </w:r>
      <w:r>
        <w:rPr>
          <w:color w:val="000000"/>
        </w:rPr>
        <w:t xml:space="preserve"> </w:t>
      </w:r>
      <w:r>
        <w:rPr>
          <w:rFonts w:ascii="Arial;sans-serif" w:hAnsi="Arial;sans-serif"/>
          <w:b w:val="false"/>
          <w:color w:val="000000"/>
          <w:sz w:val="24"/>
        </w:rPr>
        <w:t>equal</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125% of</w:t>
      </w:r>
      <w:r>
        <w:rPr>
          <w:color w:val="000000"/>
        </w:rPr>
        <w:t xml:space="preserve"> </w:t>
      </w:r>
      <w:r>
        <w:rPr>
          <w:rFonts w:ascii="Arial;sans-serif" w:hAnsi="Arial;sans-serif"/>
          <w:b w:val="false"/>
          <w:color w:val="000000"/>
          <w:sz w:val="24"/>
        </w:rPr>
        <w:t>your</w:t>
      </w:r>
      <w:r>
        <w:rPr>
          <w:color w:val="000000"/>
        </w:rPr>
        <w:t xml:space="preserve"> </w:t>
      </w:r>
      <w:r>
        <w:rPr>
          <w:rFonts w:ascii="Arial;sans-serif" w:hAnsi="Arial;sans-serif"/>
          <w:b w:val="false"/>
          <w:color w:val="000000"/>
          <w:sz w:val="24"/>
        </w:rPr>
        <w:t>Annual</w:t>
      </w:r>
      <w:r>
        <w:rPr>
          <w:color w:val="000000"/>
        </w:rPr>
        <w:t xml:space="preserve"> </w:t>
      </w:r>
      <w:r>
        <w:rPr>
          <w:rFonts w:ascii="Arial;sans-serif" w:hAnsi="Arial;sans-serif"/>
          <w:b w:val="false"/>
          <w:color w:val="000000"/>
          <w:sz w:val="24"/>
        </w:rPr>
        <w:t>Base</w:t>
      </w:r>
      <w:r>
        <w:rPr>
          <w:color w:val="000000"/>
        </w:rPr>
        <w:t xml:space="preserve"> </w:t>
      </w:r>
      <w:r>
        <w:rPr>
          <w:rFonts w:ascii="Arial;sans-serif" w:hAnsi="Arial;sans-serif"/>
          <w:b w:val="false"/>
          <w:color w:val="000000"/>
          <w:sz w:val="24"/>
        </w:rPr>
        <w:t>Salary.</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actual</w:t>
      </w:r>
      <w:r>
        <w:rPr>
          <w:color w:val="000000"/>
        </w:rPr>
        <w:t xml:space="preserve"> </w:t>
      </w:r>
      <w:r>
        <w:rPr>
          <w:rFonts w:ascii="Arial;sans-serif" w:hAnsi="Arial;sans-serif"/>
          <w:b w:val="false"/>
          <w:color w:val="000000"/>
          <w:sz w:val="24"/>
        </w:rPr>
        <w:t>amount</w:t>
      </w:r>
      <w:r>
        <w:rPr>
          <w:color w:val="000000"/>
        </w:rPr>
        <w:t xml:space="preserve"> </w:t>
      </w:r>
      <w:r>
        <w:rPr>
          <w:rFonts w:ascii="Arial;sans-serif" w:hAnsi="Arial;sans-serif"/>
          <w:b w:val="false"/>
          <w:color w:val="000000"/>
          <w:sz w:val="24"/>
        </w:rPr>
        <w:t>you</w:t>
      </w:r>
      <w:r>
        <w:rPr>
          <w:color w:val="000000"/>
        </w:rPr>
        <w:t xml:space="preserve"> </w:t>
      </w:r>
      <w:r>
        <w:rPr>
          <w:rFonts w:ascii="Arial;sans-serif" w:hAnsi="Arial;sans-serif"/>
          <w:b w:val="false"/>
          <w:color w:val="000000"/>
          <w:sz w:val="24"/>
        </w:rPr>
        <w:t>receive</w:t>
      </w:r>
      <w:r>
        <w:rPr>
          <w:color w:val="000000"/>
        </w:rPr>
        <w:t xml:space="preserve"> </w:t>
      </w:r>
      <w:r>
        <w:rPr>
          <w:rFonts w:ascii="Arial;sans-serif" w:hAnsi="Arial;sans-serif"/>
          <w:b w:val="false"/>
          <w:color w:val="000000"/>
          <w:sz w:val="24"/>
        </w:rPr>
        <w:t>may</w:t>
      </w:r>
      <w:r>
        <w:rPr>
          <w:color w:val="000000"/>
        </w:rPr>
        <w:t xml:space="preserve"> </w:t>
      </w:r>
      <w:r>
        <w:rPr>
          <w:rFonts w:ascii="Arial;sans-serif" w:hAnsi="Arial;sans-serif"/>
          <w:b w:val="false"/>
          <w:color w:val="000000"/>
          <w:sz w:val="24"/>
        </w:rPr>
        <w:t>be</w:t>
      </w:r>
      <w:r>
        <w:rPr>
          <w:color w:val="000000"/>
        </w:rPr>
        <w:t xml:space="preserve"> </w:t>
      </w:r>
      <w:r>
        <w:rPr>
          <w:rFonts w:ascii="Arial;sans-serif" w:hAnsi="Arial;sans-serif"/>
          <w:b w:val="false"/>
          <w:color w:val="000000"/>
          <w:sz w:val="24"/>
        </w:rPr>
        <w:t>lower</w:t>
      </w:r>
      <w:r>
        <w:rPr>
          <w:color w:val="000000"/>
        </w:rPr>
        <w:t xml:space="preserve"> </w:t>
      </w:r>
      <w:r>
        <w:rPr>
          <w:rFonts w:ascii="Arial;sans-serif" w:hAnsi="Arial;sans-serif"/>
          <w:b w:val="false"/>
          <w:color w:val="000000"/>
          <w:sz w:val="24"/>
        </w:rPr>
        <w:t>or</w:t>
      </w:r>
      <w:r>
        <w:rPr>
          <w:color w:val="000000"/>
        </w:rPr>
        <w:t xml:space="preserve"> </w:t>
      </w:r>
      <w:r>
        <w:rPr>
          <w:rFonts w:ascii="Arial;sans-serif" w:hAnsi="Arial;sans-serif"/>
          <w:b w:val="false"/>
          <w:color w:val="000000"/>
          <w:sz w:val="24"/>
        </w:rPr>
        <w:t>higher,</w:t>
      </w:r>
      <w:r>
        <w:rPr>
          <w:color w:val="000000"/>
        </w:rPr>
        <w:t xml:space="preserve"> </w:t>
      </w:r>
      <w:r>
        <w:rPr>
          <w:rFonts w:ascii="Arial;sans-serif" w:hAnsi="Arial;sans-serif"/>
          <w:b w:val="false"/>
          <w:color w:val="000000"/>
          <w:sz w:val="24"/>
        </w:rPr>
        <w:t>depending</w:t>
      </w:r>
      <w:r>
        <w:rPr>
          <w:color w:val="000000"/>
        </w:rPr>
        <w:t xml:space="preserve"> </w:t>
      </w:r>
      <w:r>
        <w:rPr>
          <w:rFonts w:ascii="Arial;sans-serif" w:hAnsi="Arial;sans-serif"/>
          <w:b w:val="false"/>
          <w:color w:val="000000"/>
          <w:sz w:val="24"/>
        </w:rPr>
        <w:t>on</w:t>
      </w:r>
      <w:r>
        <w:rPr>
          <w:color w:val="000000"/>
        </w:rPr>
        <w:t xml:space="preserve"> </w:t>
      </w:r>
      <w:r>
        <w:rPr>
          <w:rFonts w:ascii="Arial;sans-serif" w:hAnsi="Arial;sans-serif"/>
          <w:b w:val="false"/>
          <w:color w:val="000000"/>
          <w:sz w:val="24"/>
        </w:rPr>
        <w:t>the Company’s</w:t>
      </w:r>
      <w:r>
        <w:rPr>
          <w:color w:val="000000"/>
        </w:rPr>
        <w:t xml:space="preserve"> </w:t>
      </w:r>
      <w:r>
        <w:rPr>
          <w:rFonts w:ascii="Arial;sans-serif" w:hAnsi="Arial;sans-serif"/>
          <w:b w:val="false"/>
          <w:color w:val="000000"/>
          <w:sz w:val="24"/>
        </w:rPr>
        <w:t>overall</w:t>
      </w:r>
      <w:r>
        <w:rPr>
          <w:color w:val="000000"/>
        </w:rPr>
        <w:t xml:space="preserve"> </w:t>
      </w:r>
      <w:r>
        <w:rPr>
          <w:rFonts w:ascii="Arial;sans-serif" w:hAnsi="Arial;sans-serif"/>
          <w:b w:val="false"/>
          <w:color w:val="000000"/>
          <w:sz w:val="24"/>
        </w:rPr>
        <w:t>financial</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4"/>
        </w:rPr>
        <w:t>strategic</w:t>
      </w:r>
      <w:r>
        <w:rPr>
          <w:color w:val="000000"/>
        </w:rPr>
        <w:t xml:space="preserve"> </w:t>
      </w:r>
      <w:r>
        <w:rPr>
          <w:rFonts w:ascii="Arial;sans-serif" w:hAnsi="Arial;sans-serif"/>
          <w:b w:val="false"/>
          <w:color w:val="000000"/>
          <w:sz w:val="24"/>
        </w:rPr>
        <w:t>performance</w:t>
      </w:r>
      <w:r>
        <w:rPr>
          <w:color w:val="000000"/>
        </w:rPr>
        <w:t xml:space="preserve"> </w:t>
      </w:r>
      <w:r>
        <w:rPr>
          <w:rFonts w:ascii="Arial;sans-serif" w:hAnsi="Arial;sans-serif"/>
          <w:b w:val="false"/>
          <w:color w:val="000000"/>
          <w:sz w:val="24"/>
        </w:rPr>
        <w:t>during</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year.</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maximum</w:t>
      </w:r>
      <w:r>
        <w:rPr>
          <w:color w:val="000000"/>
        </w:rPr>
        <w:t xml:space="preserve"> </w:t>
      </w:r>
      <w:r>
        <w:rPr>
          <w:rFonts w:ascii="Arial;sans-serif" w:hAnsi="Arial;sans-serif"/>
          <w:b w:val="false"/>
          <w:color w:val="000000"/>
          <w:sz w:val="24"/>
        </w:rPr>
        <w:t>award</w:t>
      </w:r>
      <w:r>
        <w:rPr>
          <w:color w:val="000000"/>
        </w:rPr>
        <w:t xml:space="preserve"> </w:t>
      </w:r>
      <w:r>
        <w:rPr>
          <w:rFonts w:ascii="Arial;sans-serif" w:hAnsi="Arial;sans-serif"/>
          <w:b w:val="false"/>
          <w:color w:val="000000"/>
          <w:sz w:val="24"/>
        </w:rPr>
        <w:t>under</w:t>
      </w:r>
      <w:r>
        <w:rPr>
          <w:color w:val="000000"/>
        </w:rPr>
        <w:t xml:space="preserve"> </w:t>
      </w:r>
      <w:r>
        <w:rPr>
          <w:rFonts w:ascii="Arial;sans-serif" w:hAnsi="Arial;sans-serif"/>
          <w:b w:val="false"/>
          <w:color w:val="000000"/>
          <w:sz w:val="24"/>
        </w:rPr>
        <w:t>this program for 2026 is 200% of your target opportunity. The Company reserves the right to change the maximum award annually.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For the 2026 MIP plan year ending on December 31, 2026, your award will be based on your hire date and be prorated for the days worked during the performance cycle. Your actual award will ultimately be determined based on the Company’s actual overall financial and strategic performance for the full 2026 plan year.</w:t>
      </w:r>
    </w:p>
    <w:p>
      <w:pPr>
        <w:pStyle w:val="TextBody"/>
        <w:bidi w:val="0"/>
        <w:spacing w:lineRule="auto" w:line="288" w:before="275" w:after="283"/>
        <w:jc w:val="both"/>
        <w:rPr/>
      </w:pPr>
      <w:r>
        <w:rPr>
          <w:rFonts w:ascii="Arial;sans-serif" w:hAnsi="Arial;sans-serif"/>
          <w:b/>
          <w:color w:val="000000"/>
          <w:sz w:val="24"/>
          <w:u w:val="single"/>
        </w:rPr>
        <w:t>Long-Term</w:t>
      </w:r>
      <w:r>
        <w:rPr>
          <w:color w:val="000000"/>
          <w:u w:val="single"/>
        </w:rPr>
        <w:t xml:space="preserve"> </w:t>
      </w:r>
      <w:r>
        <w:rPr>
          <w:rFonts w:ascii="Arial;sans-serif" w:hAnsi="Arial;sans-serif"/>
          <w:b/>
          <w:color w:val="000000"/>
          <w:sz w:val="24"/>
          <w:u w:val="single"/>
        </w:rPr>
        <w:t>Incentives</w:t>
      </w:r>
      <w:r>
        <w:rPr>
          <w:color w:val="000000"/>
          <w:u w:val="single"/>
        </w:rPr>
        <w:t xml:space="preserve"> </w:t>
      </w:r>
      <w:r>
        <w:rPr>
          <w:rFonts w:ascii="Arial;sans-serif" w:hAnsi="Arial;sans-serif"/>
          <w:b/>
          <w:color w:val="000000"/>
          <w:sz w:val="24"/>
          <w:u w:val="single"/>
        </w:rPr>
        <w:t>(Annual</w:t>
      </w:r>
      <w:r>
        <w:rPr>
          <w:color w:val="000000"/>
          <w:u w:val="single"/>
        </w:rPr>
        <w:t xml:space="preserve"> </w:t>
      </w:r>
      <w:r>
        <w:rPr>
          <w:rFonts w:ascii="Arial;sans-serif" w:hAnsi="Arial;sans-serif"/>
          <w:b/>
          <w:color w:val="000000"/>
          <w:sz w:val="24"/>
          <w:u w:val="single"/>
        </w:rPr>
        <w:t>Equity</w:t>
      </w:r>
      <w:r>
        <w:rPr>
          <w:color w:val="000000"/>
          <w:u w:val="single"/>
        </w:rPr>
        <w:t xml:space="preserve"> </w:t>
      </w:r>
      <w:r>
        <w:rPr>
          <w:rFonts w:ascii="Arial;sans-serif" w:hAnsi="Arial;sans-serif"/>
          <w:b/>
          <w:color w:val="000000"/>
          <w:sz w:val="24"/>
          <w:u w:val="single"/>
        </w:rPr>
        <w:t>Program)</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4"/>
        </w:rPr>
        <w:t>You will be eligible to participate in the Company’s annual equity program. Equity grants are typically made annually in February. For your service in 2026, you will receive an equity award with a value of $5,000,000; 50% of the grant value will be in the form of performance share units (“PSUs”), 25% of the grant value will be in the form of deferred stock units (“DSUs”) and 25% of the grant value will be in the form of stock options.</w:t>
      </w:r>
      <w:r>
        <w:rPr>
          <w:color w:val="000000"/>
        </w:rPr>
        <w:t xml:space="preserve"> </w:t>
      </w:r>
      <w:r>
        <w:rPr>
          <w:rFonts w:ascii="Arial;sans-serif" w:hAnsi="Arial;sans-serif"/>
          <w:b w:val="false"/>
          <w:color w:val="000000"/>
          <w:sz w:val="24"/>
        </w:rPr>
        <w:t>The grant date will be on the first trading day of the quarter following your date of hire.</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4"/>
        </w:rPr>
        <w:t>All equity grants are subject to the terms and conditions of the Company’s Performance Incentive Plan (“Plan”) and the applicable annual grant agreements in</w:t>
      </w:r>
      <w:r>
        <w:rPr>
          <w:color w:val="000000"/>
        </w:rPr>
        <w:t xml:space="preserve"> </w:t>
      </w:r>
      <w:r>
        <w:rPr>
          <w:rFonts w:ascii="Arial;sans-serif" w:hAnsi="Arial;sans-serif"/>
          <w:b w:val="false"/>
          <w:color w:val="000000"/>
          <w:sz w:val="24"/>
        </w:rPr>
        <w:t>effect</w:t>
      </w:r>
      <w:r>
        <w:rPr>
          <w:color w:val="000000"/>
        </w:rPr>
        <w:t xml:space="preserve"> </w:t>
      </w:r>
      <w:r>
        <w:rPr>
          <w:rFonts w:ascii="Arial;sans-serif" w:hAnsi="Arial;sans-serif"/>
          <w:b w:val="false"/>
          <w:color w:val="000000"/>
          <w:sz w:val="24"/>
        </w:rPr>
        <w:t>on the date hereof. As such, the terms of your 2026 annual equity award will be the same as the terms of other annual awards made to the Company’s executive officers in 2026. The annual equity</w:t>
      </w:r>
      <w:r>
        <w:rPr>
          <w:color w:val="000000"/>
        </w:rPr>
        <w:t xml:space="preserve"> </w:t>
      </w:r>
      <w:r>
        <w:rPr>
          <w:rFonts w:ascii="Arial;sans-serif" w:hAnsi="Arial;sans-serif"/>
          <w:b w:val="false"/>
          <w:color w:val="000000"/>
          <w:sz w:val="24"/>
        </w:rPr>
        <w:t>program</w:t>
      </w:r>
      <w:r>
        <w:rPr>
          <w:color w:val="000000"/>
        </w:rPr>
        <w:t xml:space="preserve"> </w:t>
      </w:r>
      <w:r>
        <w:rPr>
          <w:rFonts w:ascii="Arial;sans-serif" w:hAnsi="Arial;sans-serif"/>
          <w:b w:val="false"/>
          <w:color w:val="000000"/>
          <w:sz w:val="24"/>
        </w:rPr>
        <w:t>described</w:t>
      </w:r>
      <w:r>
        <w:rPr>
          <w:color w:val="000000"/>
        </w:rPr>
        <w:t xml:space="preserve"> </w:t>
      </w:r>
      <w:r>
        <w:rPr>
          <w:rFonts w:ascii="Arial;sans-serif" w:hAnsi="Arial;sans-serif"/>
          <w:b w:val="false"/>
          <w:color w:val="000000"/>
          <w:sz w:val="24"/>
        </w:rPr>
        <w:t>above</w:t>
      </w:r>
      <w:r>
        <w:rPr>
          <w:color w:val="000000"/>
        </w:rPr>
        <w:t xml:space="preserve"> </w:t>
      </w:r>
      <w:r>
        <w:rPr>
          <w:rFonts w:ascii="Arial;sans-serif" w:hAnsi="Arial;sans-serif"/>
          <w:b w:val="false"/>
          <w:color w:val="000000"/>
          <w:sz w:val="24"/>
        </w:rPr>
        <w:t>is</w:t>
      </w:r>
      <w:r>
        <w:rPr>
          <w:color w:val="000000"/>
        </w:rPr>
        <w:t xml:space="preserve"> </w:t>
      </w:r>
      <w:r>
        <w:rPr>
          <w:rFonts w:ascii="Arial;sans-serif" w:hAnsi="Arial;sans-serif"/>
          <w:b w:val="false"/>
          <w:color w:val="000000"/>
          <w:sz w:val="24"/>
        </w:rPr>
        <w:t>based</w:t>
      </w:r>
      <w:r>
        <w:rPr>
          <w:color w:val="000000"/>
        </w:rPr>
        <w:t xml:space="preserve"> </w:t>
      </w:r>
      <w:r>
        <w:rPr>
          <w:rFonts w:ascii="Arial;sans-serif" w:hAnsi="Arial;sans-serif"/>
          <w:b w:val="false"/>
          <w:color w:val="000000"/>
          <w:sz w:val="24"/>
        </w:rPr>
        <w:t>on</w:t>
      </w:r>
      <w:r>
        <w:rPr>
          <w:color w:val="000000"/>
        </w:rPr>
        <w:t xml:space="preserve"> </w:t>
      </w:r>
      <w:r>
        <w:rPr>
          <w:rFonts w:ascii="Arial;sans-serif" w:hAnsi="Arial;sans-serif"/>
          <w:b w:val="false"/>
          <w:color w:val="000000"/>
          <w:sz w:val="24"/>
        </w:rPr>
        <w:t>our</w:t>
      </w:r>
      <w:r>
        <w:rPr>
          <w:color w:val="000000"/>
        </w:rPr>
        <w:t xml:space="preserve"> </w:t>
      </w:r>
      <w:r>
        <w:rPr>
          <w:rFonts w:ascii="Arial;sans-serif" w:hAnsi="Arial;sans-serif"/>
          <w:b w:val="false"/>
          <w:color w:val="000000"/>
          <w:sz w:val="24"/>
        </w:rPr>
        <w:t>current</w:t>
      </w:r>
      <w:r>
        <w:rPr>
          <w:color w:val="000000"/>
        </w:rPr>
        <w:t xml:space="preserve"> </w:t>
      </w:r>
      <w:r>
        <w:rPr>
          <w:rFonts w:ascii="Arial;sans-serif" w:hAnsi="Arial;sans-serif"/>
          <w:b w:val="false"/>
          <w:color w:val="000000"/>
          <w:sz w:val="24"/>
        </w:rPr>
        <w:t>design</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Company</w:t>
      </w:r>
      <w:r>
        <w:rPr>
          <w:color w:val="000000"/>
        </w:rPr>
        <w:t xml:space="preserve"> </w:t>
      </w:r>
      <w:r>
        <w:rPr>
          <w:rFonts w:ascii="Arial;sans-serif" w:hAnsi="Arial;sans-serif"/>
          <w:b w:val="false"/>
          <w:color w:val="000000"/>
          <w:sz w:val="24"/>
        </w:rPr>
        <w:t>reserves</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right</w:t>
      </w:r>
      <w:r>
        <w:rPr>
          <w:color w:val="000000"/>
        </w:rPr>
        <w:t xml:space="preserve"> </w:t>
      </w:r>
      <w:r>
        <w:rPr>
          <w:rFonts w:ascii="Arial;sans-serif" w:hAnsi="Arial;sans-serif"/>
          <w:b w:val="false"/>
          <w:color w:val="000000"/>
          <w:sz w:val="24"/>
        </w:rPr>
        <w:t>to change the annual equity program at any time.</w:t>
      </w:r>
    </w:p>
    <w:p>
      <w:pPr>
        <w:pStyle w:val="TextBody"/>
        <w:bidi w:val="0"/>
        <w:spacing w:lineRule="auto" w:line="288" w:before="275" w:after="283"/>
        <w:jc w:val="both"/>
        <w:rPr>
          <w:rFonts w:ascii="Arial;sans-serif" w:hAnsi="Arial;sans-serif"/>
          <w:b/>
          <w:color w:val="000000"/>
          <w:sz w:val="24"/>
          <w:u w:val="single"/>
        </w:rPr>
      </w:pPr>
      <w:r>
        <w:rPr>
          <w:rFonts w:ascii="Arial;sans-serif" w:hAnsi="Arial;sans-serif"/>
          <w:b/>
          <w:color w:val="000000"/>
          <w:sz w:val="24"/>
          <w:u w:val="single"/>
        </w:rPr>
        <w:t>Make Whole Award</w:t>
      </w:r>
    </w:p>
    <w:p>
      <w:pPr>
        <w:pStyle w:val="TextBody"/>
        <w:bidi w:val="0"/>
        <w:spacing w:lineRule="auto" w:line="288" w:before="240" w:after="283"/>
        <w:jc w:val="both"/>
        <w:rPr>
          <w:rFonts w:ascii="Arial;sans-serif" w:hAnsi="Arial;sans-serif"/>
          <w:b w:val="false"/>
          <w:color w:val="000000"/>
          <w:sz w:val="24"/>
        </w:rPr>
      </w:pPr>
      <w:r>
        <w:rPr>
          <w:rFonts w:ascii="Arial;sans-serif" w:hAnsi="Arial;sans-serif"/>
          <w:b w:val="false"/>
          <w:color w:val="000000"/>
          <w:sz w:val="24"/>
        </w:rPr>
        <w:t>As part of your offer of employment, and to make up for compensation forfeited at your previous employer, on or as soon as reasonably practicable following the Start Date you will receive a make whole award (your “make whole award”) with a value of up to $7,000,000, which compensation will be payable to you in the form of a cash payment payable as soon as practicable after your Start Date, payable in a single lump sum less applicable deductions and withholdings.</w:t>
      </w:r>
    </w:p>
    <w:p>
      <w:pPr>
        <w:pStyle w:val="TextBody"/>
        <w:bidi w:val="0"/>
        <w:spacing w:before="240" w:after="283"/>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203325"/>
                <wp:effectExtent l="0" t="0" r="0" b="0"/>
                <wp:wrapNone/>
                <wp:docPr id="162" name="Frame55"/>
                <a:graphic xmlns:a="http://schemas.openxmlformats.org/drawingml/2006/main">
                  <a:graphicData uri="http://schemas.microsoft.com/office/word/2010/wordprocessingShape">
                    <wps:wsp>
                      <wps:cNvSpPr txBox="1"/>
                      <wps:spPr>
                        <a:xfrm>
                          <a:off x="0" y="0"/>
                          <a:ext cx="6480175" cy="1203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20"/>
                                    </w:rPr>
                                  </w:pPr>
                                  <w:r>
                                    <w:rPr>
                                      <w:rFonts w:ascii="Arial;sans-serif" w:hAnsi="Arial;sans-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20"/>
                              </w:rPr>
                            </w:pPr>
                            <w:r>
                              <w:rPr>
                                <w:rFonts w:ascii="Arial;sans-serif" w:hAnsi="Arial;sans-serif"/>
                                <w:b w:val="false"/>
                                <w:color w:val="000000"/>
                                <w:sz w:val="20"/>
                              </w:rPr>
                              <w:t>2</w:t>
                            </w:r>
                          </w:p>
                        </w:tc>
                      </w:tr>
                    </w:tbl>
                    <w:p>
                      <w:pPr>
                        <w:pStyle w:val="TextBody"/>
                        <w:bidi w:val="0"/>
                        <w:spacing w:before="0" w:after="283"/>
                        <w:jc w:val="left"/>
                        <w:rPr/>
                      </w:pPr>
                      <w:r>
                        <w:rPr/>
                      </w:r>
                    </w:p>
                  </w:txbxContent>
                </v:textbox>
                <w10:wrap type="none"/>
              </v:rect>
            </w:pict>
          </mc:Fallback>
        </mc:AlternateContent>
      </w:r>
    </w:p>
    <w:tbl>
      <w:tblPr>
        <w:tblW w:w="4988" w:type="dxa"/>
        <w:jc w:val="left"/>
        <w:tblInd w:w="0" w:type="dxa"/>
        <w:tblLayout w:type="fixed"/>
        <w:tblCellMar>
          <w:top w:w="28" w:type="dxa"/>
          <w:left w:w="28" w:type="dxa"/>
          <w:bottom w:w="28" w:type="dxa"/>
          <w:right w:w="28" w:type="dxa"/>
        </w:tblCellMar>
      </w:tblPr>
      <w:tblGrid>
        <w:gridCol w:w="536"/>
        <w:gridCol w:w="472"/>
        <w:gridCol w:w="473"/>
        <w:gridCol w:w="109"/>
        <w:gridCol w:w="109"/>
        <w:gridCol w:w="109"/>
        <w:gridCol w:w="931"/>
        <w:gridCol w:w="931"/>
        <w:gridCol w:w="1318"/>
      </w:tblGrid>
      <w:tr>
        <w:trPr/>
        <w:tc>
          <w:tcPr>
            <w:tcW w:w="5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76300" cy="533400"/>
                  <wp:effectExtent l="0" t="0" r="0" b="0"/>
                  <wp:docPr id="16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6" descr=""/>
                          <pic:cNvPicPr>
                            <a:picLocks noChangeAspect="1" noChangeArrowheads="1"/>
                          </pic:cNvPicPr>
                        </pic:nvPicPr>
                        <pic:blipFill>
                          <a:blip r:embed="rId109"/>
                          <a:stretch>
                            <a:fillRect/>
                          </a:stretch>
                        </pic:blipFill>
                        <pic:spPr bwMode="auto">
                          <a:xfrm>
                            <a:off x="0" y="0"/>
                            <a:ext cx="876300" cy="5334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4"/>
              </w:rPr>
            </w:pPr>
            <w:r>
              <w:rPr>
                <w:rFonts w:ascii="sans-serif" w:hAnsi="sans-serif"/>
                <w:b w:val="false"/>
                <w:color w:val="000000"/>
                <w:sz w:val="24"/>
              </w:rPr>
              <w:t>Exhibit 10.1</w:t>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Mondelēz International Inc. Chicago, IL 60607 USA</w:t>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mondelezinternational.com</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90"/>
        <w:jc w:val="both"/>
        <w:rPr/>
      </w:pPr>
      <w:r>
        <w:rPr/>
      </w:r>
    </w:p>
    <w:p>
      <w:pPr>
        <w:pStyle w:val="TextBody"/>
        <w:bidi w:val="0"/>
        <w:spacing w:lineRule="auto" w:line="240" w:before="0" w:after="0"/>
        <w:jc w:val="both"/>
        <w:rPr>
          <w:rFonts w:ascii="Arial;sans-serif" w:hAnsi="Arial;sans-serif"/>
          <w:b w:val="false"/>
          <w:color w:val="000000"/>
          <w:sz w:val="24"/>
        </w:rPr>
      </w:pPr>
      <w:r>
        <w:rPr>
          <w:rFonts w:ascii="Arial;sans-serif" w:hAnsi="Arial;sans-serif"/>
          <w:b w:val="false"/>
          <w:color w:val="000000"/>
          <w:sz w:val="24"/>
        </w:rPr>
        <w:t>Notwithstanding the foregoing, to the extent you are not required to forfeit or repay amounts in respect of awards paid to you by your previous employer during the twelve (12)-month period prior to your Start Date in connection with your commencement of employment with the Company, then the amount of your make whole award shall be reduced dollar for dollar by the gross amount retained (as converted into United States dollars on the payment date) by you.</w:t>
      </w:r>
    </w:p>
    <w:p>
      <w:pPr>
        <w:pStyle w:val="TextBody"/>
        <w:bidi w:val="0"/>
        <w:spacing w:lineRule="auto" w:line="288" w:before="240" w:after="283"/>
        <w:jc w:val="both"/>
        <w:rPr>
          <w:rFonts w:ascii="Arial;sans-serif" w:hAnsi="Arial;sans-serif"/>
          <w:b w:val="false"/>
          <w:color w:val="000000"/>
          <w:sz w:val="24"/>
        </w:rPr>
      </w:pPr>
      <w:r>
        <w:rPr>
          <w:rFonts w:ascii="Arial;sans-serif" w:hAnsi="Arial;sans-serif"/>
          <w:b w:val="false"/>
          <w:color w:val="000000"/>
          <w:sz w:val="24"/>
        </w:rPr>
        <w:t xml:space="preserve">If your employment with the Company and its affiliates terminates for Cause or you resign your employment without Good Reason (not including a termination by reason of your death or Disability), in either case, prior to the second anniversary of the Start Date, all or a portion of your make whole award shall be subject to repayment within thirty (30) days following the date of such termination, on a pre-tax basis, as follows: (i) if such termination of employment occurs prior to the first anniversary of the Start Date, 100% of your make whole award shall be subject to repayment; and (ii) if such termination of employment occurs on or after the first anniversary of the Start Date and prior to the second anniversary of the Start Date, 50% of your make whole award shall be subject to repayment.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 xml:space="preserve">Furthermore, solely for purposes of your make whole award, upon an involuntary termination without Cause or your resignation for Good Reason, or due to your death or Disability, occurring at any time prior to the second anniversary of the Start Date, you shall be treated as fully vested in the make whole award, contingent on your executing and not revoking a general release of claims at the time and in the manner specified in Section 3.9 of the Mondelēz International, Inc. Change in Control Plan for Key Executives, as in effect on the date hereof (“CIC Plan”) as if the benefits were made under the CIC Plan.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For purposes of this Offer Letter, “Cause”, “Good Reason” and “Disability” shall each have the meaning set forth in the CIC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color w:val="000000"/>
          <w:sz w:val="24"/>
          <w:u w:val="single"/>
        </w:rPr>
      </w:pPr>
      <w:r>
        <w:rPr>
          <w:rFonts w:ascii="Arial;sans-serif" w:hAnsi="Arial;sans-serif"/>
          <w:b/>
          <w:color w:val="000000"/>
          <w:sz w:val="24"/>
          <w:u w:val="single"/>
        </w:rPr>
        <w:t>Executive Deferred Compensation Plan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You will be eligible to participate in the Executive Deferred Compensation Plan. This program allows you to voluntarily defer a portion of your salary and/or your annual incentive award to a future date. Additional information about this program is available upon request.</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4"/>
          <w:u w:val="single"/>
        </w:rPr>
        <w:t>Change</w:t>
      </w:r>
      <w:r>
        <w:rPr>
          <w:color w:val="000000"/>
          <w:u w:val="single"/>
        </w:rPr>
        <w:t xml:space="preserve"> </w:t>
      </w:r>
      <w:r>
        <w:rPr>
          <w:rFonts w:ascii="Arial;sans-serif" w:hAnsi="Arial;sans-serif"/>
          <w:b/>
          <w:color w:val="000000"/>
          <w:sz w:val="24"/>
          <w:u w:val="single"/>
        </w:rPr>
        <w:t>in</w:t>
      </w:r>
      <w:r>
        <w:rPr>
          <w:color w:val="000000"/>
          <w:u w:val="single"/>
        </w:rPr>
        <w:t xml:space="preserve"> </w:t>
      </w:r>
      <w:r>
        <w:rPr>
          <w:rFonts w:ascii="Arial;sans-serif" w:hAnsi="Arial;sans-serif"/>
          <w:b/>
          <w:color w:val="000000"/>
          <w:sz w:val="24"/>
          <w:u w:val="single"/>
        </w:rPr>
        <w:t>Control</w:t>
      </w:r>
      <w:r>
        <w:rPr>
          <w:color w:val="000000"/>
          <w:u w:val="single"/>
        </w:rPr>
        <w:t xml:space="preserve"> </w:t>
      </w:r>
      <w:r>
        <w:rPr>
          <w:rFonts w:ascii="Arial;sans-serif" w:hAnsi="Arial;sans-serif"/>
          <w:b/>
          <w:color w:val="000000"/>
          <w:sz w:val="24"/>
          <w:u w:val="single"/>
        </w:rPr>
        <w:t>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From your date of hire, you will be a participant in the CIC Plan. The CIC Plan provides certain benefits upon a termination of your employment without Cause or for Good Reason following a Change in Control (as such terms are defined in the CIC Plan). A copy of the CIC Plan will be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203325"/>
                <wp:effectExtent l="0" t="0" r="0" b="0"/>
                <wp:wrapNone/>
                <wp:docPr id="164" name="Frame56"/>
                <a:graphic xmlns:a="http://schemas.openxmlformats.org/drawingml/2006/main">
                  <a:graphicData uri="http://schemas.microsoft.com/office/word/2010/wordprocessingShape">
                    <wps:wsp>
                      <wps:cNvSpPr txBox="1"/>
                      <wps:spPr>
                        <a:xfrm>
                          <a:off x="0" y="0"/>
                          <a:ext cx="6480175" cy="1203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283"/>
                        <w:jc w:val="left"/>
                        <w:rPr/>
                      </w:pPr>
                      <w:r>
                        <w:rPr/>
                      </w:r>
                    </w:p>
                  </w:txbxContent>
                </v:textbox>
                <w10:wrap type="none"/>
              </v:rect>
            </w:pict>
          </mc:Fallback>
        </mc:AlternateContent>
      </w:r>
    </w:p>
    <w:tbl>
      <w:tblPr>
        <w:tblW w:w="4988" w:type="dxa"/>
        <w:jc w:val="left"/>
        <w:tblInd w:w="0" w:type="dxa"/>
        <w:tblLayout w:type="fixed"/>
        <w:tblCellMar>
          <w:top w:w="28" w:type="dxa"/>
          <w:left w:w="28" w:type="dxa"/>
          <w:bottom w:w="28" w:type="dxa"/>
          <w:right w:w="28" w:type="dxa"/>
        </w:tblCellMar>
      </w:tblPr>
      <w:tblGrid>
        <w:gridCol w:w="536"/>
        <w:gridCol w:w="472"/>
        <w:gridCol w:w="473"/>
        <w:gridCol w:w="109"/>
        <w:gridCol w:w="109"/>
        <w:gridCol w:w="109"/>
        <w:gridCol w:w="931"/>
        <w:gridCol w:w="931"/>
        <w:gridCol w:w="1318"/>
      </w:tblGrid>
      <w:tr>
        <w:trPr/>
        <w:tc>
          <w:tcPr>
            <w:tcW w:w="5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76300" cy="533400"/>
                  <wp:effectExtent l="0" t="0" r="0" b="0"/>
                  <wp:docPr id="16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7" descr=""/>
                          <pic:cNvPicPr>
                            <a:picLocks noChangeAspect="1" noChangeArrowheads="1"/>
                          </pic:cNvPicPr>
                        </pic:nvPicPr>
                        <pic:blipFill>
                          <a:blip r:embed="rId110"/>
                          <a:stretch>
                            <a:fillRect/>
                          </a:stretch>
                        </pic:blipFill>
                        <pic:spPr bwMode="auto">
                          <a:xfrm>
                            <a:off x="0" y="0"/>
                            <a:ext cx="876300" cy="5334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4"/>
              </w:rPr>
            </w:pPr>
            <w:r>
              <w:rPr>
                <w:rFonts w:ascii="sans-serif" w:hAnsi="sans-serif"/>
                <w:b w:val="false"/>
                <w:color w:val="000000"/>
                <w:sz w:val="24"/>
              </w:rPr>
              <w:t>Exhibit 10.1</w:t>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Mondelēz International Inc. Chicago, IL 60607 USA</w:t>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mondelezinternational.com</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separately provided. The CIC Plan indicates a termination for "Cause" shall have occurred where a Participant is terminated because of:</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 xml:space="preserve">a.Continued failure to substantially perform the Participant's job's duties (other than resulting from incapacity due to disability); </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 xml:space="preserve">b.Gross negligence, dishonesty, or violation of any reasonable rule or regulation of the Mondelēz Group (as defined in the CIC Plan) where the violation results in significant damage to the Mondelēz Group; or </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c.Engaging in other conduct that adversely reflects on the Mondelēz Group in any material respect.</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color w:val="000000"/>
          <w:sz w:val="24"/>
          <w:u w:val="single"/>
        </w:rPr>
        <w:t>Stock</w:t>
      </w:r>
      <w:r>
        <w:rPr>
          <w:color w:val="000000"/>
          <w:u w:val="single"/>
        </w:rPr>
        <w:t xml:space="preserve"> </w:t>
      </w:r>
      <w:r>
        <w:rPr>
          <w:rFonts w:ascii="Arial;sans-serif" w:hAnsi="Arial;sans-serif"/>
          <w:b/>
          <w:color w:val="000000"/>
          <w:sz w:val="24"/>
          <w:u w:val="single"/>
        </w:rPr>
        <w:t>Ownership</w:t>
      </w:r>
      <w:r>
        <w:rPr>
          <w:color w:val="000000"/>
          <w:u w:val="single"/>
        </w:rPr>
        <w:t xml:space="preserve"> </w:t>
      </w:r>
      <w:r>
        <w:rPr>
          <w:rFonts w:ascii="Arial;sans-serif" w:hAnsi="Arial;sans-serif"/>
          <w:b/>
          <w:color w:val="000000"/>
          <w:sz w:val="24"/>
          <w:u w:val="single"/>
        </w:rPr>
        <w:t>Guidelines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4"/>
        </w:rPr>
        <w:t>You</w:t>
      </w:r>
      <w:r>
        <w:rPr>
          <w:color w:val="000000"/>
        </w:rPr>
        <w:t xml:space="preserve"> </w:t>
      </w:r>
      <w:r>
        <w:rPr>
          <w:rFonts w:ascii="Arial;sans-serif" w:hAnsi="Arial;sans-serif"/>
          <w:b w:val="false"/>
          <w:color w:val="000000"/>
          <w:sz w:val="24"/>
        </w:rPr>
        <w:t>will</w:t>
      </w:r>
      <w:r>
        <w:rPr>
          <w:color w:val="000000"/>
        </w:rPr>
        <w:t xml:space="preserve"> </w:t>
      </w:r>
      <w:r>
        <w:rPr>
          <w:rFonts w:ascii="Arial;sans-serif" w:hAnsi="Arial;sans-serif"/>
          <w:b w:val="false"/>
          <w:color w:val="000000"/>
          <w:sz w:val="24"/>
        </w:rPr>
        <w:t>be</w:t>
      </w:r>
      <w:r>
        <w:rPr>
          <w:color w:val="000000"/>
        </w:rPr>
        <w:t xml:space="preserve"> </w:t>
      </w:r>
      <w:r>
        <w:rPr>
          <w:rFonts w:ascii="Arial;sans-serif" w:hAnsi="Arial;sans-serif"/>
          <w:b w:val="false"/>
          <w:color w:val="000000"/>
          <w:sz w:val="24"/>
        </w:rPr>
        <w:t>required</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attain</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4"/>
        </w:rPr>
        <w:t>hold</w:t>
      </w:r>
      <w:r>
        <w:rPr>
          <w:color w:val="000000"/>
        </w:rPr>
        <w:t xml:space="preserve"> </w:t>
      </w:r>
      <w:r>
        <w:rPr>
          <w:rFonts w:ascii="Arial;sans-serif" w:hAnsi="Arial;sans-serif"/>
          <w:b w:val="false"/>
          <w:color w:val="000000"/>
          <w:sz w:val="24"/>
        </w:rPr>
        <w:t>Company</w:t>
      </w:r>
      <w:r>
        <w:rPr>
          <w:color w:val="000000"/>
        </w:rPr>
        <w:t xml:space="preserve"> </w:t>
      </w:r>
      <w:r>
        <w:rPr>
          <w:rFonts w:ascii="Arial;sans-serif" w:hAnsi="Arial;sans-serif"/>
          <w:b w:val="false"/>
          <w:color w:val="000000"/>
          <w:sz w:val="24"/>
        </w:rPr>
        <w:t>stock</w:t>
      </w:r>
      <w:r>
        <w:rPr>
          <w:color w:val="000000"/>
        </w:rPr>
        <w:t xml:space="preserve"> </w:t>
      </w:r>
      <w:r>
        <w:rPr>
          <w:rFonts w:ascii="Arial;sans-serif" w:hAnsi="Arial;sans-serif"/>
          <w:b w:val="false"/>
          <w:color w:val="000000"/>
          <w:sz w:val="24"/>
        </w:rPr>
        <w:t>equal</w:t>
      </w:r>
      <w:r>
        <w:rPr>
          <w:color w:val="000000"/>
        </w:rPr>
        <w:t xml:space="preserve"> </w:t>
      </w:r>
      <w:r>
        <w:rPr>
          <w:rFonts w:ascii="Arial;sans-serif" w:hAnsi="Arial;sans-serif"/>
          <w:b w:val="false"/>
          <w:color w:val="000000"/>
          <w:sz w:val="24"/>
        </w:rPr>
        <w:t>in</w:t>
      </w:r>
      <w:r>
        <w:rPr>
          <w:color w:val="000000"/>
        </w:rPr>
        <w:t xml:space="preserve"> </w:t>
      </w:r>
      <w:r>
        <w:rPr>
          <w:rFonts w:ascii="Arial;sans-serif" w:hAnsi="Arial;sans-serif"/>
          <w:b w:val="false"/>
          <w:color w:val="000000"/>
          <w:sz w:val="24"/>
        </w:rPr>
        <w:t>value</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four</w:t>
      </w:r>
      <w:r>
        <w:rPr>
          <w:color w:val="000000"/>
        </w:rPr>
        <w:t xml:space="preserve"> </w:t>
      </w:r>
      <w:r>
        <w:rPr>
          <w:rFonts w:ascii="Arial;sans-serif" w:hAnsi="Arial;sans-serif"/>
          <w:b w:val="false"/>
          <w:color w:val="000000"/>
          <w:sz w:val="24"/>
        </w:rPr>
        <w:t>(4)</w:t>
      </w:r>
      <w:r>
        <w:rPr>
          <w:color w:val="000000"/>
        </w:rPr>
        <w:t xml:space="preserve"> </w:t>
      </w:r>
      <w:r>
        <w:rPr>
          <w:rFonts w:ascii="Arial;sans-serif" w:hAnsi="Arial;sans-serif"/>
          <w:b w:val="false"/>
          <w:color w:val="000000"/>
          <w:sz w:val="24"/>
        </w:rPr>
        <w:t>times</w:t>
      </w:r>
      <w:r>
        <w:rPr>
          <w:color w:val="000000"/>
        </w:rPr>
        <w:t xml:space="preserve"> </w:t>
      </w:r>
      <w:r>
        <w:rPr>
          <w:rFonts w:ascii="Arial;sans-serif" w:hAnsi="Arial;sans-serif"/>
          <w:b w:val="false"/>
          <w:color w:val="000000"/>
          <w:sz w:val="24"/>
        </w:rPr>
        <w:t>your</w:t>
      </w:r>
      <w:r>
        <w:rPr>
          <w:color w:val="000000"/>
        </w:rPr>
        <w:t xml:space="preserve"> </w:t>
      </w:r>
      <w:r>
        <w:rPr>
          <w:rFonts w:ascii="Arial;sans-serif" w:hAnsi="Arial;sans-serif"/>
          <w:b w:val="false"/>
          <w:color w:val="000000"/>
          <w:sz w:val="24"/>
        </w:rPr>
        <w:t>annual</w:t>
      </w:r>
      <w:r>
        <w:rPr>
          <w:color w:val="000000"/>
        </w:rPr>
        <w:t xml:space="preserve"> </w:t>
      </w:r>
      <w:r>
        <w:rPr>
          <w:rFonts w:ascii="Arial;sans-serif" w:hAnsi="Arial;sans-serif"/>
          <w:b w:val="false"/>
          <w:color w:val="000000"/>
          <w:sz w:val="24"/>
        </w:rPr>
        <w:t>base salary</w:t>
      </w:r>
      <w:r>
        <w:rPr>
          <w:color w:val="000000"/>
        </w:rPr>
        <w:t xml:space="preserve"> </w:t>
      </w:r>
      <w:r>
        <w:rPr>
          <w:rFonts w:ascii="Arial;sans-serif" w:hAnsi="Arial;sans-serif"/>
          <w:b w:val="false"/>
          <w:color w:val="000000"/>
          <w:sz w:val="24"/>
        </w:rPr>
        <w:t>established</w:t>
      </w:r>
      <w:r>
        <w:rPr>
          <w:color w:val="000000"/>
        </w:rPr>
        <w:t xml:space="preserve"> </w:t>
      </w:r>
      <w:r>
        <w:rPr>
          <w:rFonts w:ascii="Arial;sans-serif" w:hAnsi="Arial;sans-serif"/>
          <w:b w:val="false"/>
          <w:color w:val="000000"/>
          <w:sz w:val="24"/>
        </w:rPr>
        <w:t>at</w:t>
      </w:r>
      <w:r>
        <w:rPr>
          <w:color w:val="000000"/>
        </w:rPr>
        <w:t xml:space="preserve"> </w:t>
      </w:r>
      <w:r>
        <w:rPr>
          <w:rFonts w:ascii="Arial;sans-serif" w:hAnsi="Arial;sans-serif"/>
          <w:b w:val="false"/>
          <w:color w:val="000000"/>
          <w:sz w:val="24"/>
        </w:rPr>
        <w:t>your</w:t>
      </w:r>
      <w:r>
        <w:rPr>
          <w:color w:val="000000"/>
        </w:rPr>
        <w:t xml:space="preserve"> </w:t>
      </w:r>
      <w:r>
        <w:rPr>
          <w:rFonts w:ascii="Arial;sans-serif" w:hAnsi="Arial;sans-serif"/>
          <w:b w:val="false"/>
          <w:color w:val="000000"/>
          <w:sz w:val="24"/>
        </w:rPr>
        <w:t>date</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hire.</w:t>
      </w:r>
      <w:r>
        <w:rPr>
          <w:color w:val="000000"/>
        </w:rPr>
        <w:t xml:space="preserve"> </w:t>
      </w:r>
      <w:r>
        <w:rPr>
          <w:rFonts w:ascii="Arial;sans-serif" w:hAnsi="Arial;sans-serif"/>
          <w:b w:val="false"/>
          <w:color w:val="000000"/>
          <w:sz w:val="24"/>
        </w:rPr>
        <w:t>Under</w:t>
      </w:r>
      <w:r>
        <w:rPr>
          <w:color w:val="000000"/>
        </w:rPr>
        <w:t xml:space="preserve"> </w:t>
      </w:r>
      <w:r>
        <w:rPr>
          <w:rFonts w:ascii="Arial;sans-serif" w:hAnsi="Arial;sans-serif"/>
          <w:b w:val="false"/>
          <w:color w:val="000000"/>
          <w:sz w:val="24"/>
        </w:rPr>
        <w:t>current</w:t>
      </w:r>
      <w:r>
        <w:rPr>
          <w:color w:val="000000"/>
        </w:rPr>
        <w:t xml:space="preserve"> </w:t>
      </w:r>
      <w:r>
        <w:rPr>
          <w:rFonts w:ascii="Arial;sans-serif" w:hAnsi="Arial;sans-serif"/>
          <w:b w:val="false"/>
          <w:color w:val="000000"/>
          <w:sz w:val="24"/>
        </w:rPr>
        <w:t>guidelines,</w:t>
      </w:r>
      <w:r>
        <w:rPr>
          <w:color w:val="000000"/>
        </w:rPr>
        <w:t xml:space="preserve"> </w:t>
      </w:r>
      <w:r>
        <w:rPr>
          <w:rFonts w:ascii="Arial;sans-serif" w:hAnsi="Arial;sans-serif"/>
          <w:b w:val="false"/>
          <w:color w:val="000000"/>
          <w:sz w:val="24"/>
        </w:rPr>
        <w:t>you</w:t>
      </w:r>
      <w:r>
        <w:rPr>
          <w:color w:val="000000"/>
        </w:rPr>
        <w:t xml:space="preserve"> </w:t>
      </w:r>
      <w:r>
        <w:rPr>
          <w:rFonts w:ascii="Arial;sans-serif" w:hAnsi="Arial;sans-serif"/>
          <w:b w:val="false"/>
          <w:color w:val="000000"/>
          <w:sz w:val="24"/>
        </w:rPr>
        <w:t>will</w:t>
      </w:r>
      <w:r>
        <w:rPr>
          <w:color w:val="000000"/>
        </w:rPr>
        <w:t xml:space="preserve"> </w:t>
      </w:r>
      <w:r>
        <w:rPr>
          <w:rFonts w:ascii="Arial;sans-serif" w:hAnsi="Arial;sans-serif"/>
          <w:b w:val="false"/>
          <w:color w:val="000000"/>
          <w:sz w:val="24"/>
        </w:rPr>
        <w:t>have</w:t>
      </w:r>
      <w:r>
        <w:rPr>
          <w:color w:val="000000"/>
        </w:rPr>
        <w:t xml:space="preserve"> </w:t>
      </w:r>
      <w:r>
        <w:rPr>
          <w:rFonts w:ascii="Arial;sans-serif" w:hAnsi="Arial;sans-serif"/>
          <w:b w:val="false"/>
          <w:color w:val="000000"/>
          <w:sz w:val="24"/>
        </w:rPr>
        <w:t>five</w:t>
      </w:r>
      <w:r>
        <w:rPr>
          <w:color w:val="000000"/>
        </w:rPr>
        <w:t xml:space="preserve"> </w:t>
      </w:r>
      <w:r>
        <w:rPr>
          <w:rFonts w:ascii="Arial;sans-serif" w:hAnsi="Arial;sans-serif"/>
          <w:b w:val="false"/>
          <w:color w:val="000000"/>
          <w:sz w:val="24"/>
        </w:rPr>
        <w:t>years</w:t>
      </w:r>
      <w:r>
        <w:rPr>
          <w:color w:val="000000"/>
        </w:rPr>
        <w:t xml:space="preserve"> </w:t>
      </w:r>
      <w:r>
        <w:rPr>
          <w:rFonts w:ascii="Arial;sans-serif" w:hAnsi="Arial;sans-serif"/>
          <w:b w:val="false"/>
          <w:color w:val="000000"/>
          <w:sz w:val="24"/>
        </w:rPr>
        <w:t>from</w:t>
      </w:r>
      <w:r>
        <w:rPr>
          <w:color w:val="000000"/>
        </w:rPr>
        <w:t xml:space="preserve"> </w:t>
      </w:r>
      <w:r>
        <w:rPr>
          <w:rFonts w:ascii="Arial;sans-serif" w:hAnsi="Arial;sans-serif"/>
          <w:b w:val="false"/>
          <w:color w:val="000000"/>
          <w:sz w:val="24"/>
        </w:rPr>
        <w:t>your</w:t>
      </w:r>
      <w:r>
        <w:rPr>
          <w:color w:val="000000"/>
        </w:rPr>
        <w:t xml:space="preserve"> </w:t>
      </w:r>
      <w:r>
        <w:rPr>
          <w:rFonts w:ascii="Arial;sans-serif" w:hAnsi="Arial;sans-serif"/>
          <w:b w:val="false"/>
          <w:color w:val="000000"/>
          <w:sz w:val="24"/>
        </w:rPr>
        <w:t>date of hire to achieve this level of ownership. Stock held for ownership determination includes common stock held directly or indirectly and unvested deferred stock units. It does not include stock options or unvested performance share units. The Company reserves the right to change the guidelines at any time.</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4"/>
          <w:u w:val="single"/>
        </w:rPr>
        <w:t>Other</w:t>
      </w:r>
      <w:r>
        <w:rPr>
          <w:color w:val="000000"/>
          <w:u w:val="single"/>
        </w:rPr>
        <w:t xml:space="preserve"> </w:t>
      </w:r>
      <w:r>
        <w:rPr>
          <w:rFonts w:ascii="Arial;sans-serif" w:hAnsi="Arial;sans-serif"/>
          <w:b/>
          <w:color w:val="000000"/>
          <w:sz w:val="24"/>
          <w:u w:val="single"/>
        </w:rPr>
        <w:t>Benefits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If your employment with the Company ends due to an involuntary termination other than for Cause (as</w:t>
      </w:r>
      <w:r>
        <w:rPr>
          <w:color w:val="000000"/>
        </w:rPr>
        <w:t xml:space="preserve"> </w:t>
      </w:r>
      <w:r>
        <w:rPr>
          <w:rFonts w:ascii="Arial;sans-serif" w:hAnsi="Arial;sans-serif"/>
          <w:b w:val="false"/>
          <w:color w:val="000000"/>
          <w:sz w:val="24"/>
        </w:rPr>
        <w:t>defined</w:t>
      </w:r>
      <w:r>
        <w:rPr>
          <w:color w:val="000000"/>
        </w:rPr>
        <w:t xml:space="preserve"> </w:t>
      </w:r>
      <w:r>
        <w:rPr>
          <w:rFonts w:ascii="Arial;sans-serif" w:hAnsi="Arial;sans-serif"/>
          <w:b w:val="false"/>
          <w:color w:val="000000"/>
          <w:sz w:val="24"/>
        </w:rPr>
        <w:t>above),</w:t>
      </w:r>
      <w:r>
        <w:rPr>
          <w:color w:val="000000"/>
        </w:rPr>
        <w:t xml:space="preserve"> </w:t>
      </w:r>
      <w:r>
        <w:rPr>
          <w:rFonts w:ascii="Arial;sans-serif" w:hAnsi="Arial;sans-serif"/>
          <w:b w:val="false"/>
          <w:color w:val="000000"/>
          <w:sz w:val="24"/>
        </w:rPr>
        <w:t>you</w:t>
      </w:r>
      <w:r>
        <w:rPr>
          <w:color w:val="000000"/>
        </w:rPr>
        <w:t xml:space="preserve"> </w:t>
      </w:r>
      <w:r>
        <w:rPr>
          <w:rFonts w:ascii="Arial;sans-serif" w:hAnsi="Arial;sans-serif"/>
          <w:b w:val="false"/>
          <w:color w:val="000000"/>
          <w:sz w:val="24"/>
        </w:rPr>
        <w:t>will</w:t>
      </w:r>
      <w:r>
        <w:rPr>
          <w:color w:val="000000"/>
        </w:rPr>
        <w:t xml:space="preserve"> </w:t>
      </w:r>
      <w:r>
        <w:rPr>
          <w:rFonts w:ascii="Arial;sans-serif" w:hAnsi="Arial;sans-serif"/>
          <w:b w:val="false"/>
          <w:color w:val="000000"/>
          <w:sz w:val="24"/>
        </w:rPr>
        <w:t>receive</w:t>
      </w:r>
      <w:r>
        <w:rPr>
          <w:color w:val="000000"/>
        </w:rPr>
        <w:t xml:space="preserve"> </w:t>
      </w:r>
      <w:r>
        <w:rPr>
          <w:rFonts w:ascii="Arial;sans-serif" w:hAnsi="Arial;sans-serif"/>
          <w:b w:val="false"/>
          <w:color w:val="000000"/>
          <w:sz w:val="24"/>
        </w:rPr>
        <w:t>severance</w:t>
      </w:r>
      <w:r>
        <w:rPr>
          <w:color w:val="000000"/>
        </w:rPr>
        <w:t xml:space="preserve"> </w:t>
      </w:r>
      <w:r>
        <w:rPr>
          <w:rFonts w:ascii="Arial;sans-serif" w:hAnsi="Arial;sans-serif"/>
          <w:b w:val="false"/>
          <w:color w:val="000000"/>
          <w:sz w:val="24"/>
        </w:rPr>
        <w:t>arrangements</w:t>
      </w:r>
      <w:r>
        <w:rPr>
          <w:color w:val="000000"/>
        </w:rPr>
        <w:t xml:space="preserve"> </w:t>
      </w:r>
      <w:r>
        <w:rPr>
          <w:rFonts w:ascii="Arial;sans-serif" w:hAnsi="Arial;sans-serif"/>
          <w:b w:val="false"/>
          <w:color w:val="000000"/>
          <w:sz w:val="24"/>
        </w:rPr>
        <w:t>no</w:t>
      </w:r>
      <w:r>
        <w:rPr>
          <w:color w:val="000000"/>
        </w:rPr>
        <w:t xml:space="preserve"> </w:t>
      </w:r>
      <w:r>
        <w:rPr>
          <w:rFonts w:ascii="Arial;sans-serif" w:hAnsi="Arial;sans-serif"/>
          <w:b w:val="false"/>
          <w:color w:val="000000"/>
          <w:sz w:val="24"/>
        </w:rPr>
        <w:t>less</w:t>
      </w:r>
      <w:r>
        <w:rPr>
          <w:color w:val="000000"/>
        </w:rPr>
        <w:t xml:space="preserve"> </w:t>
      </w:r>
      <w:r>
        <w:rPr>
          <w:rFonts w:ascii="Arial;sans-serif" w:hAnsi="Arial;sans-serif"/>
          <w:b w:val="false"/>
          <w:color w:val="000000"/>
          <w:sz w:val="24"/>
        </w:rPr>
        <w:t>favorable</w:t>
      </w:r>
      <w:r>
        <w:rPr>
          <w:color w:val="000000"/>
        </w:rPr>
        <w:t xml:space="preserve"> </w:t>
      </w:r>
      <w:r>
        <w:rPr>
          <w:rFonts w:ascii="Arial;sans-serif" w:hAnsi="Arial;sans-serif"/>
          <w:b w:val="false"/>
          <w:color w:val="000000"/>
          <w:sz w:val="24"/>
        </w:rPr>
        <w:t>than</w:t>
      </w:r>
      <w:r>
        <w:rPr>
          <w:color w:val="000000"/>
        </w:rPr>
        <w:t xml:space="preserve"> </w:t>
      </w:r>
      <w:r>
        <w:rPr>
          <w:rFonts w:ascii="Arial;sans-serif" w:hAnsi="Arial;sans-serif"/>
          <w:b w:val="false"/>
          <w:color w:val="000000"/>
          <w:sz w:val="24"/>
        </w:rPr>
        <w:t>those</w:t>
      </w:r>
      <w:r>
        <w:rPr>
          <w:color w:val="000000"/>
        </w:rPr>
        <w:t xml:space="preserve"> </w:t>
      </w:r>
      <w:r>
        <w:rPr>
          <w:rFonts w:ascii="Arial;sans-serif" w:hAnsi="Arial;sans-serif"/>
          <w:b w:val="false"/>
          <w:color w:val="000000"/>
          <w:sz w:val="24"/>
        </w:rPr>
        <w:t>accorded recently terminated senior executives of the Company. For the avoidance of doubt, “senior executives” as referenced in this section shall exclude legacy Cadbury executives.</w:t>
      </w:r>
    </w:p>
    <w:p>
      <w:pPr>
        <w:pStyle w:val="TextBody"/>
        <w:bidi w:val="0"/>
        <w:spacing w:lineRule="auto" w:line="288" w:before="275" w:after="283"/>
        <w:jc w:val="both"/>
        <w:rPr/>
      </w:pPr>
      <w:r>
        <w:rPr>
          <w:rFonts w:ascii="Arial;sans-serif" w:hAnsi="Arial;sans-serif"/>
          <w:b w:val="false"/>
          <w:color w:val="000000"/>
          <w:sz w:val="24"/>
        </w:rPr>
        <w:t>Under</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current</w:t>
      </w:r>
      <w:r>
        <w:rPr>
          <w:color w:val="000000"/>
        </w:rPr>
        <w:t xml:space="preserve"> </w:t>
      </w:r>
      <w:r>
        <w:rPr>
          <w:rFonts w:ascii="Arial;sans-serif" w:hAnsi="Arial;sans-serif"/>
          <w:b w:val="false"/>
          <w:color w:val="000000"/>
          <w:sz w:val="24"/>
        </w:rPr>
        <w:t>policies</w:t>
      </w:r>
      <w:r>
        <w:rPr>
          <w:color w:val="000000"/>
        </w:rPr>
        <w:t xml:space="preserve"> </w:t>
      </w:r>
      <w:r>
        <w:rPr>
          <w:rFonts w:ascii="Arial;sans-serif" w:hAnsi="Arial;sans-serif"/>
          <w:b w:val="false"/>
          <w:color w:val="000000"/>
          <w:sz w:val="24"/>
        </w:rPr>
        <w:t>in</w:t>
      </w:r>
      <w:r>
        <w:rPr>
          <w:color w:val="000000"/>
        </w:rPr>
        <w:t xml:space="preserve"> </w:t>
      </w:r>
      <w:r>
        <w:rPr>
          <w:rFonts w:ascii="Arial;sans-serif" w:hAnsi="Arial;sans-serif"/>
          <w:b w:val="false"/>
          <w:color w:val="000000"/>
          <w:sz w:val="24"/>
        </w:rPr>
        <w:t>place,</w:t>
      </w:r>
      <w:r>
        <w:rPr>
          <w:color w:val="000000"/>
        </w:rPr>
        <w:t xml:space="preserve"> </w:t>
      </w:r>
      <w:r>
        <w:rPr>
          <w:rFonts w:ascii="Arial;sans-serif" w:hAnsi="Arial;sans-serif"/>
          <w:b w:val="false"/>
          <w:color w:val="000000"/>
          <w:sz w:val="24"/>
        </w:rPr>
        <w:t>which</w:t>
      </w:r>
      <w:r>
        <w:rPr>
          <w:color w:val="000000"/>
        </w:rPr>
        <w:t xml:space="preserve"> </w:t>
      </w:r>
      <w:r>
        <w:rPr>
          <w:rFonts w:ascii="Arial;sans-serif" w:hAnsi="Arial;sans-serif"/>
          <w:b w:val="false"/>
          <w:color w:val="000000"/>
          <w:sz w:val="24"/>
        </w:rPr>
        <w:t>are</w:t>
      </w:r>
      <w:r>
        <w:rPr>
          <w:color w:val="000000"/>
        </w:rPr>
        <w:t xml:space="preserve"> </w:t>
      </w:r>
      <w:r>
        <w:rPr>
          <w:rFonts w:ascii="Arial;sans-serif" w:hAnsi="Arial;sans-serif"/>
          <w:b w:val="false"/>
          <w:color w:val="000000"/>
          <w:sz w:val="24"/>
        </w:rPr>
        <w:t>subject</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change,</w:t>
      </w:r>
      <w:r>
        <w:rPr>
          <w:color w:val="000000"/>
        </w:rPr>
        <w:t xml:space="preserve"> </w:t>
      </w:r>
      <w:r>
        <w:rPr>
          <w:rFonts w:ascii="Arial;sans-serif" w:hAnsi="Arial;sans-serif"/>
          <w:b w:val="false"/>
          <w:color w:val="000000"/>
          <w:sz w:val="24"/>
        </w:rPr>
        <w:t>you</w:t>
      </w:r>
      <w:r>
        <w:rPr>
          <w:color w:val="000000"/>
        </w:rPr>
        <w:t xml:space="preserve"> </w:t>
      </w:r>
      <w:r>
        <w:rPr>
          <w:rFonts w:ascii="Arial;sans-serif" w:hAnsi="Arial;sans-serif"/>
          <w:b w:val="false"/>
          <w:color w:val="000000"/>
          <w:sz w:val="24"/>
        </w:rPr>
        <w:t>will</w:t>
      </w:r>
      <w:r>
        <w:rPr>
          <w:color w:val="000000"/>
        </w:rPr>
        <w:t xml:space="preserve"> </w:t>
      </w:r>
      <w:r>
        <w:rPr>
          <w:rFonts w:ascii="Arial;sans-serif" w:hAnsi="Arial;sans-serif"/>
          <w:b w:val="false"/>
          <w:color w:val="000000"/>
          <w:sz w:val="24"/>
        </w:rPr>
        <w:t>be</w:t>
      </w:r>
      <w:r>
        <w:rPr>
          <w:color w:val="000000"/>
        </w:rPr>
        <w:t xml:space="preserve"> </w:t>
      </w:r>
      <w:r>
        <w:rPr>
          <w:rFonts w:ascii="Arial;sans-serif" w:hAnsi="Arial;sans-serif"/>
          <w:b w:val="false"/>
          <w:color w:val="000000"/>
          <w:sz w:val="24"/>
        </w:rPr>
        <w:t>eligible</w:t>
      </w:r>
      <w:r>
        <w:rPr>
          <w:color w:val="000000"/>
        </w:rPr>
        <w:t xml:space="preserve"> </w:t>
      </w:r>
      <w:r>
        <w:rPr>
          <w:rFonts w:ascii="Arial;sans-serif" w:hAnsi="Arial;sans-serif"/>
          <w:b w:val="false"/>
          <w:color w:val="000000"/>
          <w:sz w:val="24"/>
        </w:rPr>
        <w:t>for</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Company’s discretionary financial planning program, which reimburses you up to $7,500 per year for eligible financial</w:t>
      </w:r>
      <w:r>
        <w:rPr>
          <w:color w:val="000000"/>
        </w:rPr>
        <w:t xml:space="preserve"> </w:t>
      </w:r>
      <w:r>
        <w:rPr>
          <w:rFonts w:ascii="Arial;sans-serif" w:hAnsi="Arial;sans-serif"/>
          <w:b w:val="false"/>
          <w:color w:val="000000"/>
          <w:sz w:val="24"/>
        </w:rPr>
        <w:t>planning</w:t>
      </w:r>
      <w:r>
        <w:rPr>
          <w:color w:val="000000"/>
        </w:rPr>
        <w:t xml:space="preserve"> </w:t>
      </w:r>
      <w:r>
        <w:rPr>
          <w:rFonts w:ascii="Arial;sans-serif" w:hAnsi="Arial;sans-serif"/>
          <w:b w:val="false"/>
          <w:color w:val="000000"/>
          <w:sz w:val="24"/>
        </w:rPr>
        <w:t>expenses,</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4"/>
        </w:rPr>
        <w:t>car</w:t>
      </w:r>
      <w:r>
        <w:rPr>
          <w:color w:val="000000"/>
        </w:rPr>
        <w:t xml:space="preserve"> </w:t>
      </w:r>
      <w:r>
        <w:rPr>
          <w:rFonts w:ascii="Arial;sans-serif" w:hAnsi="Arial;sans-serif"/>
          <w:b w:val="false"/>
          <w:color w:val="000000"/>
          <w:sz w:val="24"/>
        </w:rPr>
        <w:t>allowance</w:t>
      </w:r>
      <w:r>
        <w:rPr>
          <w:color w:val="000000"/>
        </w:rPr>
        <w:t xml:space="preserve"> </w:t>
      </w:r>
      <w:r>
        <w:rPr>
          <w:rFonts w:ascii="Arial;sans-serif" w:hAnsi="Arial;sans-serif"/>
          <w:b w:val="false"/>
          <w:color w:val="000000"/>
          <w:sz w:val="24"/>
        </w:rPr>
        <w:t>program,</w:t>
      </w:r>
      <w:r>
        <w:rPr>
          <w:color w:val="000000"/>
        </w:rPr>
        <w:t xml:space="preserve"> </w:t>
      </w:r>
      <w:r>
        <w:rPr>
          <w:rFonts w:ascii="Arial;sans-serif" w:hAnsi="Arial;sans-serif"/>
          <w:b w:val="false"/>
          <w:color w:val="000000"/>
          <w:sz w:val="24"/>
        </w:rPr>
        <w:t>which</w:t>
      </w:r>
      <w:r>
        <w:rPr>
          <w:color w:val="000000"/>
        </w:rPr>
        <w:t xml:space="preserve"> </w:t>
      </w:r>
      <w:r>
        <w:rPr>
          <w:rFonts w:ascii="Arial;sans-serif" w:hAnsi="Arial;sans-serif"/>
          <w:b w:val="false"/>
          <w:color w:val="000000"/>
          <w:sz w:val="24"/>
        </w:rPr>
        <w:t>provides</w:t>
      </w:r>
      <w:r>
        <w:rPr>
          <w:color w:val="000000"/>
        </w:rPr>
        <w:t xml:space="preserve"> </w:t>
      </w:r>
      <w:r>
        <w:rPr>
          <w:rFonts w:ascii="Arial;sans-serif" w:hAnsi="Arial;sans-serif"/>
          <w:b w:val="false"/>
          <w:color w:val="000000"/>
          <w:sz w:val="24"/>
        </w:rPr>
        <w:t>a</w:t>
      </w:r>
      <w:r>
        <w:rPr>
          <w:color w:val="000000"/>
        </w:rPr>
        <w:t xml:space="preserve"> </w:t>
      </w:r>
      <w:r>
        <w:rPr>
          <w:rFonts w:ascii="Arial;sans-serif" w:hAnsi="Arial;sans-serif"/>
          <w:b w:val="false"/>
          <w:color w:val="000000"/>
          <w:sz w:val="24"/>
        </w:rPr>
        <w:t>car</w:t>
      </w:r>
      <w:r>
        <w:rPr>
          <w:color w:val="000000"/>
        </w:rPr>
        <w:t xml:space="preserve"> </w:t>
      </w:r>
      <w:r>
        <w:rPr>
          <w:rFonts w:ascii="Arial;sans-serif" w:hAnsi="Arial;sans-serif"/>
          <w:b w:val="false"/>
          <w:color w:val="000000"/>
          <w:sz w:val="24"/>
        </w:rPr>
        <w:t>allowance</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up</w:t>
      </w:r>
      <w:r>
        <w:rPr>
          <w:color w:val="000000"/>
        </w:rPr>
        <w:t xml:space="preserve"> </w:t>
      </w:r>
      <w:r>
        <w:rPr>
          <w:rFonts w:ascii="Arial;sans-serif" w:hAnsi="Arial;sans-serif"/>
          <w:b w:val="false"/>
          <w:color w:val="000000"/>
          <w:sz w:val="24"/>
        </w:rPr>
        <w:t>to</w:t>
      </w:r>
    </w:p>
    <w:p>
      <w:pPr>
        <w:pStyle w:val="TextBody"/>
        <w:bidi w:val="0"/>
        <w:spacing w:lineRule="auto" w:line="288" w:before="0" w:after="0"/>
        <w:jc w:val="both"/>
        <w:rPr/>
      </w:pPr>
      <w:r>
        <w:rPr>
          <w:rFonts w:ascii="Arial;sans-serif" w:hAnsi="Arial;sans-serif"/>
          <w:b w:val="false"/>
          <w:color w:val="000000"/>
          <w:sz w:val="24"/>
        </w:rPr>
        <w:t>$15,000</w:t>
      </w:r>
      <w:r>
        <w:rPr>
          <w:color w:val="000000"/>
        </w:rPr>
        <w:t xml:space="preserve"> </w:t>
      </w:r>
      <w:r>
        <w:rPr>
          <w:rFonts w:ascii="Arial;sans-serif" w:hAnsi="Arial;sans-serif"/>
          <w:b w:val="false"/>
          <w:color w:val="000000"/>
          <w:sz w:val="24"/>
        </w:rPr>
        <w:t>per</w:t>
      </w:r>
      <w:r>
        <w:rPr>
          <w:color w:val="000000"/>
        </w:rPr>
        <w:t xml:space="preserve"> </w:t>
      </w:r>
      <w:r>
        <w:rPr>
          <w:rFonts w:ascii="Arial;sans-serif" w:hAnsi="Arial;sans-serif"/>
          <w:b w:val="false"/>
          <w:color w:val="000000"/>
          <w:sz w:val="24"/>
        </w:rPr>
        <w:t>year.</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4"/>
        </w:rPr>
        <w:t>You will be eligible for Mondelēz Global LLC’s comprehensive benefits package available to full-time salaried</w:t>
      </w:r>
      <w:r>
        <w:rPr>
          <w:color w:val="000000"/>
        </w:rPr>
        <w:t xml:space="preserve"> </w:t>
      </w:r>
      <w:r>
        <w:rPr>
          <w:rFonts w:ascii="Arial;sans-serif" w:hAnsi="Arial;sans-serif"/>
          <w:b w:val="false"/>
          <w:color w:val="000000"/>
          <w:sz w:val="24"/>
        </w:rPr>
        <w:t>U.S.</w:t>
      </w:r>
      <w:r>
        <w:rPr>
          <w:color w:val="000000"/>
        </w:rPr>
        <w:t xml:space="preserve"> </w:t>
      </w:r>
      <w:r>
        <w:rPr>
          <w:rFonts w:ascii="Arial;sans-serif" w:hAnsi="Arial;sans-serif"/>
          <w:b w:val="false"/>
          <w:color w:val="000000"/>
          <w:sz w:val="24"/>
        </w:rPr>
        <w:t>employees.</w:t>
      </w:r>
      <w:r>
        <w:rPr>
          <w:color w:val="000000"/>
        </w:rPr>
        <w:t xml:space="preserve"> </w:t>
      </w:r>
      <w:r>
        <w:rPr>
          <w:rFonts w:ascii="Arial;sans-serif" w:hAnsi="Arial;sans-serif"/>
          <w:b w:val="false"/>
          <w:color w:val="000000"/>
          <w:sz w:val="24"/>
        </w:rPr>
        <w:t>You</w:t>
      </w:r>
      <w:r>
        <w:rPr>
          <w:color w:val="000000"/>
        </w:rPr>
        <w:t xml:space="preserve"> </w:t>
      </w:r>
      <w:r>
        <w:rPr>
          <w:rFonts w:ascii="Arial;sans-serif" w:hAnsi="Arial;sans-serif"/>
          <w:b w:val="false"/>
          <w:color w:val="000000"/>
          <w:sz w:val="24"/>
        </w:rPr>
        <w:t>will</w:t>
      </w:r>
      <w:r>
        <w:rPr>
          <w:color w:val="000000"/>
        </w:rPr>
        <w:t xml:space="preserve"> </w:t>
      </w:r>
      <w:r>
        <w:rPr>
          <w:rFonts w:ascii="Arial;sans-serif" w:hAnsi="Arial;sans-serif"/>
          <w:b w:val="false"/>
          <w:color w:val="000000"/>
          <w:sz w:val="24"/>
        </w:rPr>
        <w:t>be</w:t>
      </w:r>
      <w:r>
        <w:rPr>
          <w:color w:val="000000"/>
        </w:rPr>
        <w:t xml:space="preserve"> </w:t>
      </w:r>
      <w:r>
        <w:rPr>
          <w:rFonts w:ascii="Arial;sans-serif" w:hAnsi="Arial;sans-serif"/>
          <w:b w:val="false"/>
          <w:color w:val="000000"/>
          <w:sz w:val="24"/>
        </w:rPr>
        <w:t>eligible</w:t>
      </w:r>
      <w:r>
        <w:rPr>
          <w:color w:val="000000"/>
        </w:rPr>
        <w:t xml:space="preserve"> </w:t>
      </w:r>
      <w:r>
        <w:rPr>
          <w:rFonts w:ascii="Arial;sans-serif" w:hAnsi="Arial;sans-serif"/>
          <w:b w:val="false"/>
          <w:color w:val="000000"/>
          <w:sz w:val="24"/>
        </w:rPr>
        <w:t>for</w:t>
      </w:r>
      <w:r>
        <w:rPr>
          <w:color w:val="000000"/>
        </w:rPr>
        <w:t xml:space="preserve"> </w:t>
      </w:r>
      <w:r>
        <w:rPr>
          <w:rFonts w:ascii="Arial;sans-serif" w:hAnsi="Arial;sans-serif"/>
          <w:b w:val="false"/>
          <w:color w:val="000000"/>
          <w:sz w:val="24"/>
        </w:rPr>
        <w:t>30</w:t>
      </w:r>
      <w:r>
        <w:rPr>
          <w:color w:val="000000"/>
        </w:rPr>
        <w:t xml:space="preserve"> </w:t>
      </w:r>
      <w:r>
        <w:rPr>
          <w:rFonts w:ascii="Arial;sans-serif" w:hAnsi="Arial;sans-serif"/>
          <w:b w:val="false"/>
          <w:color w:val="000000"/>
          <w:sz w:val="24"/>
        </w:rPr>
        <w:t>days</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paid</w:t>
      </w:r>
      <w:r>
        <w:rPr>
          <w:color w:val="000000"/>
        </w:rPr>
        <w:t xml:space="preserve"> </w:t>
      </w:r>
      <w:r>
        <w:rPr>
          <w:rFonts w:ascii="Arial;sans-serif" w:hAnsi="Arial;sans-serif"/>
          <w:b w:val="false"/>
          <w:color w:val="000000"/>
          <w:sz w:val="24"/>
        </w:rPr>
        <w:t>time</w:t>
      </w:r>
      <w:r>
        <w:rPr>
          <w:color w:val="000000"/>
        </w:rPr>
        <w:t xml:space="preserve"> </w:t>
      </w:r>
      <w:r>
        <w:rPr>
          <w:rFonts w:ascii="Arial;sans-serif" w:hAnsi="Arial;sans-serif"/>
          <w:b w:val="false"/>
          <w:color w:val="000000"/>
          <w:sz w:val="24"/>
        </w:rPr>
        <w:t>off</w:t>
      </w:r>
      <w:r>
        <w:rPr>
          <w:color w:val="000000"/>
        </w:rPr>
        <w:t xml:space="preserve"> </w:t>
      </w:r>
      <w:r>
        <w:rPr>
          <w:rFonts w:ascii="Arial;sans-serif" w:hAnsi="Arial;sans-serif"/>
          <w:b w:val="false"/>
          <w:color w:val="000000"/>
          <w:sz w:val="24"/>
        </w:rPr>
        <w:t>annually.</w:t>
      </w:r>
      <w:r>
        <w:rPr>
          <w:color w:val="000000"/>
        </w:rPr>
        <w:t xml:space="preserve"> </w:t>
      </w:r>
      <w:r>
        <w:rPr>
          <w:rFonts w:ascii="Arial;sans-serif" w:hAnsi="Arial;sans-serif"/>
          <w:b w:val="false"/>
          <w:color w:val="000000"/>
          <w:sz w:val="24"/>
        </w:rPr>
        <w:t>Details</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4"/>
        </w:rPr>
        <w:t>terms</w:t>
      </w:r>
      <w:r>
        <w:rPr>
          <w:color w:val="000000"/>
        </w:rPr>
        <w:t xml:space="preserve"> </w:t>
      </w:r>
      <w:r>
        <w:rPr>
          <w:rFonts w:ascii="Arial;sans-serif" w:hAnsi="Arial;sans-serif"/>
          <w:b w:val="false"/>
          <w:color w:val="000000"/>
          <w:sz w:val="24"/>
        </w:rPr>
        <w:t>of these comprehensive benefits will be provided separately.</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4"/>
          <w:u w:val="single"/>
        </w:rPr>
        <w:t>Restrictive</w:t>
      </w:r>
      <w:r>
        <w:rPr>
          <w:color w:val="000000"/>
          <w:u w:val="single"/>
        </w:rPr>
        <w:t xml:space="preserve"> </w:t>
      </w:r>
      <w:r>
        <w:rPr>
          <w:rFonts w:ascii="Arial;sans-serif" w:hAnsi="Arial;sans-serif"/>
          <w:b/>
          <w:color w:val="000000"/>
          <w:sz w:val="24"/>
          <w:u w:val="single"/>
        </w:rPr>
        <w:t>Covenants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4"/>
        </w:rPr>
        <w:t>As</w:t>
      </w:r>
      <w:r>
        <w:rPr>
          <w:color w:val="000000"/>
        </w:rPr>
        <w:t xml:space="preserve"> </w:t>
      </w:r>
      <w:r>
        <w:rPr>
          <w:rFonts w:ascii="Arial;sans-serif" w:hAnsi="Arial;sans-serif"/>
          <w:b w:val="false"/>
          <w:color w:val="000000"/>
          <w:sz w:val="24"/>
        </w:rPr>
        <w:t>a</w:t>
      </w:r>
      <w:r>
        <w:rPr>
          <w:color w:val="000000"/>
        </w:rPr>
        <w:t xml:space="preserve"> </w:t>
      </w:r>
      <w:r>
        <w:rPr>
          <w:rFonts w:ascii="Arial;sans-serif" w:hAnsi="Arial;sans-serif"/>
          <w:b w:val="false"/>
          <w:color w:val="000000"/>
          <w:sz w:val="24"/>
        </w:rPr>
        <w:t>condition</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this</w:t>
      </w:r>
      <w:r>
        <w:rPr>
          <w:color w:val="000000"/>
        </w:rPr>
        <w:t xml:space="preserve"> </w:t>
      </w:r>
      <w:r>
        <w:rPr>
          <w:rFonts w:ascii="Arial;sans-serif" w:hAnsi="Arial;sans-serif"/>
          <w:b w:val="false"/>
          <w:color w:val="000000"/>
          <w:sz w:val="24"/>
        </w:rPr>
        <w:t>offer</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employment</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4"/>
        </w:rPr>
        <w:t>corresponding</w:t>
      </w:r>
      <w:r>
        <w:rPr>
          <w:color w:val="000000"/>
        </w:rPr>
        <w:t xml:space="preserve"> </w:t>
      </w:r>
      <w:r>
        <w:rPr>
          <w:rFonts w:ascii="Arial;sans-serif" w:hAnsi="Arial;sans-serif"/>
          <w:b w:val="false"/>
          <w:color w:val="000000"/>
          <w:sz w:val="24"/>
        </w:rPr>
        <w:t>consideration,</w:t>
      </w:r>
      <w:r>
        <w:rPr>
          <w:color w:val="000000"/>
        </w:rPr>
        <w:t xml:space="preserve"> </w:t>
      </w:r>
      <w:r>
        <w:rPr>
          <w:rFonts w:ascii="Arial;sans-serif" w:hAnsi="Arial;sans-serif"/>
          <w:b w:val="false"/>
          <w:color w:val="000000"/>
          <w:sz w:val="24"/>
        </w:rPr>
        <w:t>you</w:t>
      </w:r>
      <w:r>
        <w:rPr>
          <w:color w:val="000000"/>
        </w:rPr>
        <w:t xml:space="preserve"> </w:t>
      </w:r>
      <w:r>
        <w:rPr>
          <w:rFonts w:ascii="Arial;sans-serif" w:hAnsi="Arial;sans-serif"/>
          <w:b w:val="false"/>
          <w:color w:val="000000"/>
          <w:sz w:val="24"/>
        </w:rPr>
        <w:t>agree</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terms</w:t>
      </w:r>
      <w:r>
        <w:rPr>
          <w:color w:val="000000"/>
        </w:rPr>
        <w:t xml:space="preserve"> </w:t>
      </w:r>
      <w:r>
        <w:rPr>
          <w:rFonts w:ascii="Arial;sans-serif" w:hAnsi="Arial;sans-serif"/>
          <w:b w:val="false"/>
          <w:color w:val="000000"/>
          <w:sz w:val="24"/>
        </w:rPr>
        <w:t xml:space="preserve">and conditions of the Confidential Information, Intellectual Property and Restrictive Covenants Agreement (the “Covenant Agreement”) attached hereto as </w:t>
      </w:r>
      <w:r>
        <w:rPr>
          <w:rFonts w:ascii="Arial;sans-serif" w:hAnsi="Arial;sans-serif"/>
          <w:b/>
          <w:color w:val="000000"/>
          <w:sz w:val="24"/>
        </w:rPr>
        <w:t xml:space="preserve">Appendix A </w:t>
      </w:r>
      <w:r>
        <w:rPr>
          <w:rFonts w:ascii="Arial;sans-serif" w:hAnsi="Arial;sans-serif"/>
          <w:b w:val="false"/>
          <w:color w:val="000000"/>
          <w:sz w:val="24"/>
        </w:rPr>
        <w:t>and will acknowledge such Covenant Agreement by signing the Covenant Agreement simultaneously with this offer of employment.</w:t>
      </w:r>
    </w:p>
    <w:p>
      <w:pPr>
        <w:pStyle w:val="TextBody"/>
        <w:bidi w:val="0"/>
        <w:spacing w:before="0" w:after="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203325"/>
                <wp:effectExtent l="0" t="0" r="0" b="0"/>
                <wp:wrapNone/>
                <wp:docPr id="166" name="Frame57"/>
                <a:graphic xmlns:a="http://schemas.openxmlformats.org/drawingml/2006/main">
                  <a:graphicData uri="http://schemas.microsoft.com/office/word/2010/wordprocessingShape">
                    <wps:wsp>
                      <wps:cNvSpPr txBox="1"/>
                      <wps:spPr>
                        <a:xfrm>
                          <a:off x="0" y="0"/>
                          <a:ext cx="6480175" cy="1203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before="0" w:after="283"/>
                        <w:jc w:val="left"/>
                        <w:rPr/>
                      </w:pPr>
                      <w:r>
                        <w:rPr/>
                      </w:r>
                    </w:p>
                  </w:txbxContent>
                </v:textbox>
                <w10:wrap type="none"/>
              </v:rect>
            </w:pict>
          </mc:Fallback>
        </mc:AlternateContent>
      </w:r>
    </w:p>
    <w:tbl>
      <w:tblPr>
        <w:tblW w:w="4988" w:type="dxa"/>
        <w:jc w:val="left"/>
        <w:tblInd w:w="0" w:type="dxa"/>
        <w:tblLayout w:type="fixed"/>
        <w:tblCellMar>
          <w:top w:w="28" w:type="dxa"/>
          <w:left w:w="28" w:type="dxa"/>
          <w:bottom w:w="28" w:type="dxa"/>
          <w:right w:w="28" w:type="dxa"/>
        </w:tblCellMar>
      </w:tblPr>
      <w:tblGrid>
        <w:gridCol w:w="536"/>
        <w:gridCol w:w="472"/>
        <w:gridCol w:w="473"/>
        <w:gridCol w:w="109"/>
        <w:gridCol w:w="109"/>
        <w:gridCol w:w="109"/>
        <w:gridCol w:w="931"/>
        <w:gridCol w:w="931"/>
        <w:gridCol w:w="1318"/>
      </w:tblGrid>
      <w:tr>
        <w:trPr/>
        <w:tc>
          <w:tcPr>
            <w:tcW w:w="5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76300" cy="533400"/>
                  <wp:effectExtent l="0" t="0" r="0" b="0"/>
                  <wp:docPr id="16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8" descr=""/>
                          <pic:cNvPicPr>
                            <a:picLocks noChangeAspect="1" noChangeArrowheads="1"/>
                          </pic:cNvPicPr>
                        </pic:nvPicPr>
                        <pic:blipFill>
                          <a:blip r:embed="rId111"/>
                          <a:stretch>
                            <a:fillRect/>
                          </a:stretch>
                        </pic:blipFill>
                        <pic:spPr bwMode="auto">
                          <a:xfrm>
                            <a:off x="0" y="0"/>
                            <a:ext cx="876300" cy="5334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4"/>
              </w:rPr>
            </w:pPr>
            <w:r>
              <w:rPr>
                <w:rFonts w:ascii="sans-serif" w:hAnsi="sans-serif"/>
                <w:b w:val="false"/>
                <w:color w:val="000000"/>
                <w:sz w:val="24"/>
              </w:rPr>
              <w:t>Exhibit 10.1</w:t>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Mondelēz International Inc. Chicago, IL 60607 USA</w:t>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mondelezinternational.com</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color w:val="000000"/>
          <w:sz w:val="24"/>
          <w:u w:val="single"/>
        </w:rPr>
        <w:t>Section</w:t>
      </w:r>
      <w:r>
        <w:rPr>
          <w:color w:val="000000"/>
          <w:u w:val="single"/>
        </w:rPr>
        <w:t xml:space="preserve"> </w:t>
      </w:r>
      <w:r>
        <w:rPr>
          <w:rFonts w:ascii="Arial;sans-serif" w:hAnsi="Arial;sans-serif"/>
          <w:b/>
          <w:color w:val="000000"/>
          <w:sz w:val="24"/>
          <w:u w:val="single"/>
        </w:rPr>
        <w:t>409A</w:t>
      </w:r>
      <w:r>
        <w:rPr>
          <w:color w:val="000000"/>
          <w:u w:val="single"/>
        </w:rPr>
        <w:t xml:space="preserve"> </w:t>
      </w:r>
      <w:r>
        <w:rPr>
          <w:rFonts w:ascii="Arial;sans-serif" w:hAnsi="Arial;sans-serif"/>
          <w:b/>
          <w:color w:val="000000"/>
          <w:sz w:val="24"/>
          <w:u w:val="single"/>
        </w:rPr>
        <w:t>of</w:t>
      </w:r>
      <w:r>
        <w:rPr>
          <w:color w:val="000000"/>
          <w:u w:val="single"/>
        </w:rPr>
        <w:t xml:space="preserve"> </w:t>
      </w:r>
      <w:r>
        <w:rPr>
          <w:rFonts w:ascii="Arial;sans-serif" w:hAnsi="Arial;sans-serif"/>
          <w:b/>
          <w:color w:val="000000"/>
          <w:sz w:val="24"/>
          <w:u w:val="single"/>
        </w:rPr>
        <w:t>the</w:t>
      </w:r>
      <w:r>
        <w:rPr>
          <w:color w:val="000000"/>
          <w:u w:val="single"/>
        </w:rPr>
        <w:t xml:space="preserve"> </w:t>
      </w:r>
      <w:r>
        <w:rPr>
          <w:rFonts w:ascii="Arial;sans-serif" w:hAnsi="Arial;sans-serif"/>
          <w:b/>
          <w:color w:val="000000"/>
          <w:sz w:val="24"/>
          <w:u w:val="single"/>
        </w:rPr>
        <w:t>Internal</w:t>
      </w:r>
      <w:r>
        <w:rPr>
          <w:color w:val="000000"/>
          <w:u w:val="single"/>
        </w:rPr>
        <w:t xml:space="preserve"> </w:t>
      </w:r>
      <w:r>
        <w:rPr>
          <w:rFonts w:ascii="Arial;sans-serif" w:hAnsi="Arial;sans-serif"/>
          <w:b/>
          <w:color w:val="000000"/>
          <w:sz w:val="24"/>
          <w:u w:val="single"/>
        </w:rPr>
        <w:t>Revenue</w:t>
      </w:r>
      <w:r>
        <w:rPr>
          <w:color w:val="000000"/>
          <w:u w:val="single"/>
        </w:rPr>
        <w:t xml:space="preserve"> </w:t>
      </w:r>
      <w:r>
        <w:rPr>
          <w:rFonts w:ascii="Arial;sans-serif" w:hAnsi="Arial;sans-serif"/>
          <w:b/>
          <w:color w:val="000000"/>
          <w:sz w:val="24"/>
          <w:u w:val="single"/>
        </w:rPr>
        <w:t>Code</w:t>
      </w:r>
      <w:r>
        <w:rPr>
          <w:color w:val="000000"/>
          <w:u w:val="single"/>
        </w:rPr>
        <w:t xml:space="preserve"> </w:t>
      </w:r>
      <w:r>
        <w:rPr>
          <w:rFonts w:ascii="Arial;sans-serif" w:hAnsi="Arial;sans-serif"/>
          <w:b/>
          <w:color w:val="000000"/>
          <w:sz w:val="24"/>
          <w:u w:val="single"/>
        </w:rPr>
        <w:t>of</w:t>
      </w:r>
      <w:r>
        <w:rPr>
          <w:color w:val="000000"/>
          <w:u w:val="single"/>
        </w:rPr>
        <w:t xml:space="preserve"> </w:t>
      </w:r>
      <w:r>
        <w:rPr>
          <w:rFonts w:ascii="Arial;sans-serif" w:hAnsi="Arial;sans-serif"/>
          <w:b/>
          <w:color w:val="000000"/>
          <w:sz w:val="24"/>
          <w:u w:val="single"/>
        </w:rPr>
        <w:t>1986,</w:t>
      </w:r>
      <w:r>
        <w:rPr>
          <w:color w:val="000000"/>
          <w:u w:val="single"/>
        </w:rPr>
        <w:t xml:space="preserve"> </w:t>
      </w:r>
      <w:r>
        <w:rPr>
          <w:rFonts w:ascii="Arial;sans-serif" w:hAnsi="Arial;sans-serif"/>
          <w:b/>
          <w:color w:val="000000"/>
          <w:sz w:val="24"/>
          <w:u w:val="single"/>
        </w:rPr>
        <w:t>as</w:t>
      </w:r>
      <w:r>
        <w:rPr>
          <w:color w:val="000000"/>
          <w:u w:val="single"/>
        </w:rPr>
        <w:t xml:space="preserve"> </w:t>
      </w:r>
      <w:r>
        <w:rPr>
          <w:rFonts w:ascii="Arial;sans-serif" w:hAnsi="Arial;sans-serif"/>
          <w:b/>
          <w:color w:val="000000"/>
          <w:sz w:val="24"/>
          <w:u w:val="single"/>
        </w:rPr>
        <w:t>amended</w:t>
      </w:r>
      <w:r>
        <w:rPr>
          <w:color w:val="000000"/>
          <w:u w:val="single"/>
        </w:rPr>
        <w:t xml:space="preserve"> </w:t>
      </w:r>
      <w:r>
        <w:rPr>
          <w:rFonts w:ascii="Arial;sans-serif" w:hAnsi="Arial;sans-serif"/>
          <w:b/>
          <w:color w:val="000000"/>
          <w:sz w:val="24"/>
          <w:u w:val="single"/>
        </w:rPr>
        <w:t>(the</w:t>
      </w:r>
      <w:r>
        <w:rPr>
          <w:color w:val="000000"/>
          <w:u w:val="single"/>
        </w:rPr>
        <w:t xml:space="preserve"> “</w:t>
      </w:r>
      <w:r>
        <w:rPr>
          <w:rFonts w:ascii="Arial;sans-serif" w:hAnsi="Arial;sans-serif"/>
          <w:b/>
          <w:color w:val="000000"/>
          <w:sz w:val="24"/>
          <w:u w:val="single"/>
        </w:rPr>
        <w:t>Code”)</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4"/>
        </w:rPr>
        <w:t>No amount hereunder or under any other agreement that is subject to Code Section 409A (“Section 409A”) shall be payable upon a termination of your employment unless such termination constitutes a “separation</w:t>
      </w:r>
      <w:r>
        <w:rPr>
          <w:color w:val="000000"/>
        </w:rPr>
        <w:t xml:space="preserve"> </w:t>
      </w:r>
      <w:r>
        <w:rPr>
          <w:rFonts w:ascii="Arial;sans-serif" w:hAnsi="Arial;sans-serif"/>
          <w:b w:val="false"/>
          <w:color w:val="000000"/>
          <w:sz w:val="24"/>
        </w:rPr>
        <w:t>from</w:t>
      </w:r>
      <w:r>
        <w:rPr>
          <w:color w:val="000000"/>
        </w:rPr>
        <w:t xml:space="preserve"> </w:t>
      </w:r>
      <w:r>
        <w:rPr>
          <w:rFonts w:ascii="Arial;sans-serif" w:hAnsi="Arial;sans-serif"/>
          <w:b w:val="false"/>
          <w:color w:val="000000"/>
          <w:sz w:val="24"/>
        </w:rPr>
        <w:t>service”</w:t>
      </w:r>
      <w:r>
        <w:rPr>
          <w:color w:val="000000"/>
        </w:rPr>
        <w:t xml:space="preserve"> </w:t>
      </w:r>
      <w:r>
        <w:rPr>
          <w:rFonts w:ascii="Arial;sans-serif" w:hAnsi="Arial;sans-serif"/>
          <w:b w:val="false"/>
          <w:color w:val="000000"/>
          <w:sz w:val="24"/>
        </w:rPr>
        <w:t>with</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Company</w:t>
      </w:r>
      <w:r>
        <w:rPr>
          <w:color w:val="000000"/>
        </w:rPr>
        <w:t xml:space="preserve"> </w:t>
      </w:r>
      <w:r>
        <w:rPr>
          <w:rFonts w:ascii="Arial;sans-serif" w:hAnsi="Arial;sans-serif"/>
          <w:b w:val="false"/>
          <w:color w:val="000000"/>
          <w:sz w:val="24"/>
        </w:rPr>
        <w:t>under</w:t>
      </w:r>
      <w:r>
        <w:rPr>
          <w:color w:val="000000"/>
        </w:rPr>
        <w:t xml:space="preserve"> </w:t>
      </w:r>
      <w:r>
        <w:rPr>
          <w:rFonts w:ascii="Arial;sans-serif" w:hAnsi="Arial;sans-serif"/>
          <w:b w:val="false"/>
          <w:color w:val="000000"/>
          <w:sz w:val="24"/>
        </w:rPr>
        <w:t>Section</w:t>
      </w:r>
      <w:r>
        <w:rPr>
          <w:color w:val="000000"/>
        </w:rPr>
        <w:t xml:space="preserve"> </w:t>
      </w:r>
      <w:r>
        <w:rPr>
          <w:rFonts w:ascii="Arial;sans-serif" w:hAnsi="Arial;sans-serif"/>
          <w:b w:val="false"/>
          <w:color w:val="000000"/>
          <w:sz w:val="24"/>
        </w:rPr>
        <w:t>409A.</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maximum</w:t>
      </w:r>
      <w:r>
        <w:rPr>
          <w:color w:val="000000"/>
        </w:rPr>
        <w:t xml:space="preserve"> </w:t>
      </w:r>
      <w:r>
        <w:rPr>
          <w:rFonts w:ascii="Arial;sans-serif" w:hAnsi="Arial;sans-serif"/>
          <w:b w:val="false"/>
          <w:color w:val="000000"/>
          <w:sz w:val="24"/>
        </w:rPr>
        <w:t>extent</w:t>
      </w:r>
      <w:r>
        <w:rPr>
          <w:color w:val="000000"/>
        </w:rPr>
        <w:t xml:space="preserve"> </w:t>
      </w:r>
      <w:r>
        <w:rPr>
          <w:rFonts w:ascii="Arial;sans-serif" w:hAnsi="Arial;sans-serif"/>
          <w:b w:val="false"/>
          <w:color w:val="000000"/>
          <w:sz w:val="24"/>
        </w:rPr>
        <w:t>permitted</w:t>
      </w:r>
      <w:r>
        <w:rPr>
          <w:color w:val="000000"/>
        </w:rPr>
        <w:t xml:space="preserve"> </w:t>
      </w:r>
      <w:r>
        <w:rPr>
          <w:rFonts w:ascii="Arial;sans-serif" w:hAnsi="Arial;sans-serif"/>
          <w:b w:val="false"/>
          <w:color w:val="000000"/>
          <w:sz w:val="24"/>
        </w:rPr>
        <w:t>by applicable</w:t>
      </w:r>
      <w:r>
        <w:rPr>
          <w:color w:val="000000"/>
        </w:rPr>
        <w:t xml:space="preserve"> </w:t>
      </w:r>
      <w:r>
        <w:rPr>
          <w:rFonts w:ascii="Arial;sans-serif" w:hAnsi="Arial;sans-serif"/>
          <w:b w:val="false"/>
          <w:color w:val="000000"/>
          <w:sz w:val="24"/>
        </w:rPr>
        <w:t>law,</w:t>
      </w:r>
      <w:r>
        <w:rPr>
          <w:color w:val="000000"/>
        </w:rPr>
        <w:t xml:space="preserve"> </w:t>
      </w:r>
      <w:r>
        <w:rPr>
          <w:rFonts w:ascii="Arial;sans-serif" w:hAnsi="Arial;sans-serif"/>
          <w:b w:val="false"/>
          <w:color w:val="000000"/>
          <w:sz w:val="24"/>
        </w:rPr>
        <w:t>amounts</w:t>
      </w:r>
      <w:r>
        <w:rPr>
          <w:color w:val="000000"/>
        </w:rPr>
        <w:t xml:space="preserve"> </w:t>
      </w:r>
      <w:r>
        <w:rPr>
          <w:rFonts w:ascii="Arial;sans-serif" w:hAnsi="Arial;sans-serif"/>
          <w:b w:val="false"/>
          <w:color w:val="000000"/>
          <w:sz w:val="24"/>
        </w:rPr>
        <w:t>payable</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you</w:t>
      </w:r>
      <w:r>
        <w:rPr>
          <w:color w:val="000000"/>
        </w:rPr>
        <w:t xml:space="preserve"> </w:t>
      </w:r>
      <w:r>
        <w:rPr>
          <w:rFonts w:ascii="Arial;sans-serif" w:hAnsi="Arial;sans-serif"/>
          <w:b w:val="false"/>
          <w:color w:val="000000"/>
          <w:sz w:val="24"/>
        </w:rPr>
        <w:t>pursuant</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this</w:t>
      </w:r>
      <w:r>
        <w:rPr>
          <w:color w:val="000000"/>
        </w:rPr>
        <w:t xml:space="preserve"> </w:t>
      </w:r>
      <w:r>
        <w:rPr>
          <w:rFonts w:ascii="Arial;sans-serif" w:hAnsi="Arial;sans-serif"/>
          <w:b w:val="false"/>
          <w:color w:val="000000"/>
          <w:sz w:val="24"/>
        </w:rPr>
        <w:t>Offer</w:t>
      </w:r>
      <w:r>
        <w:rPr>
          <w:color w:val="000000"/>
        </w:rPr>
        <w:t xml:space="preserve"> </w:t>
      </w:r>
      <w:r>
        <w:rPr>
          <w:rFonts w:ascii="Arial;sans-serif" w:hAnsi="Arial;sans-serif"/>
          <w:b w:val="false"/>
          <w:color w:val="000000"/>
          <w:sz w:val="24"/>
        </w:rPr>
        <w:t>Letter</w:t>
      </w:r>
      <w:r>
        <w:rPr>
          <w:color w:val="000000"/>
        </w:rPr>
        <w:t xml:space="preserve"> </w:t>
      </w:r>
      <w:r>
        <w:rPr>
          <w:rFonts w:ascii="Arial;sans-serif" w:hAnsi="Arial;sans-serif"/>
          <w:b w:val="false"/>
          <w:color w:val="000000"/>
          <w:sz w:val="24"/>
        </w:rPr>
        <w:t>shall</w:t>
      </w:r>
      <w:r>
        <w:rPr>
          <w:color w:val="000000"/>
        </w:rPr>
        <w:t xml:space="preserve"> </w:t>
      </w:r>
      <w:r>
        <w:rPr>
          <w:rFonts w:ascii="Arial;sans-serif" w:hAnsi="Arial;sans-serif"/>
          <w:b w:val="false"/>
          <w:color w:val="000000"/>
          <w:sz w:val="24"/>
        </w:rPr>
        <w:t>be</w:t>
      </w:r>
      <w:r>
        <w:rPr>
          <w:color w:val="000000"/>
        </w:rPr>
        <w:t xml:space="preserve"> </w:t>
      </w:r>
      <w:r>
        <w:rPr>
          <w:rFonts w:ascii="Arial;sans-serif" w:hAnsi="Arial;sans-serif"/>
          <w:b w:val="false"/>
          <w:color w:val="000000"/>
          <w:sz w:val="24"/>
        </w:rPr>
        <w:t>made</w:t>
      </w:r>
      <w:r>
        <w:rPr>
          <w:color w:val="000000"/>
        </w:rPr>
        <w:t xml:space="preserve"> </w:t>
      </w:r>
      <w:r>
        <w:rPr>
          <w:rFonts w:ascii="Arial;sans-serif" w:hAnsi="Arial;sans-serif"/>
          <w:b w:val="false"/>
          <w:color w:val="000000"/>
          <w:sz w:val="24"/>
        </w:rPr>
        <w:t>in</w:t>
      </w:r>
      <w:r>
        <w:rPr>
          <w:color w:val="000000"/>
        </w:rPr>
        <w:t xml:space="preserve"> </w:t>
      </w:r>
      <w:r>
        <w:rPr>
          <w:rFonts w:ascii="Arial;sans-serif" w:hAnsi="Arial;sans-serif"/>
          <w:b w:val="false"/>
          <w:color w:val="000000"/>
          <w:sz w:val="24"/>
        </w:rPr>
        <w:t>reliance</w:t>
      </w:r>
      <w:r>
        <w:rPr>
          <w:color w:val="000000"/>
        </w:rPr>
        <w:t xml:space="preserve"> </w:t>
      </w:r>
      <w:r>
        <w:rPr>
          <w:rFonts w:ascii="Arial;sans-serif" w:hAnsi="Arial;sans-serif"/>
          <w:b w:val="false"/>
          <w:color w:val="000000"/>
          <w:sz w:val="24"/>
        </w:rPr>
        <w:t>upon</w:t>
      </w:r>
      <w:r>
        <w:rPr>
          <w:color w:val="000000"/>
        </w:rPr>
        <w:t xml:space="preserve"> </w:t>
      </w:r>
      <w:r>
        <w:rPr>
          <w:rFonts w:ascii="Arial;sans-serif" w:hAnsi="Arial;sans-serif"/>
          <w:b w:val="false"/>
          <w:color w:val="000000"/>
          <w:sz w:val="24"/>
        </w:rPr>
        <w:t>the exception for certain involuntary terminations under a separation pay plan or as short-term deferral under</w:t>
      </w:r>
      <w:r>
        <w:rPr>
          <w:color w:val="000000"/>
        </w:rPr>
        <w:t xml:space="preserve"> </w:t>
      </w:r>
      <w:r>
        <w:rPr>
          <w:rFonts w:ascii="Arial;sans-serif" w:hAnsi="Arial;sans-serif"/>
          <w:b w:val="false"/>
          <w:color w:val="000000"/>
          <w:sz w:val="24"/>
        </w:rPr>
        <w:t>Section</w:t>
      </w:r>
      <w:r>
        <w:rPr>
          <w:color w:val="000000"/>
        </w:rPr>
        <w:t xml:space="preserve"> </w:t>
      </w:r>
      <w:r>
        <w:rPr>
          <w:rFonts w:ascii="Arial;sans-serif" w:hAnsi="Arial;sans-serif"/>
          <w:b w:val="false"/>
          <w:color w:val="000000"/>
          <w:sz w:val="24"/>
        </w:rPr>
        <w:t>409A.</w:t>
      </w:r>
      <w:r>
        <w:rPr>
          <w:color w:val="000000"/>
        </w:rPr>
        <w:t xml:space="preserve"> </w:t>
      </w:r>
      <w:r>
        <w:rPr>
          <w:rFonts w:ascii="Arial;sans-serif" w:hAnsi="Arial;sans-serif"/>
          <w:b w:val="false"/>
          <w:color w:val="000000"/>
          <w:sz w:val="24"/>
        </w:rPr>
        <w:t>For</w:t>
      </w:r>
      <w:r>
        <w:rPr>
          <w:color w:val="000000"/>
        </w:rPr>
        <w:t xml:space="preserve"> </w:t>
      </w:r>
      <w:r>
        <w:rPr>
          <w:rFonts w:ascii="Arial;sans-serif" w:hAnsi="Arial;sans-serif"/>
          <w:b w:val="false"/>
          <w:color w:val="000000"/>
          <w:sz w:val="24"/>
        </w:rPr>
        <w:t>purposes</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Section</w:t>
      </w:r>
      <w:r>
        <w:rPr>
          <w:color w:val="000000"/>
        </w:rPr>
        <w:t xml:space="preserve"> </w:t>
      </w:r>
      <w:r>
        <w:rPr>
          <w:rFonts w:ascii="Arial;sans-serif" w:hAnsi="Arial;sans-serif"/>
          <w:b w:val="false"/>
          <w:color w:val="000000"/>
          <w:sz w:val="24"/>
        </w:rPr>
        <w:t>409A,</w:t>
      </w:r>
      <w:r>
        <w:rPr>
          <w:color w:val="000000"/>
        </w:rPr>
        <w:t xml:space="preserve"> </w:t>
      </w:r>
      <w:r>
        <w:rPr>
          <w:rFonts w:ascii="Arial;sans-serif" w:hAnsi="Arial;sans-serif"/>
          <w:b w:val="false"/>
          <w:color w:val="000000"/>
          <w:sz w:val="24"/>
        </w:rPr>
        <w:t>your</w:t>
      </w:r>
      <w:r>
        <w:rPr>
          <w:color w:val="000000"/>
        </w:rPr>
        <w:t xml:space="preserve"> </w:t>
      </w:r>
      <w:r>
        <w:rPr>
          <w:rFonts w:ascii="Arial;sans-serif" w:hAnsi="Arial;sans-serif"/>
          <w:b w:val="false"/>
          <w:color w:val="000000"/>
          <w:sz w:val="24"/>
        </w:rPr>
        <w:t>right</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receive</w:t>
      </w:r>
      <w:r>
        <w:rPr>
          <w:color w:val="000000"/>
        </w:rPr>
        <w:t xml:space="preserve"> </w:t>
      </w:r>
      <w:r>
        <w:rPr>
          <w:rFonts w:ascii="Arial;sans-serif" w:hAnsi="Arial;sans-serif"/>
          <w:b w:val="false"/>
          <w:color w:val="000000"/>
          <w:sz w:val="24"/>
        </w:rPr>
        <w:t>any</w:t>
      </w:r>
      <w:r>
        <w:rPr>
          <w:color w:val="000000"/>
        </w:rPr>
        <w:t xml:space="preserve"> </w:t>
      </w:r>
      <w:r>
        <w:rPr>
          <w:rFonts w:ascii="Arial;sans-serif" w:hAnsi="Arial;sans-serif"/>
          <w:b w:val="false"/>
          <w:color w:val="000000"/>
          <w:sz w:val="24"/>
        </w:rPr>
        <w:t>installment</w:t>
      </w:r>
      <w:r>
        <w:rPr>
          <w:color w:val="000000"/>
        </w:rPr>
        <w:t xml:space="preserve"> </w:t>
      </w:r>
      <w:r>
        <w:rPr>
          <w:rFonts w:ascii="Arial;sans-serif" w:hAnsi="Arial;sans-serif"/>
          <w:b w:val="false"/>
          <w:color w:val="000000"/>
          <w:sz w:val="24"/>
        </w:rPr>
        <w:t>payments</w:t>
      </w:r>
      <w:r>
        <w:rPr>
          <w:color w:val="000000"/>
        </w:rPr>
        <w:t xml:space="preserve"> </w:t>
      </w:r>
      <w:r>
        <w:rPr>
          <w:rFonts w:ascii="Arial;sans-serif" w:hAnsi="Arial;sans-serif"/>
          <w:b w:val="false"/>
          <w:color w:val="000000"/>
          <w:sz w:val="24"/>
        </w:rPr>
        <w:t>shall be treated as a right to receive a series of separate and distinct payments. To the extent any amount payable to you is subject to your entering into a release of claims with the Company and any such amount is a deferral of compensation under Section 409A and which amount could be payable to you in either of two taxable years, such payments shall be made or commence, as applicable, on the first date</w:t>
      </w:r>
      <w:r>
        <w:rPr>
          <w:color w:val="000000"/>
        </w:rPr>
        <w:t xml:space="preserve"> </w:t>
      </w:r>
      <w:r>
        <w:rPr>
          <w:rFonts w:ascii="Arial;sans-serif" w:hAnsi="Arial;sans-serif"/>
          <w:b w:val="false"/>
          <w:color w:val="000000"/>
          <w:sz w:val="24"/>
        </w:rPr>
        <w:t>otherwise</w:t>
      </w:r>
      <w:r>
        <w:rPr>
          <w:color w:val="000000"/>
        </w:rPr>
        <w:t xml:space="preserve"> </w:t>
      </w:r>
      <w:r>
        <w:rPr>
          <w:rFonts w:ascii="Arial;sans-serif" w:hAnsi="Arial;sans-serif"/>
          <w:b w:val="false"/>
          <w:color w:val="000000"/>
          <w:sz w:val="24"/>
        </w:rPr>
        <w:t>payable</w:t>
      </w:r>
      <w:r>
        <w:rPr>
          <w:color w:val="000000"/>
        </w:rPr>
        <w:t xml:space="preserve"> </w:t>
      </w:r>
      <w:r>
        <w:rPr>
          <w:rFonts w:ascii="Arial;sans-serif" w:hAnsi="Arial;sans-serif"/>
          <w:b w:val="false"/>
          <w:color w:val="000000"/>
          <w:sz w:val="24"/>
        </w:rPr>
        <w:t>but</w:t>
      </w:r>
      <w:r>
        <w:rPr>
          <w:color w:val="000000"/>
        </w:rPr>
        <w:t xml:space="preserve"> </w:t>
      </w:r>
      <w:r>
        <w:rPr>
          <w:rFonts w:ascii="Arial;sans-serif" w:hAnsi="Arial;sans-serif"/>
          <w:b w:val="false"/>
          <w:color w:val="000000"/>
          <w:sz w:val="24"/>
        </w:rPr>
        <w:t>in</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later</w:t>
      </w:r>
      <w:r>
        <w:rPr>
          <w:color w:val="000000"/>
        </w:rPr>
        <w:t xml:space="preserve"> </w:t>
      </w:r>
      <w:r>
        <w:rPr>
          <w:rFonts w:ascii="Arial;sans-serif" w:hAnsi="Arial;sans-serif"/>
          <w:b w:val="false"/>
          <w:color w:val="000000"/>
          <w:sz w:val="24"/>
        </w:rPr>
        <w:t>such</w:t>
      </w:r>
      <w:r>
        <w:rPr>
          <w:color w:val="000000"/>
        </w:rPr>
        <w:t xml:space="preserve"> </w:t>
      </w:r>
      <w:r>
        <w:rPr>
          <w:rFonts w:ascii="Arial;sans-serif" w:hAnsi="Arial;sans-serif"/>
          <w:b w:val="false"/>
          <w:color w:val="000000"/>
          <w:sz w:val="24"/>
        </w:rPr>
        <w:t>taxable</w:t>
      </w:r>
      <w:r>
        <w:rPr>
          <w:color w:val="000000"/>
        </w:rPr>
        <w:t xml:space="preserve"> </w:t>
      </w:r>
      <w:r>
        <w:rPr>
          <w:rFonts w:ascii="Arial;sans-serif" w:hAnsi="Arial;sans-serif"/>
          <w:b w:val="false"/>
          <w:color w:val="000000"/>
          <w:sz w:val="24"/>
        </w:rPr>
        <w:t>year</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4"/>
        </w:rPr>
        <w:t>shall</w:t>
      </w:r>
      <w:r>
        <w:rPr>
          <w:color w:val="000000"/>
        </w:rPr>
        <w:t xml:space="preserve"> </w:t>
      </w:r>
      <w:r>
        <w:rPr>
          <w:rFonts w:ascii="Arial;sans-serif" w:hAnsi="Arial;sans-serif"/>
          <w:b w:val="false"/>
          <w:color w:val="000000"/>
          <w:sz w:val="24"/>
        </w:rPr>
        <w:t>include</w:t>
      </w:r>
      <w:r>
        <w:rPr>
          <w:color w:val="000000"/>
        </w:rPr>
        <w:t xml:space="preserve"> </w:t>
      </w:r>
      <w:r>
        <w:rPr>
          <w:rFonts w:ascii="Arial;sans-serif" w:hAnsi="Arial;sans-serif"/>
          <w:b w:val="false"/>
          <w:color w:val="000000"/>
          <w:sz w:val="24"/>
        </w:rPr>
        <w:t>all</w:t>
      </w:r>
      <w:r>
        <w:rPr>
          <w:color w:val="000000"/>
        </w:rPr>
        <w:t xml:space="preserve"> </w:t>
      </w:r>
      <w:r>
        <w:rPr>
          <w:rFonts w:ascii="Arial;sans-serif" w:hAnsi="Arial;sans-serif"/>
          <w:b w:val="false"/>
          <w:color w:val="000000"/>
          <w:sz w:val="24"/>
        </w:rPr>
        <w:t>payments</w:t>
      </w:r>
      <w:r>
        <w:rPr>
          <w:color w:val="000000"/>
        </w:rPr>
        <w:t xml:space="preserve"> </w:t>
      </w:r>
      <w:r>
        <w:rPr>
          <w:rFonts w:ascii="Arial;sans-serif" w:hAnsi="Arial;sans-serif"/>
          <w:b w:val="false"/>
          <w:color w:val="000000"/>
          <w:sz w:val="24"/>
        </w:rPr>
        <w:t>that</w:t>
      </w:r>
      <w:r>
        <w:rPr>
          <w:color w:val="000000"/>
        </w:rPr>
        <w:t xml:space="preserve"> </w:t>
      </w:r>
      <w:r>
        <w:rPr>
          <w:rFonts w:ascii="Arial;sans-serif" w:hAnsi="Arial;sans-serif"/>
          <w:b w:val="false"/>
          <w:color w:val="000000"/>
          <w:sz w:val="24"/>
        </w:rPr>
        <w:t>otherwise would have been made before such date.</w:t>
      </w:r>
    </w:p>
    <w:p>
      <w:pPr>
        <w:pStyle w:val="TextBody"/>
        <w:bidi w:val="0"/>
        <w:spacing w:lineRule="auto" w:line="288" w:before="185" w:after="283"/>
        <w:ind w:left="0" w:right="0" w:hanging="1"/>
        <w:jc w:val="both"/>
        <w:rPr/>
      </w:pPr>
      <w:r>
        <w:rPr>
          <w:rFonts w:ascii="Arial;sans-serif" w:hAnsi="Arial;sans-serif"/>
          <w:b w:val="false"/>
          <w:color w:val="000000"/>
          <w:sz w:val="24"/>
        </w:rPr>
        <w:t>If you are a “specified employee” (within the meaning of Section 409A) as of your separation from service (within the meaning of Section 409A): (a) payment of any amounts under this Offer Letter (or under any severance arrangement pursuant to this Offer Letter) which the Company determines constitute the payment of nonqualified deferred compensation (within the meaning of Section 409A) and</w:t>
      </w:r>
      <w:r>
        <w:rPr>
          <w:color w:val="000000"/>
        </w:rPr>
        <w:t xml:space="preserve"> </w:t>
      </w:r>
      <w:r>
        <w:rPr>
          <w:rFonts w:ascii="Arial;sans-serif" w:hAnsi="Arial;sans-serif"/>
          <w:b w:val="false"/>
          <w:color w:val="000000"/>
          <w:sz w:val="24"/>
        </w:rPr>
        <w:t>which</w:t>
      </w:r>
      <w:r>
        <w:rPr>
          <w:color w:val="000000"/>
        </w:rPr>
        <w:t xml:space="preserve"> </w:t>
      </w:r>
      <w:r>
        <w:rPr>
          <w:rFonts w:ascii="Arial;sans-serif" w:hAnsi="Arial;sans-serif"/>
          <w:b w:val="false"/>
          <w:color w:val="000000"/>
          <w:sz w:val="24"/>
        </w:rPr>
        <w:t>would</w:t>
      </w:r>
      <w:r>
        <w:rPr>
          <w:color w:val="000000"/>
        </w:rPr>
        <w:t xml:space="preserve"> </w:t>
      </w:r>
      <w:r>
        <w:rPr>
          <w:rFonts w:ascii="Arial;sans-serif" w:hAnsi="Arial;sans-serif"/>
          <w:b w:val="false"/>
          <w:color w:val="000000"/>
          <w:sz w:val="24"/>
        </w:rPr>
        <w:t>otherwise</w:t>
      </w:r>
      <w:r>
        <w:rPr>
          <w:color w:val="000000"/>
        </w:rPr>
        <w:t xml:space="preserve"> </w:t>
      </w:r>
      <w:r>
        <w:rPr>
          <w:rFonts w:ascii="Arial;sans-serif" w:hAnsi="Arial;sans-serif"/>
          <w:b w:val="false"/>
          <w:color w:val="000000"/>
          <w:sz w:val="24"/>
        </w:rPr>
        <w:t>be</w:t>
      </w:r>
      <w:r>
        <w:rPr>
          <w:color w:val="000000"/>
        </w:rPr>
        <w:t xml:space="preserve"> </w:t>
      </w:r>
      <w:r>
        <w:rPr>
          <w:rFonts w:ascii="Arial;sans-serif" w:hAnsi="Arial;sans-serif"/>
          <w:b w:val="false"/>
          <w:color w:val="000000"/>
          <w:sz w:val="24"/>
        </w:rPr>
        <w:t>paid</w:t>
      </w:r>
      <w:r>
        <w:rPr>
          <w:color w:val="000000"/>
        </w:rPr>
        <w:t xml:space="preserve"> </w:t>
      </w:r>
      <w:r>
        <w:rPr>
          <w:rFonts w:ascii="Arial;sans-serif" w:hAnsi="Arial;sans-serif"/>
          <w:b w:val="false"/>
          <w:color w:val="000000"/>
          <w:sz w:val="24"/>
        </w:rPr>
        <w:t>upon</w:t>
      </w:r>
      <w:r>
        <w:rPr>
          <w:color w:val="000000"/>
        </w:rPr>
        <w:t xml:space="preserve"> </w:t>
      </w:r>
      <w:r>
        <w:rPr>
          <w:rFonts w:ascii="Arial;sans-serif" w:hAnsi="Arial;sans-serif"/>
          <w:b w:val="false"/>
          <w:color w:val="000000"/>
          <w:sz w:val="24"/>
        </w:rPr>
        <w:t>your</w:t>
      </w:r>
      <w:r>
        <w:rPr>
          <w:color w:val="000000"/>
        </w:rPr>
        <w:t xml:space="preserve"> </w:t>
      </w:r>
      <w:r>
        <w:rPr>
          <w:rFonts w:ascii="Arial;sans-serif" w:hAnsi="Arial;sans-serif"/>
          <w:b w:val="false"/>
          <w:color w:val="000000"/>
          <w:sz w:val="24"/>
        </w:rPr>
        <w:t>separation</w:t>
      </w:r>
      <w:r>
        <w:rPr>
          <w:color w:val="000000"/>
        </w:rPr>
        <w:t xml:space="preserve"> </w:t>
      </w:r>
      <w:r>
        <w:rPr>
          <w:rFonts w:ascii="Arial;sans-serif" w:hAnsi="Arial;sans-serif"/>
          <w:b w:val="false"/>
          <w:color w:val="000000"/>
          <w:sz w:val="24"/>
        </w:rPr>
        <w:t>from</w:t>
      </w:r>
      <w:r>
        <w:rPr>
          <w:color w:val="000000"/>
        </w:rPr>
        <w:t xml:space="preserve"> </w:t>
      </w:r>
      <w:r>
        <w:rPr>
          <w:rFonts w:ascii="Arial;sans-serif" w:hAnsi="Arial;sans-serif"/>
          <w:b w:val="false"/>
          <w:color w:val="000000"/>
          <w:sz w:val="24"/>
        </w:rPr>
        <w:t>service</w:t>
      </w:r>
      <w:r>
        <w:rPr>
          <w:color w:val="000000"/>
        </w:rPr>
        <w:t xml:space="preserve"> </w:t>
      </w:r>
      <w:r>
        <w:rPr>
          <w:rFonts w:ascii="Arial;sans-serif" w:hAnsi="Arial;sans-serif"/>
          <w:b w:val="false"/>
          <w:color w:val="000000"/>
          <w:sz w:val="24"/>
        </w:rPr>
        <w:t>shall</w:t>
      </w:r>
      <w:r>
        <w:rPr>
          <w:color w:val="000000"/>
        </w:rPr>
        <w:t xml:space="preserve"> </w:t>
      </w:r>
      <w:r>
        <w:rPr>
          <w:rFonts w:ascii="Arial;sans-serif" w:hAnsi="Arial;sans-serif"/>
          <w:b w:val="false"/>
          <w:color w:val="000000"/>
          <w:sz w:val="24"/>
        </w:rPr>
        <w:t>not</w:t>
      </w:r>
      <w:r>
        <w:rPr>
          <w:color w:val="000000"/>
        </w:rPr>
        <w:t xml:space="preserve"> </w:t>
      </w:r>
      <w:r>
        <w:rPr>
          <w:rFonts w:ascii="Arial;sans-serif" w:hAnsi="Arial;sans-serif"/>
          <w:b w:val="false"/>
          <w:color w:val="000000"/>
          <w:sz w:val="24"/>
        </w:rPr>
        <w:t>be</w:t>
      </w:r>
      <w:r>
        <w:rPr>
          <w:color w:val="000000"/>
        </w:rPr>
        <w:t xml:space="preserve"> </w:t>
      </w:r>
      <w:r>
        <w:rPr>
          <w:rFonts w:ascii="Arial;sans-serif" w:hAnsi="Arial;sans-serif"/>
          <w:b w:val="false"/>
          <w:color w:val="000000"/>
          <w:sz w:val="24"/>
        </w:rPr>
        <w:t>paid</w:t>
      </w:r>
      <w:r>
        <w:rPr>
          <w:color w:val="000000"/>
        </w:rPr>
        <w:t xml:space="preserve"> </w:t>
      </w:r>
      <w:r>
        <w:rPr>
          <w:rFonts w:ascii="Arial;sans-serif" w:hAnsi="Arial;sans-serif"/>
          <w:b w:val="false"/>
          <w:color w:val="000000"/>
          <w:sz w:val="24"/>
        </w:rPr>
        <w:t>before</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date that is six months after the date of your separation from service and any amounts that cannot be paid by reason of this limitation shall be accumulated and paid on the earlier of (x) your death and (y) the first</w:t>
      </w:r>
      <w:r>
        <w:rPr>
          <w:color w:val="000000"/>
        </w:rPr>
        <w:t xml:space="preserve"> </w:t>
      </w:r>
      <w:r>
        <w:rPr>
          <w:rFonts w:ascii="Arial;sans-serif" w:hAnsi="Arial;sans-serif"/>
          <w:b w:val="false"/>
          <w:color w:val="000000"/>
          <w:sz w:val="24"/>
        </w:rPr>
        <w:t>day</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seventh</w:t>
      </w:r>
      <w:r>
        <w:rPr>
          <w:color w:val="000000"/>
        </w:rPr>
        <w:t xml:space="preserve"> </w:t>
      </w:r>
      <w:r>
        <w:rPr>
          <w:rFonts w:ascii="Arial;sans-serif" w:hAnsi="Arial;sans-serif"/>
          <w:b w:val="false"/>
          <w:color w:val="000000"/>
          <w:sz w:val="24"/>
        </w:rPr>
        <w:t>month</w:t>
      </w:r>
      <w:r>
        <w:rPr>
          <w:color w:val="000000"/>
        </w:rPr>
        <w:t xml:space="preserve"> </w:t>
      </w:r>
      <w:r>
        <w:rPr>
          <w:rFonts w:ascii="Arial;sans-serif" w:hAnsi="Arial;sans-serif"/>
          <w:b w:val="false"/>
          <w:color w:val="000000"/>
          <w:sz w:val="24"/>
        </w:rPr>
        <w:t>(or</w:t>
      </w:r>
      <w:r>
        <w:rPr>
          <w:color w:val="000000"/>
        </w:rPr>
        <w:t xml:space="preserve"> </w:t>
      </w:r>
      <w:r>
        <w:rPr>
          <w:rFonts w:ascii="Arial;sans-serif" w:hAnsi="Arial;sans-serif"/>
          <w:b w:val="false"/>
          <w:color w:val="000000"/>
          <w:sz w:val="24"/>
        </w:rPr>
        <w:t>as</w:t>
      </w:r>
      <w:r>
        <w:rPr>
          <w:color w:val="000000"/>
        </w:rPr>
        <w:t xml:space="preserve"> </w:t>
      </w:r>
      <w:r>
        <w:rPr>
          <w:rFonts w:ascii="Arial;sans-serif" w:hAnsi="Arial;sans-serif"/>
          <w:b w:val="false"/>
          <w:color w:val="000000"/>
          <w:sz w:val="24"/>
        </w:rPr>
        <w:t>soon</w:t>
      </w:r>
      <w:r>
        <w:rPr>
          <w:color w:val="000000"/>
        </w:rPr>
        <w:t xml:space="preserve"> </w:t>
      </w:r>
      <w:r>
        <w:rPr>
          <w:rFonts w:ascii="Arial;sans-serif" w:hAnsi="Arial;sans-serif"/>
          <w:b w:val="false"/>
          <w:color w:val="000000"/>
          <w:sz w:val="24"/>
        </w:rPr>
        <w:t>as</w:t>
      </w:r>
      <w:r>
        <w:rPr>
          <w:color w:val="000000"/>
        </w:rPr>
        <w:t xml:space="preserve"> </w:t>
      </w:r>
      <w:r>
        <w:rPr>
          <w:rFonts w:ascii="Arial;sans-serif" w:hAnsi="Arial;sans-serif"/>
          <w:b w:val="false"/>
          <w:color w:val="000000"/>
          <w:sz w:val="24"/>
        </w:rPr>
        <w:t>administratively</w:t>
      </w:r>
      <w:r>
        <w:rPr>
          <w:color w:val="000000"/>
        </w:rPr>
        <w:t xml:space="preserve"> </w:t>
      </w:r>
      <w:r>
        <w:rPr>
          <w:rFonts w:ascii="Arial;sans-serif" w:hAnsi="Arial;sans-serif"/>
          <w:b w:val="false"/>
          <w:color w:val="000000"/>
          <w:sz w:val="24"/>
        </w:rPr>
        <w:t>possible</w:t>
      </w:r>
      <w:r>
        <w:rPr>
          <w:color w:val="000000"/>
        </w:rPr>
        <w:t xml:space="preserve"> </w:t>
      </w:r>
      <w:r>
        <w:rPr>
          <w:rFonts w:ascii="Arial;sans-serif" w:hAnsi="Arial;sans-serif"/>
          <w:b w:val="false"/>
          <w:color w:val="000000"/>
          <w:sz w:val="24"/>
        </w:rPr>
        <w:t>thereafter)</w:t>
      </w:r>
      <w:r>
        <w:rPr>
          <w:color w:val="000000"/>
        </w:rPr>
        <w:t xml:space="preserve"> </w:t>
      </w:r>
      <w:r>
        <w:rPr>
          <w:rFonts w:ascii="Arial;sans-serif" w:hAnsi="Arial;sans-serif"/>
          <w:b w:val="false"/>
          <w:color w:val="000000"/>
          <w:sz w:val="24"/>
        </w:rPr>
        <w:t>following</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date</w:t>
      </w:r>
      <w:r>
        <w:rPr>
          <w:color w:val="000000"/>
        </w:rPr>
        <w:t xml:space="preserve"> </w:t>
      </w:r>
      <w:r>
        <w:rPr>
          <w:rFonts w:ascii="Arial;sans-serif" w:hAnsi="Arial;sans-serif"/>
          <w:b w:val="false"/>
          <w:color w:val="000000"/>
          <w:sz w:val="24"/>
        </w:rPr>
        <w:t>of your</w:t>
      </w:r>
      <w:r>
        <w:rPr>
          <w:color w:val="000000"/>
        </w:rPr>
        <w:t xml:space="preserve"> </w:t>
      </w:r>
      <w:r>
        <w:rPr>
          <w:rFonts w:ascii="Arial;sans-serif" w:hAnsi="Arial;sans-serif"/>
          <w:b w:val="false"/>
          <w:color w:val="000000"/>
          <w:sz w:val="24"/>
        </w:rPr>
        <w:t>separation</w:t>
      </w:r>
      <w:r>
        <w:rPr>
          <w:color w:val="000000"/>
        </w:rPr>
        <w:t xml:space="preserve"> </w:t>
      </w:r>
      <w:r>
        <w:rPr>
          <w:rFonts w:ascii="Arial;sans-serif" w:hAnsi="Arial;sans-serif"/>
          <w:b w:val="false"/>
          <w:color w:val="000000"/>
          <w:sz w:val="24"/>
        </w:rPr>
        <w:t>from</w:t>
      </w:r>
      <w:r>
        <w:rPr>
          <w:color w:val="000000"/>
        </w:rPr>
        <w:t xml:space="preserve"> </w:t>
      </w:r>
      <w:r>
        <w:rPr>
          <w:rFonts w:ascii="Arial;sans-serif" w:hAnsi="Arial;sans-serif"/>
          <w:b w:val="false"/>
          <w:color w:val="000000"/>
          <w:sz w:val="24"/>
        </w:rPr>
        <w:t>service</w:t>
      </w:r>
      <w:r>
        <w:rPr>
          <w:color w:val="000000"/>
        </w:rPr>
        <w:t xml:space="preserve"> </w:t>
      </w:r>
      <w:r>
        <w:rPr>
          <w:rFonts w:ascii="Arial;sans-serif" w:hAnsi="Arial;sans-serif"/>
          <w:b w:val="false"/>
          <w:color w:val="000000"/>
          <w:sz w:val="24"/>
        </w:rPr>
        <w:t>(within</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meaning</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Section</w:t>
      </w:r>
      <w:r>
        <w:rPr>
          <w:color w:val="000000"/>
        </w:rPr>
        <w:t xml:space="preserve"> </w:t>
      </w:r>
      <w:r>
        <w:rPr>
          <w:rFonts w:ascii="Arial;sans-serif" w:hAnsi="Arial;sans-serif"/>
          <w:b w:val="false"/>
          <w:color w:val="000000"/>
          <w:sz w:val="24"/>
        </w:rPr>
        <w:t>409A);</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4"/>
        </w:rPr>
        <w:t>(b)</w:t>
      </w:r>
      <w:r>
        <w:rPr>
          <w:color w:val="000000"/>
        </w:rPr>
        <w:t xml:space="preserve"> </w:t>
      </w:r>
      <w:r>
        <w:rPr>
          <w:rFonts w:ascii="Arial;sans-serif" w:hAnsi="Arial;sans-serif"/>
          <w:b w:val="false"/>
          <w:color w:val="000000"/>
          <w:sz w:val="24"/>
        </w:rPr>
        <w:t>any</w:t>
      </w:r>
      <w:r>
        <w:rPr>
          <w:color w:val="000000"/>
        </w:rPr>
        <w:t xml:space="preserve"> </w:t>
      </w:r>
      <w:r>
        <w:rPr>
          <w:rFonts w:ascii="Arial;sans-serif" w:hAnsi="Arial;sans-serif"/>
          <w:b w:val="false"/>
          <w:color w:val="000000"/>
          <w:sz w:val="24"/>
        </w:rPr>
        <w:t>welfare</w:t>
      </w:r>
      <w:r>
        <w:rPr>
          <w:color w:val="000000"/>
        </w:rPr>
        <w:t xml:space="preserve"> </w:t>
      </w:r>
      <w:r>
        <w:rPr>
          <w:rFonts w:ascii="Arial;sans-serif" w:hAnsi="Arial;sans-serif"/>
          <w:b w:val="false"/>
          <w:color w:val="000000"/>
          <w:sz w:val="24"/>
        </w:rPr>
        <w:t>or</w:t>
      </w:r>
      <w:r>
        <w:rPr>
          <w:color w:val="000000"/>
        </w:rPr>
        <w:t xml:space="preserve"> </w:t>
      </w:r>
      <w:r>
        <w:rPr>
          <w:rFonts w:ascii="Arial;sans-serif" w:hAnsi="Arial;sans-serif"/>
          <w:b w:val="false"/>
          <w:color w:val="000000"/>
          <w:sz w:val="24"/>
        </w:rPr>
        <w:t>other</w:t>
      </w:r>
      <w:r>
        <w:rPr>
          <w:color w:val="000000"/>
        </w:rPr>
        <w:t xml:space="preserve"> </w:t>
      </w:r>
      <w:r>
        <w:rPr>
          <w:rFonts w:ascii="Arial;sans-serif" w:hAnsi="Arial;sans-serif"/>
          <w:b w:val="false"/>
          <w:color w:val="000000"/>
          <w:sz w:val="24"/>
        </w:rPr>
        <w:t>benefits (including</w:t>
      </w:r>
      <w:r>
        <w:rPr>
          <w:color w:val="000000"/>
        </w:rPr>
        <w:t xml:space="preserve"> </w:t>
      </w:r>
      <w:r>
        <w:rPr>
          <w:rFonts w:ascii="Arial;sans-serif" w:hAnsi="Arial;sans-serif"/>
          <w:b w:val="false"/>
          <w:color w:val="000000"/>
          <w:sz w:val="24"/>
        </w:rPr>
        <w:t>under</w:t>
      </w:r>
      <w:r>
        <w:rPr>
          <w:color w:val="000000"/>
        </w:rPr>
        <w:t xml:space="preserve"> </w:t>
      </w:r>
      <w:r>
        <w:rPr>
          <w:rFonts w:ascii="Arial;sans-serif" w:hAnsi="Arial;sans-serif"/>
          <w:b w:val="false"/>
          <w:color w:val="000000"/>
          <w:sz w:val="24"/>
        </w:rPr>
        <w:t>a</w:t>
      </w:r>
      <w:r>
        <w:rPr>
          <w:color w:val="000000"/>
        </w:rPr>
        <w:t xml:space="preserve"> </w:t>
      </w:r>
      <w:r>
        <w:rPr>
          <w:rFonts w:ascii="Arial;sans-serif" w:hAnsi="Arial;sans-serif"/>
          <w:b w:val="false"/>
          <w:color w:val="000000"/>
          <w:sz w:val="24"/>
        </w:rPr>
        <w:t>severance</w:t>
      </w:r>
      <w:r>
        <w:rPr>
          <w:color w:val="000000"/>
        </w:rPr>
        <w:t xml:space="preserve"> </w:t>
      </w:r>
      <w:r>
        <w:rPr>
          <w:rFonts w:ascii="Arial;sans-serif" w:hAnsi="Arial;sans-serif"/>
          <w:b w:val="false"/>
          <w:color w:val="000000"/>
          <w:sz w:val="24"/>
        </w:rPr>
        <w:t>arrangement)</w:t>
      </w:r>
      <w:r>
        <w:rPr>
          <w:color w:val="000000"/>
        </w:rPr>
        <w:t xml:space="preserve"> </w:t>
      </w:r>
      <w:r>
        <w:rPr>
          <w:rFonts w:ascii="Arial;sans-serif" w:hAnsi="Arial;sans-serif"/>
          <w:b w:val="false"/>
          <w:color w:val="000000"/>
          <w:sz w:val="24"/>
        </w:rPr>
        <w:t>which</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Company</w:t>
      </w:r>
      <w:r>
        <w:rPr>
          <w:color w:val="000000"/>
        </w:rPr>
        <w:t xml:space="preserve"> </w:t>
      </w:r>
      <w:r>
        <w:rPr>
          <w:rFonts w:ascii="Arial;sans-serif" w:hAnsi="Arial;sans-serif"/>
          <w:b w:val="false"/>
          <w:color w:val="000000"/>
          <w:sz w:val="24"/>
        </w:rPr>
        <w:t>determines</w:t>
      </w:r>
      <w:r>
        <w:rPr>
          <w:color w:val="000000"/>
        </w:rPr>
        <w:t xml:space="preserve"> </w:t>
      </w:r>
      <w:r>
        <w:rPr>
          <w:rFonts w:ascii="Arial;sans-serif" w:hAnsi="Arial;sans-serif"/>
          <w:b w:val="false"/>
          <w:color w:val="000000"/>
          <w:sz w:val="24"/>
        </w:rPr>
        <w:t>constitute</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payment</w:t>
      </w:r>
      <w:r>
        <w:rPr>
          <w:color w:val="000000"/>
        </w:rPr>
        <w:t xml:space="preserve"> </w:t>
      </w:r>
      <w:r>
        <w:rPr>
          <w:rFonts w:ascii="Arial;sans-serif" w:hAnsi="Arial;sans-serif"/>
          <w:b w:val="false"/>
          <w:color w:val="000000"/>
          <w:sz w:val="24"/>
        </w:rPr>
        <w:t>of nonqualified deferred compensation (within the meaning of Section 409A) and which would otherwise be provided upon your separation from service shall be provided at your sole cost during the first six- month period after your separation from service and, on the first day of the seventh month following your separation from service (or as soon as administratively possible), the Company shall reimburse you for the portion of such costs that would have been payable by the Company for that period if you were not a specified employee.</w:t>
      </w:r>
    </w:p>
    <w:p>
      <w:pPr>
        <w:pStyle w:val="TextBody"/>
        <w:bidi w:val="0"/>
        <w:spacing w:lineRule="auto" w:line="288" w:before="275" w:after="283"/>
        <w:jc w:val="both"/>
        <w:rPr/>
      </w:pPr>
      <w:r>
        <w:rPr>
          <w:rFonts w:ascii="Arial;sans-serif" w:hAnsi="Arial;sans-serif"/>
          <w:b w:val="false"/>
          <w:color w:val="000000"/>
          <w:sz w:val="24"/>
        </w:rPr>
        <w:t>Payment</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any</w:t>
      </w:r>
      <w:r>
        <w:rPr>
          <w:color w:val="000000"/>
        </w:rPr>
        <w:t xml:space="preserve"> </w:t>
      </w:r>
      <w:r>
        <w:rPr>
          <w:rFonts w:ascii="Arial;sans-serif" w:hAnsi="Arial;sans-serif"/>
          <w:b w:val="false"/>
          <w:color w:val="000000"/>
          <w:sz w:val="24"/>
        </w:rPr>
        <w:t>reimbursement</w:t>
      </w:r>
      <w:r>
        <w:rPr>
          <w:color w:val="000000"/>
        </w:rPr>
        <w:t xml:space="preserve"> </w:t>
      </w:r>
      <w:r>
        <w:rPr>
          <w:rFonts w:ascii="Arial;sans-serif" w:hAnsi="Arial;sans-serif"/>
          <w:b w:val="false"/>
          <w:color w:val="000000"/>
          <w:sz w:val="24"/>
        </w:rPr>
        <w:t>amounts</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provision</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benefits</w:t>
      </w:r>
      <w:r>
        <w:rPr>
          <w:color w:val="000000"/>
        </w:rPr>
        <w:t xml:space="preserve"> </w:t>
      </w:r>
      <w:r>
        <w:rPr>
          <w:rFonts w:ascii="Arial;sans-serif" w:hAnsi="Arial;sans-serif"/>
          <w:b w:val="false"/>
          <w:color w:val="000000"/>
          <w:sz w:val="24"/>
        </w:rPr>
        <w:t>by</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Company</w:t>
      </w:r>
      <w:r>
        <w:rPr>
          <w:color w:val="000000"/>
        </w:rPr>
        <w:t xml:space="preserve"> </w:t>
      </w:r>
      <w:r>
        <w:rPr>
          <w:rFonts w:ascii="Arial;sans-serif" w:hAnsi="Arial;sans-serif"/>
          <w:b w:val="false"/>
          <w:color w:val="000000"/>
          <w:sz w:val="24"/>
        </w:rPr>
        <w:t>pursuant</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this Offer Letter (including any reimbursements or benefits to be provided pursuant to a severance arrangement) which the Company determines constitute nonqualified deferred compensation (within the meaning of Section 409A) shall be subject to the following:</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Arial;sans-serif" w:hAnsi="Arial;sans-serif"/>
          <w:b w:val="false"/>
          <w:color w:val="000000"/>
          <w:sz w:val="24"/>
        </w:rPr>
        <w:t>(i)the amount of the expenses eligible for reimbursement or the in-kind benefits provided during any</w:t>
      </w:r>
      <w:r>
        <w:rPr>
          <w:color w:val="000000"/>
        </w:rPr>
        <w:t xml:space="preserve"> </w:t>
      </w:r>
      <w:r>
        <w:rPr>
          <w:rFonts w:ascii="Arial;sans-serif" w:hAnsi="Arial;sans-serif"/>
          <w:b w:val="false"/>
          <w:color w:val="000000"/>
          <w:sz w:val="24"/>
        </w:rPr>
        <w:t>calendar</w:t>
      </w:r>
      <w:r>
        <w:rPr>
          <w:color w:val="000000"/>
        </w:rPr>
        <w:t xml:space="preserve"> </w:t>
      </w:r>
      <w:r>
        <w:rPr>
          <w:rFonts w:ascii="Arial;sans-serif" w:hAnsi="Arial;sans-serif"/>
          <w:b w:val="false"/>
          <w:color w:val="000000"/>
          <w:sz w:val="24"/>
        </w:rPr>
        <w:t>year</w:t>
      </w:r>
      <w:r>
        <w:rPr>
          <w:color w:val="000000"/>
        </w:rPr>
        <w:t xml:space="preserve"> </w:t>
      </w:r>
      <w:r>
        <w:rPr>
          <w:rFonts w:ascii="Arial;sans-serif" w:hAnsi="Arial;sans-serif"/>
          <w:b w:val="false"/>
          <w:color w:val="000000"/>
          <w:sz w:val="24"/>
        </w:rPr>
        <w:t>shall</w:t>
      </w:r>
      <w:r>
        <w:rPr>
          <w:color w:val="000000"/>
        </w:rPr>
        <w:t xml:space="preserve"> </w:t>
      </w:r>
      <w:r>
        <w:rPr>
          <w:rFonts w:ascii="Arial;sans-serif" w:hAnsi="Arial;sans-serif"/>
          <w:b w:val="false"/>
          <w:color w:val="000000"/>
          <w:sz w:val="24"/>
        </w:rPr>
        <w:t>not</w:t>
      </w:r>
      <w:r>
        <w:rPr>
          <w:color w:val="000000"/>
        </w:rPr>
        <w:t xml:space="preserve"> </w:t>
      </w:r>
      <w:r>
        <w:rPr>
          <w:rFonts w:ascii="Arial;sans-serif" w:hAnsi="Arial;sans-serif"/>
          <w:b w:val="false"/>
          <w:color w:val="000000"/>
          <w:sz w:val="24"/>
        </w:rPr>
        <w:t>affect</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amount</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expenses</w:t>
      </w:r>
      <w:r>
        <w:rPr>
          <w:color w:val="000000"/>
        </w:rPr>
        <w:t xml:space="preserve"> </w:t>
      </w:r>
      <w:r>
        <w:rPr>
          <w:rFonts w:ascii="Arial;sans-serif" w:hAnsi="Arial;sans-serif"/>
          <w:b w:val="false"/>
          <w:color w:val="000000"/>
          <w:sz w:val="24"/>
        </w:rPr>
        <w:t>eligible</w:t>
      </w:r>
      <w:r>
        <w:rPr>
          <w:color w:val="000000"/>
        </w:rPr>
        <w:t xml:space="preserve"> </w:t>
      </w:r>
      <w:r>
        <w:rPr>
          <w:rFonts w:ascii="Arial;sans-serif" w:hAnsi="Arial;sans-serif"/>
          <w:b w:val="false"/>
          <w:color w:val="000000"/>
          <w:sz w:val="24"/>
        </w:rPr>
        <w:t>for</w:t>
      </w:r>
      <w:r>
        <w:rPr>
          <w:color w:val="000000"/>
        </w:rPr>
        <w:t xml:space="preserve"> </w:t>
      </w:r>
      <w:r>
        <w:rPr>
          <w:rFonts w:ascii="Arial;sans-serif" w:hAnsi="Arial;sans-serif"/>
          <w:b w:val="false"/>
          <w:color w:val="000000"/>
          <w:sz w:val="24"/>
        </w:rPr>
        <w:t>reimbursement</w:t>
      </w:r>
      <w:r>
        <w:rPr>
          <w:color w:val="000000"/>
        </w:rPr>
        <w:t xml:space="preserve"> </w:t>
      </w:r>
      <w:r>
        <w:rPr>
          <w:rFonts w:ascii="Arial;sans-serif" w:hAnsi="Arial;sans-serif"/>
          <w:b w:val="false"/>
          <w:color w:val="000000"/>
          <w:sz w:val="24"/>
        </w:rPr>
        <w:t>or</w:t>
      </w:r>
      <w:r>
        <w:rPr>
          <w:color w:val="000000"/>
        </w:rPr>
        <w:t xml:space="preserve"> </w:t>
      </w:r>
      <w:r>
        <w:rPr>
          <w:rFonts w:ascii="Arial;sans-serif" w:hAnsi="Arial;sans-serif"/>
          <w:b w:val="false"/>
          <w:color w:val="000000"/>
          <w:sz w:val="24"/>
        </w:rPr>
        <w:t>the in-kind benefits to be provided in any other calendar year;</w:t>
      </w:r>
    </w:p>
    <w:p>
      <w:pPr>
        <w:pStyle w:val="TextBody"/>
        <w:bidi w:val="0"/>
        <w:spacing w:before="0" w:after="0"/>
        <w:ind w:left="0" w:right="0" w:hanging="360"/>
        <w:jc w:val="both"/>
        <w:rPr/>
      </w:pPr>
      <w:r>
        <w:rPr/>
      </w:r>
    </w:p>
    <w:p>
      <w:pPr>
        <w:pStyle w:val="TextBody"/>
        <w:bidi w:val="0"/>
        <w:spacing w:before="0" w:after="0"/>
        <w:ind w:left="0" w:right="0" w:firstLine="720"/>
        <w:jc w:val="both"/>
        <w:rPr/>
      </w:pPr>
      <w:r>
        <w:rPr/>
      </w:r>
    </w:p>
    <w:p>
      <w:pPr>
        <w:pStyle w:val="TextBody"/>
        <w:bidi w:val="0"/>
        <w:spacing w:before="0" w:after="0"/>
        <w:ind w:left="0" w:right="0" w:hanging="36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203325"/>
                <wp:effectExtent l="0" t="0" r="0" b="0"/>
                <wp:wrapNone/>
                <wp:docPr id="168" name="Frame58"/>
                <a:graphic xmlns:a="http://schemas.openxmlformats.org/drawingml/2006/main">
                  <a:graphicData uri="http://schemas.microsoft.com/office/word/2010/wordprocessingShape">
                    <wps:wsp>
                      <wps:cNvSpPr txBox="1"/>
                      <wps:spPr>
                        <a:xfrm>
                          <a:off x="0" y="0"/>
                          <a:ext cx="6480175" cy="1203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before="0" w:after="283"/>
                        <w:jc w:val="left"/>
                        <w:rPr/>
                      </w:pPr>
                      <w:r>
                        <w:rPr/>
                      </w:r>
                    </w:p>
                  </w:txbxContent>
                </v:textbox>
                <w10:wrap type="none"/>
              </v:rect>
            </w:pict>
          </mc:Fallback>
        </mc:AlternateContent>
      </w:r>
    </w:p>
    <w:tbl>
      <w:tblPr>
        <w:tblW w:w="4988" w:type="dxa"/>
        <w:jc w:val="left"/>
        <w:tblInd w:w="0" w:type="dxa"/>
        <w:tblLayout w:type="fixed"/>
        <w:tblCellMar>
          <w:top w:w="28" w:type="dxa"/>
          <w:left w:w="28" w:type="dxa"/>
          <w:bottom w:w="28" w:type="dxa"/>
          <w:right w:w="28" w:type="dxa"/>
        </w:tblCellMar>
      </w:tblPr>
      <w:tblGrid>
        <w:gridCol w:w="536"/>
        <w:gridCol w:w="472"/>
        <w:gridCol w:w="473"/>
        <w:gridCol w:w="109"/>
        <w:gridCol w:w="109"/>
        <w:gridCol w:w="109"/>
        <w:gridCol w:w="931"/>
        <w:gridCol w:w="931"/>
        <w:gridCol w:w="1318"/>
      </w:tblGrid>
      <w:tr>
        <w:trPr/>
        <w:tc>
          <w:tcPr>
            <w:tcW w:w="5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76300" cy="533400"/>
                  <wp:effectExtent l="0" t="0" r="0" b="0"/>
                  <wp:docPr id="16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59" descr=""/>
                          <pic:cNvPicPr>
                            <a:picLocks noChangeAspect="1" noChangeArrowheads="1"/>
                          </pic:cNvPicPr>
                        </pic:nvPicPr>
                        <pic:blipFill>
                          <a:blip r:embed="rId112"/>
                          <a:stretch>
                            <a:fillRect/>
                          </a:stretch>
                        </pic:blipFill>
                        <pic:spPr bwMode="auto">
                          <a:xfrm>
                            <a:off x="0" y="0"/>
                            <a:ext cx="876300" cy="5334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4"/>
              </w:rPr>
            </w:pPr>
            <w:r>
              <w:rPr>
                <w:rFonts w:ascii="sans-serif" w:hAnsi="sans-serif"/>
                <w:b w:val="false"/>
                <w:color w:val="000000"/>
                <w:sz w:val="24"/>
              </w:rPr>
              <w:t>Exhibit 10.1</w:t>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Mondelēz International Inc. Chicago, IL 60607 USA</w:t>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mondelezinternational.com</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pPr>
      <w:r>
        <w:rPr>
          <w:rFonts w:ascii="Arial;sans-serif" w:hAnsi="Arial;sans-serif"/>
          <w:b w:val="false"/>
          <w:color w:val="000000"/>
          <w:sz w:val="24"/>
        </w:rPr>
        <w:t>(ii)the</w:t>
      </w:r>
      <w:r>
        <w:rPr>
          <w:color w:val="000000"/>
        </w:rPr>
        <w:t xml:space="preserve"> </w:t>
      </w:r>
      <w:r>
        <w:rPr>
          <w:rFonts w:ascii="Arial;sans-serif" w:hAnsi="Arial;sans-serif"/>
          <w:b w:val="false"/>
          <w:color w:val="000000"/>
          <w:sz w:val="24"/>
        </w:rPr>
        <w:t>reimbursement</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an</w:t>
      </w:r>
      <w:r>
        <w:rPr>
          <w:color w:val="000000"/>
        </w:rPr>
        <w:t xml:space="preserve"> </w:t>
      </w:r>
      <w:r>
        <w:rPr>
          <w:rFonts w:ascii="Arial;sans-serif" w:hAnsi="Arial;sans-serif"/>
          <w:b w:val="false"/>
          <w:color w:val="000000"/>
          <w:sz w:val="24"/>
        </w:rPr>
        <w:t>eligible</w:t>
      </w:r>
      <w:r>
        <w:rPr>
          <w:color w:val="000000"/>
        </w:rPr>
        <w:t xml:space="preserve"> </w:t>
      </w:r>
      <w:r>
        <w:rPr>
          <w:rFonts w:ascii="Arial;sans-serif" w:hAnsi="Arial;sans-serif"/>
          <w:b w:val="false"/>
          <w:color w:val="000000"/>
          <w:sz w:val="24"/>
        </w:rPr>
        <w:t>expense</w:t>
      </w:r>
      <w:r>
        <w:rPr>
          <w:color w:val="000000"/>
        </w:rPr>
        <w:t xml:space="preserve"> </w:t>
      </w:r>
      <w:r>
        <w:rPr>
          <w:rFonts w:ascii="Arial;sans-serif" w:hAnsi="Arial;sans-serif"/>
          <w:b w:val="false"/>
          <w:color w:val="000000"/>
          <w:sz w:val="24"/>
        </w:rPr>
        <w:t>will</w:t>
      </w:r>
      <w:r>
        <w:rPr>
          <w:color w:val="000000"/>
        </w:rPr>
        <w:t xml:space="preserve"> </w:t>
      </w:r>
      <w:r>
        <w:rPr>
          <w:rFonts w:ascii="Arial;sans-serif" w:hAnsi="Arial;sans-serif"/>
          <w:b w:val="false"/>
          <w:color w:val="000000"/>
          <w:sz w:val="24"/>
        </w:rPr>
        <w:t>be</w:t>
      </w:r>
      <w:r>
        <w:rPr>
          <w:color w:val="000000"/>
        </w:rPr>
        <w:t xml:space="preserve"> </w:t>
      </w:r>
      <w:r>
        <w:rPr>
          <w:rFonts w:ascii="Arial;sans-serif" w:hAnsi="Arial;sans-serif"/>
          <w:b w:val="false"/>
          <w:color w:val="000000"/>
          <w:sz w:val="24"/>
        </w:rPr>
        <w:t>made</w:t>
      </w:r>
      <w:r>
        <w:rPr>
          <w:color w:val="000000"/>
        </w:rPr>
        <w:t xml:space="preserve"> </w:t>
      </w:r>
      <w:r>
        <w:rPr>
          <w:rFonts w:ascii="Arial;sans-serif" w:hAnsi="Arial;sans-serif"/>
          <w:b w:val="false"/>
          <w:color w:val="000000"/>
          <w:sz w:val="24"/>
        </w:rPr>
        <w:t>on</w:t>
      </w:r>
      <w:r>
        <w:rPr>
          <w:color w:val="000000"/>
        </w:rPr>
        <w:t xml:space="preserve"> </w:t>
      </w:r>
      <w:r>
        <w:rPr>
          <w:rFonts w:ascii="Arial;sans-serif" w:hAnsi="Arial;sans-serif"/>
          <w:b w:val="false"/>
          <w:color w:val="000000"/>
          <w:sz w:val="24"/>
        </w:rPr>
        <w:t>or</w:t>
      </w:r>
      <w:r>
        <w:rPr>
          <w:color w:val="000000"/>
        </w:rPr>
        <w:t xml:space="preserve"> </w:t>
      </w:r>
      <w:r>
        <w:rPr>
          <w:rFonts w:ascii="Arial;sans-serif" w:hAnsi="Arial;sans-serif"/>
          <w:b w:val="false"/>
          <w:color w:val="000000"/>
          <w:sz w:val="24"/>
        </w:rPr>
        <w:t>before</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last</w:t>
      </w:r>
      <w:r>
        <w:rPr>
          <w:color w:val="000000"/>
        </w:rPr>
        <w:t xml:space="preserve"> </w:t>
      </w:r>
      <w:r>
        <w:rPr>
          <w:rFonts w:ascii="Arial;sans-serif" w:hAnsi="Arial;sans-serif"/>
          <w:b w:val="false"/>
          <w:color w:val="000000"/>
          <w:sz w:val="24"/>
        </w:rPr>
        <w:t>day</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calendar year following the calendar year in which the expense was incurred; and</w:t>
      </w:r>
    </w:p>
    <w:p>
      <w:pPr>
        <w:pStyle w:val="TextBody"/>
        <w:bidi w:val="0"/>
        <w:spacing w:lineRule="auto" w:line="288" w:before="0" w:after="0"/>
        <w:ind w:left="0" w:right="0" w:hanging="720"/>
        <w:jc w:val="both"/>
        <w:rPr>
          <w:rFonts w:ascii="Arial;sans-serif" w:hAnsi="Arial;sans-serif"/>
          <w:b w:val="false"/>
          <w:color w:val="000000"/>
          <w:sz w:val="24"/>
        </w:rPr>
      </w:pPr>
      <w:r>
        <w:rPr>
          <w:rFonts w:ascii="Arial;sans-serif" w:hAnsi="Arial;sans-serif"/>
          <w:b w:val="false"/>
          <w:color w:val="000000"/>
          <w:sz w:val="24"/>
        </w:rPr>
        <w:t>(iii)your right to reimbursement or in-kind benefits is not subject to liquidation or exchange for any other benefit.</w:t>
      </w:r>
    </w:p>
    <w:p>
      <w:pPr>
        <w:pStyle w:val="TextBody"/>
        <w:bidi w:val="0"/>
        <w:spacing w:lineRule="auto" w:line="288" w:before="253" w:after="283"/>
        <w:jc w:val="both"/>
        <w:rPr/>
      </w:pPr>
      <w:r>
        <w:rPr>
          <w:rFonts w:ascii="Arial;sans-serif" w:hAnsi="Arial;sans-serif"/>
          <w:b w:val="false"/>
          <w:color w:val="000000"/>
          <w:sz w:val="24"/>
        </w:rPr>
        <w:t>The parties hereto intend that all compensation, benefits and other payments made to you hereunder will</w:t>
      </w:r>
      <w:r>
        <w:rPr>
          <w:color w:val="000000"/>
        </w:rPr>
        <w:t xml:space="preserve"> </w:t>
      </w:r>
      <w:r>
        <w:rPr>
          <w:rFonts w:ascii="Arial;sans-serif" w:hAnsi="Arial;sans-serif"/>
          <w:b w:val="false"/>
          <w:color w:val="000000"/>
          <w:sz w:val="24"/>
        </w:rPr>
        <w:t>be</w:t>
      </w:r>
      <w:r>
        <w:rPr>
          <w:color w:val="000000"/>
        </w:rPr>
        <w:t xml:space="preserve"> </w:t>
      </w:r>
      <w:r>
        <w:rPr>
          <w:rFonts w:ascii="Arial;sans-serif" w:hAnsi="Arial;sans-serif"/>
          <w:b w:val="false"/>
          <w:color w:val="000000"/>
          <w:sz w:val="24"/>
        </w:rPr>
        <w:t>provided</w:t>
      </w:r>
      <w:r>
        <w:rPr>
          <w:color w:val="000000"/>
        </w:rPr>
        <w:t xml:space="preserve"> </w:t>
      </w:r>
      <w:r>
        <w:rPr>
          <w:rFonts w:ascii="Arial;sans-serif" w:hAnsi="Arial;sans-serif"/>
          <w:b w:val="false"/>
          <w:color w:val="000000"/>
          <w:sz w:val="24"/>
        </w:rPr>
        <w:t>or</w:t>
      </w:r>
      <w:r>
        <w:rPr>
          <w:color w:val="000000"/>
        </w:rPr>
        <w:t xml:space="preserve"> </w:t>
      </w:r>
      <w:r>
        <w:rPr>
          <w:rFonts w:ascii="Arial;sans-serif" w:hAnsi="Arial;sans-serif"/>
          <w:b w:val="false"/>
          <w:color w:val="000000"/>
          <w:sz w:val="24"/>
        </w:rPr>
        <w:t>paid</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you</w:t>
      </w:r>
      <w:r>
        <w:rPr>
          <w:color w:val="000000"/>
        </w:rPr>
        <w:t xml:space="preserve"> </w:t>
      </w:r>
      <w:r>
        <w:rPr>
          <w:rFonts w:ascii="Arial;sans-serif" w:hAnsi="Arial;sans-serif"/>
          <w:b w:val="false"/>
          <w:color w:val="000000"/>
          <w:sz w:val="24"/>
        </w:rPr>
        <w:t>in</w:t>
      </w:r>
      <w:r>
        <w:rPr>
          <w:color w:val="000000"/>
        </w:rPr>
        <w:t xml:space="preserve"> </w:t>
      </w:r>
      <w:r>
        <w:rPr>
          <w:rFonts w:ascii="Arial;sans-serif" w:hAnsi="Arial;sans-serif"/>
          <w:b w:val="false"/>
          <w:color w:val="000000"/>
          <w:sz w:val="24"/>
        </w:rPr>
        <w:t>compliance</w:t>
      </w:r>
      <w:r>
        <w:rPr>
          <w:color w:val="000000"/>
        </w:rPr>
        <w:t xml:space="preserve"> </w:t>
      </w:r>
      <w:r>
        <w:rPr>
          <w:rFonts w:ascii="Arial;sans-serif" w:hAnsi="Arial;sans-serif"/>
          <w:b w:val="false"/>
          <w:color w:val="000000"/>
          <w:sz w:val="24"/>
        </w:rPr>
        <w:t>with</w:t>
      </w:r>
      <w:r>
        <w:rPr>
          <w:color w:val="000000"/>
        </w:rPr>
        <w:t xml:space="preserve"> </w:t>
      </w:r>
      <w:r>
        <w:rPr>
          <w:rFonts w:ascii="Arial;sans-serif" w:hAnsi="Arial;sans-serif"/>
          <w:b w:val="false"/>
          <w:color w:val="000000"/>
          <w:sz w:val="24"/>
        </w:rPr>
        <w:t>all</w:t>
      </w:r>
      <w:r>
        <w:rPr>
          <w:color w:val="000000"/>
        </w:rPr>
        <w:t xml:space="preserve"> </w:t>
      </w:r>
      <w:r>
        <w:rPr>
          <w:rFonts w:ascii="Arial;sans-serif" w:hAnsi="Arial;sans-serif"/>
          <w:b w:val="false"/>
          <w:color w:val="000000"/>
          <w:sz w:val="24"/>
        </w:rPr>
        <w:t>applicable</w:t>
      </w:r>
      <w:r>
        <w:rPr>
          <w:color w:val="000000"/>
        </w:rPr>
        <w:t xml:space="preserve"> </w:t>
      </w:r>
      <w:r>
        <w:rPr>
          <w:rFonts w:ascii="Arial;sans-serif" w:hAnsi="Arial;sans-serif"/>
          <w:b w:val="false"/>
          <w:color w:val="000000"/>
          <w:sz w:val="24"/>
        </w:rPr>
        <w:t>provisions,</w:t>
      </w:r>
      <w:r>
        <w:rPr>
          <w:color w:val="000000"/>
        </w:rPr>
        <w:t xml:space="preserve"> </w:t>
      </w:r>
      <w:r>
        <w:rPr>
          <w:rFonts w:ascii="Arial;sans-serif" w:hAnsi="Arial;sans-serif"/>
          <w:b w:val="false"/>
          <w:color w:val="000000"/>
          <w:sz w:val="24"/>
        </w:rPr>
        <w:t>or</w:t>
      </w:r>
      <w:r>
        <w:rPr>
          <w:color w:val="000000"/>
        </w:rPr>
        <w:t xml:space="preserve"> </w:t>
      </w:r>
      <w:r>
        <w:rPr>
          <w:rFonts w:ascii="Arial;sans-serif" w:hAnsi="Arial;sans-serif"/>
          <w:b w:val="false"/>
          <w:color w:val="000000"/>
          <w:sz w:val="24"/>
        </w:rPr>
        <w:t>an</w:t>
      </w:r>
      <w:r>
        <w:rPr>
          <w:color w:val="000000"/>
        </w:rPr>
        <w:t xml:space="preserve"> </w:t>
      </w:r>
      <w:r>
        <w:rPr>
          <w:rFonts w:ascii="Arial;sans-serif" w:hAnsi="Arial;sans-serif"/>
          <w:b w:val="false"/>
          <w:color w:val="000000"/>
          <w:sz w:val="24"/>
        </w:rPr>
        <w:t>exemption</w:t>
      </w:r>
      <w:r>
        <w:rPr>
          <w:color w:val="000000"/>
        </w:rPr>
        <w:t xml:space="preserve"> </w:t>
      </w:r>
      <w:r>
        <w:rPr>
          <w:rFonts w:ascii="Arial;sans-serif" w:hAnsi="Arial;sans-serif"/>
          <w:b w:val="false"/>
          <w:color w:val="000000"/>
          <w:sz w:val="24"/>
        </w:rPr>
        <w:t>or</w:t>
      </w:r>
      <w:r>
        <w:rPr>
          <w:color w:val="000000"/>
        </w:rPr>
        <w:t xml:space="preserve"> </w:t>
      </w:r>
      <w:r>
        <w:rPr>
          <w:rFonts w:ascii="Arial;sans-serif" w:hAnsi="Arial;sans-serif"/>
          <w:b w:val="false"/>
          <w:color w:val="000000"/>
          <w:sz w:val="24"/>
        </w:rPr>
        <w:t>exception from</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applicable</w:t>
      </w:r>
      <w:r>
        <w:rPr>
          <w:color w:val="000000"/>
        </w:rPr>
        <w:t xml:space="preserve"> </w:t>
      </w:r>
      <w:r>
        <w:rPr>
          <w:rFonts w:ascii="Arial;sans-serif" w:hAnsi="Arial;sans-serif"/>
          <w:b w:val="false"/>
          <w:color w:val="000000"/>
          <w:sz w:val="24"/>
        </w:rPr>
        <w:t>provisions</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Section</w:t>
      </w:r>
      <w:r>
        <w:rPr>
          <w:color w:val="000000"/>
        </w:rPr>
        <w:t xml:space="preserve"> </w:t>
      </w:r>
      <w:r>
        <w:rPr>
          <w:rFonts w:ascii="Arial;sans-serif" w:hAnsi="Arial;sans-serif"/>
          <w:b w:val="false"/>
          <w:color w:val="000000"/>
          <w:sz w:val="24"/>
        </w:rPr>
        <w:t>409A</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regulations</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4"/>
        </w:rPr>
        <w:t>rulings</w:t>
      </w:r>
      <w:r>
        <w:rPr>
          <w:color w:val="000000"/>
        </w:rPr>
        <w:t xml:space="preserve"> </w:t>
      </w:r>
      <w:r>
        <w:rPr>
          <w:rFonts w:ascii="Arial;sans-serif" w:hAnsi="Arial;sans-serif"/>
          <w:b w:val="false"/>
          <w:color w:val="000000"/>
          <w:sz w:val="24"/>
        </w:rPr>
        <w:t>issued</w:t>
      </w:r>
      <w:r>
        <w:rPr>
          <w:color w:val="000000"/>
        </w:rPr>
        <w:t xml:space="preserve"> </w:t>
      </w:r>
      <w:r>
        <w:rPr>
          <w:rFonts w:ascii="Arial;sans-serif" w:hAnsi="Arial;sans-serif"/>
          <w:b w:val="false"/>
          <w:color w:val="000000"/>
          <w:sz w:val="24"/>
        </w:rPr>
        <w:t>thereunder,</w:t>
      </w:r>
      <w:r>
        <w:rPr>
          <w:color w:val="000000"/>
        </w:rPr>
        <w:t xml:space="preserve"> </w:t>
      </w:r>
      <w:r>
        <w:rPr>
          <w:rFonts w:ascii="Arial;sans-serif" w:hAnsi="Arial;sans-serif"/>
          <w:b w:val="false"/>
          <w:color w:val="000000"/>
          <w:sz w:val="24"/>
        </w:rPr>
        <w:t>and the rulings, notices and other guidance issued by the Internal Revenue Service interpreting the same, and this Offer Letter shall be construed and administered in accordance with such intent. The parties also agree that this Offer Letter may be modified, as reasonably agreed by the parties, to the extent necessary to comply with all applicable requirements of, and to avoid the imposition of additional tax, interest and penalties under Section 409A in connection with the compensation, benefits and other payments to be provided or paid to you hereunder. Any such modification shall maintain the original intent and benefit to the Company and you of the applicable provision of this Offer Letter, to the maximum extent possible without violating Section 409A.</w:t>
      </w:r>
    </w:p>
    <w:p>
      <w:pPr>
        <w:pStyle w:val="TextBody"/>
        <w:bidi w:val="0"/>
        <w:spacing w:before="1" w:after="283"/>
        <w:jc w:val="left"/>
        <w:rPr/>
      </w:pPr>
      <w:r>
        <w:rPr/>
      </w:r>
    </w:p>
    <w:p>
      <w:pPr>
        <w:pStyle w:val="TextBody"/>
        <w:bidi w:val="0"/>
        <w:spacing w:lineRule="auto" w:line="288" w:before="0" w:after="0"/>
        <w:jc w:val="both"/>
        <w:rPr/>
      </w:pPr>
      <w:r>
        <w:rPr>
          <w:rFonts w:ascii="Arial;sans-serif" w:hAnsi="Arial;sans-serif"/>
          <w:b/>
          <w:color w:val="000000"/>
          <w:sz w:val="24"/>
          <w:u w:val="single"/>
        </w:rPr>
        <w:t>Other</w:t>
      </w:r>
      <w:r>
        <w:rPr>
          <w:color w:val="000000"/>
          <w:u w:val="single"/>
        </w:rPr>
        <w:t xml:space="preserve"> </w:t>
      </w:r>
      <w:r>
        <w:rPr>
          <w:rFonts w:ascii="Arial;sans-serif" w:hAnsi="Arial;sans-serif"/>
          <w:b/>
          <w:color w:val="000000"/>
          <w:sz w:val="24"/>
          <w:u w:val="single"/>
        </w:rPr>
        <w:t>Terms</w:t>
      </w:r>
      <w:r>
        <w:rPr>
          <w:color w:val="000000"/>
          <w:u w:val="single"/>
        </w:rPr>
        <w:t xml:space="preserve"> </w:t>
      </w:r>
      <w:r>
        <w:rPr>
          <w:rFonts w:ascii="Arial;sans-serif" w:hAnsi="Arial;sans-serif"/>
          <w:b/>
          <w:color w:val="000000"/>
          <w:sz w:val="24"/>
          <w:u w:val="single"/>
        </w:rPr>
        <w:t>and</w:t>
      </w:r>
      <w:r>
        <w:rPr>
          <w:color w:val="000000"/>
          <w:u w:val="single"/>
        </w:rPr>
        <w:t xml:space="preserve"> </w:t>
      </w:r>
      <w:r>
        <w:rPr>
          <w:rFonts w:ascii="Arial;sans-serif" w:hAnsi="Arial;sans-serif"/>
          <w:b/>
          <w:color w:val="000000"/>
          <w:sz w:val="24"/>
          <w:u w:val="single"/>
        </w:rPr>
        <w:t>Conditions</w:t>
      </w:r>
    </w:p>
    <w:p>
      <w:pPr>
        <w:pStyle w:val="TextBody"/>
        <w:bidi w:val="0"/>
        <w:spacing w:before="0" w:after="0"/>
        <w:jc w:val="left"/>
        <w:rPr/>
      </w:pPr>
      <w:r>
        <w:rPr/>
      </w:r>
    </w:p>
    <w:p>
      <w:pPr>
        <w:pStyle w:val="TextBody"/>
        <w:bidi w:val="0"/>
        <w:spacing w:lineRule="auto" w:line="288" w:before="0" w:after="0"/>
        <w:ind w:left="0" w:right="0" w:hanging="1"/>
        <w:jc w:val="both"/>
        <w:rPr/>
      </w:pPr>
      <w:r>
        <w:rPr>
          <w:rFonts w:ascii="Arial;sans-serif" w:hAnsi="Arial;sans-serif"/>
          <w:b w:val="false"/>
          <w:color w:val="000000"/>
          <w:sz w:val="24"/>
        </w:rPr>
        <w:t>You</w:t>
      </w:r>
      <w:r>
        <w:rPr>
          <w:color w:val="000000"/>
        </w:rPr>
        <w:t xml:space="preserve"> </w:t>
      </w:r>
      <w:r>
        <w:rPr>
          <w:rFonts w:ascii="Arial;sans-serif" w:hAnsi="Arial;sans-serif"/>
          <w:b w:val="false"/>
          <w:color w:val="000000"/>
          <w:sz w:val="24"/>
        </w:rPr>
        <w:t>will</w:t>
      </w:r>
      <w:r>
        <w:rPr>
          <w:color w:val="000000"/>
        </w:rPr>
        <w:t xml:space="preserve"> </w:t>
      </w:r>
      <w:r>
        <w:rPr>
          <w:rFonts w:ascii="Arial;sans-serif" w:hAnsi="Arial;sans-serif"/>
          <w:b w:val="false"/>
          <w:color w:val="000000"/>
          <w:sz w:val="24"/>
        </w:rPr>
        <w:t>be</w:t>
      </w:r>
      <w:r>
        <w:rPr>
          <w:color w:val="000000"/>
        </w:rPr>
        <w:t xml:space="preserve"> </w:t>
      </w:r>
      <w:r>
        <w:rPr>
          <w:rFonts w:ascii="Arial;sans-serif" w:hAnsi="Arial;sans-serif"/>
          <w:b w:val="false"/>
          <w:color w:val="000000"/>
          <w:sz w:val="24"/>
        </w:rPr>
        <w:t>a</w:t>
      </w:r>
      <w:r>
        <w:rPr>
          <w:color w:val="000000"/>
        </w:rPr>
        <w:t xml:space="preserve"> </w:t>
      </w:r>
      <w:r>
        <w:rPr>
          <w:rFonts w:ascii="Arial;sans-serif" w:hAnsi="Arial;sans-serif"/>
          <w:b w:val="false"/>
          <w:color w:val="000000"/>
          <w:sz w:val="24"/>
        </w:rPr>
        <w:t>U.S.</w:t>
      </w:r>
      <w:r>
        <w:rPr>
          <w:color w:val="000000"/>
        </w:rPr>
        <w:t xml:space="preserve"> </w:t>
      </w:r>
      <w:r>
        <w:rPr>
          <w:rFonts w:ascii="Arial;sans-serif" w:hAnsi="Arial;sans-serif"/>
          <w:b w:val="false"/>
          <w:color w:val="000000"/>
          <w:sz w:val="24"/>
        </w:rPr>
        <w:t>employee</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Mondelēz</w:t>
      </w:r>
      <w:r>
        <w:rPr>
          <w:color w:val="000000"/>
        </w:rPr>
        <w:t xml:space="preserve"> </w:t>
      </w:r>
      <w:r>
        <w:rPr>
          <w:rFonts w:ascii="Arial;sans-serif" w:hAnsi="Arial;sans-serif"/>
          <w:b w:val="false"/>
          <w:color w:val="000000"/>
          <w:sz w:val="24"/>
        </w:rPr>
        <w:t>Global LLC and</w:t>
      </w:r>
      <w:r>
        <w:rPr>
          <w:color w:val="000000"/>
        </w:rPr>
        <w:t xml:space="preserve"> </w:t>
      </w:r>
      <w:r>
        <w:rPr>
          <w:rFonts w:ascii="Arial;sans-serif" w:hAnsi="Arial;sans-serif"/>
          <w:b w:val="false"/>
          <w:color w:val="000000"/>
          <w:sz w:val="24"/>
        </w:rPr>
        <w:t>your</w:t>
      </w:r>
      <w:r>
        <w:rPr>
          <w:color w:val="000000"/>
        </w:rPr>
        <w:t xml:space="preserve"> </w:t>
      </w:r>
      <w:r>
        <w:rPr>
          <w:rFonts w:ascii="Arial;sans-serif" w:hAnsi="Arial;sans-serif"/>
          <w:b w:val="false"/>
          <w:color w:val="000000"/>
          <w:sz w:val="24"/>
        </w:rPr>
        <w:t>employment</w:t>
      </w:r>
      <w:r>
        <w:rPr>
          <w:color w:val="000000"/>
        </w:rPr>
        <w:t xml:space="preserve"> </w:t>
      </w:r>
      <w:r>
        <w:rPr>
          <w:rFonts w:ascii="Arial;sans-serif" w:hAnsi="Arial;sans-serif"/>
          <w:b w:val="false"/>
          <w:color w:val="000000"/>
          <w:sz w:val="24"/>
        </w:rPr>
        <w:t>status</w:t>
      </w:r>
      <w:r>
        <w:rPr>
          <w:color w:val="000000"/>
        </w:rPr>
        <w:t xml:space="preserve"> </w:t>
      </w:r>
      <w:r>
        <w:rPr>
          <w:rFonts w:ascii="Arial;sans-serif" w:hAnsi="Arial;sans-serif"/>
          <w:b w:val="false"/>
          <w:color w:val="000000"/>
          <w:sz w:val="24"/>
        </w:rPr>
        <w:t>will</w:t>
      </w:r>
      <w:r>
        <w:rPr>
          <w:color w:val="000000"/>
        </w:rPr>
        <w:t xml:space="preserve"> </w:t>
      </w:r>
      <w:r>
        <w:rPr>
          <w:rFonts w:ascii="Arial;sans-serif" w:hAnsi="Arial;sans-serif"/>
          <w:b w:val="false"/>
          <w:color w:val="000000"/>
          <w:sz w:val="24"/>
        </w:rPr>
        <w:t>be</w:t>
      </w:r>
      <w:r>
        <w:rPr>
          <w:color w:val="000000"/>
        </w:rPr>
        <w:t xml:space="preserve"> </w:t>
      </w:r>
      <w:r>
        <w:rPr>
          <w:rFonts w:ascii="Arial;sans-serif" w:hAnsi="Arial;sans-serif"/>
          <w:b w:val="false"/>
          <w:color w:val="000000"/>
          <w:sz w:val="24"/>
        </w:rPr>
        <w:t>governed</w:t>
      </w:r>
      <w:r>
        <w:rPr>
          <w:color w:val="000000"/>
        </w:rPr>
        <w:t xml:space="preserve"> </w:t>
      </w:r>
      <w:r>
        <w:rPr>
          <w:rFonts w:ascii="Arial;sans-serif" w:hAnsi="Arial;sans-serif"/>
          <w:b w:val="false"/>
          <w:color w:val="000000"/>
          <w:sz w:val="24"/>
        </w:rPr>
        <w:t>by and shall be construed in accordance with the laws of the United States. As such, your status will be that</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an</w:t>
      </w:r>
      <w:r>
        <w:rPr>
          <w:color w:val="000000"/>
        </w:rPr>
        <w:t xml:space="preserve"> “</w:t>
      </w:r>
      <w:r>
        <w:rPr>
          <w:rFonts w:ascii="Arial;sans-serif" w:hAnsi="Arial;sans-serif"/>
          <w:b w:val="false"/>
          <w:color w:val="000000"/>
          <w:sz w:val="24"/>
        </w:rPr>
        <w:t>at</w:t>
      </w:r>
      <w:r>
        <w:rPr>
          <w:color w:val="000000"/>
        </w:rPr>
        <w:t xml:space="preserve"> </w:t>
      </w:r>
      <w:r>
        <w:rPr>
          <w:rFonts w:ascii="Arial;sans-serif" w:hAnsi="Arial;sans-serif"/>
          <w:b w:val="false"/>
          <w:color w:val="000000"/>
          <w:sz w:val="24"/>
        </w:rPr>
        <w:t>will”</w:t>
      </w:r>
      <w:r>
        <w:rPr>
          <w:color w:val="000000"/>
        </w:rPr>
        <w:t xml:space="preserve"> </w:t>
      </w:r>
      <w:r>
        <w:rPr>
          <w:rFonts w:ascii="Arial;sans-serif" w:hAnsi="Arial;sans-serif"/>
          <w:b w:val="false"/>
          <w:color w:val="000000"/>
          <w:sz w:val="24"/>
        </w:rPr>
        <w:t>employee.</w:t>
      </w:r>
      <w:r>
        <w:rPr>
          <w:color w:val="000000"/>
        </w:rPr>
        <w:t xml:space="preserve"> </w:t>
      </w:r>
      <w:r>
        <w:rPr>
          <w:rFonts w:ascii="Arial;sans-serif" w:hAnsi="Arial;sans-serif"/>
          <w:b w:val="false"/>
          <w:color w:val="000000"/>
          <w:sz w:val="24"/>
        </w:rPr>
        <w:t>This</w:t>
      </w:r>
      <w:r>
        <w:rPr>
          <w:color w:val="000000"/>
        </w:rPr>
        <w:t xml:space="preserve"> </w:t>
      </w:r>
      <w:r>
        <w:rPr>
          <w:rFonts w:ascii="Arial;sans-serif" w:hAnsi="Arial;sans-serif"/>
          <w:b w:val="false"/>
          <w:color w:val="000000"/>
          <w:sz w:val="24"/>
        </w:rPr>
        <w:t>means</w:t>
      </w:r>
      <w:r>
        <w:rPr>
          <w:color w:val="000000"/>
        </w:rPr>
        <w:t xml:space="preserve"> </w:t>
      </w:r>
      <w:r>
        <w:rPr>
          <w:rFonts w:ascii="Arial;sans-serif" w:hAnsi="Arial;sans-serif"/>
          <w:b w:val="false"/>
          <w:color w:val="000000"/>
          <w:sz w:val="24"/>
        </w:rPr>
        <w:t>that</w:t>
      </w:r>
      <w:r>
        <w:rPr>
          <w:color w:val="000000"/>
        </w:rPr>
        <w:t xml:space="preserve"> </w:t>
      </w:r>
      <w:r>
        <w:rPr>
          <w:rFonts w:ascii="Arial;sans-serif" w:hAnsi="Arial;sans-serif"/>
          <w:b w:val="false"/>
          <w:color w:val="000000"/>
          <w:sz w:val="24"/>
        </w:rPr>
        <w:t>either</w:t>
      </w:r>
      <w:r>
        <w:rPr>
          <w:color w:val="000000"/>
        </w:rPr>
        <w:t xml:space="preserve"> </w:t>
      </w:r>
      <w:r>
        <w:rPr>
          <w:rFonts w:ascii="Arial;sans-serif" w:hAnsi="Arial;sans-serif"/>
          <w:b w:val="false"/>
          <w:color w:val="000000"/>
          <w:sz w:val="24"/>
        </w:rPr>
        <w:t>you</w:t>
      </w:r>
      <w:r>
        <w:rPr>
          <w:color w:val="000000"/>
        </w:rPr>
        <w:t xml:space="preserve"> </w:t>
      </w:r>
      <w:r>
        <w:rPr>
          <w:rFonts w:ascii="Arial;sans-serif" w:hAnsi="Arial;sans-serif"/>
          <w:b w:val="false"/>
          <w:color w:val="000000"/>
          <w:sz w:val="24"/>
        </w:rPr>
        <w:t>or</w:t>
      </w:r>
      <w:r>
        <w:rPr>
          <w:color w:val="000000"/>
        </w:rPr>
        <w:t xml:space="preserve"> </w:t>
      </w:r>
      <w:r>
        <w:rPr>
          <w:rFonts w:ascii="Arial;sans-serif" w:hAnsi="Arial;sans-serif"/>
          <w:b w:val="false"/>
          <w:color w:val="000000"/>
          <w:sz w:val="24"/>
        </w:rPr>
        <w:t>Company</w:t>
      </w:r>
      <w:r>
        <w:rPr>
          <w:color w:val="000000"/>
        </w:rPr>
        <w:t xml:space="preserve"> </w:t>
      </w:r>
      <w:r>
        <w:rPr>
          <w:rFonts w:ascii="Arial;sans-serif" w:hAnsi="Arial;sans-serif"/>
          <w:b w:val="false"/>
          <w:color w:val="000000"/>
          <w:sz w:val="24"/>
        </w:rPr>
        <w:t>is</w:t>
      </w:r>
      <w:r>
        <w:rPr>
          <w:color w:val="000000"/>
        </w:rPr>
        <w:t xml:space="preserve"> </w:t>
      </w:r>
      <w:r>
        <w:rPr>
          <w:rFonts w:ascii="Arial;sans-serif" w:hAnsi="Arial;sans-serif"/>
          <w:b w:val="false"/>
          <w:color w:val="000000"/>
          <w:sz w:val="24"/>
        </w:rPr>
        <w:t>free</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terminate</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employment relationship</w:t>
      </w:r>
      <w:r>
        <w:rPr>
          <w:color w:val="000000"/>
        </w:rPr>
        <w:t xml:space="preserve"> </w:t>
      </w:r>
      <w:r>
        <w:rPr>
          <w:rFonts w:ascii="Arial;sans-serif" w:hAnsi="Arial;sans-serif"/>
          <w:b w:val="false"/>
          <w:color w:val="000000"/>
          <w:sz w:val="24"/>
        </w:rPr>
        <w:t>at</w:t>
      </w:r>
      <w:r>
        <w:rPr>
          <w:color w:val="000000"/>
        </w:rPr>
        <w:t xml:space="preserve"> </w:t>
      </w:r>
      <w:r>
        <w:rPr>
          <w:rFonts w:ascii="Arial;sans-serif" w:hAnsi="Arial;sans-serif"/>
          <w:b w:val="false"/>
          <w:color w:val="000000"/>
          <w:sz w:val="24"/>
        </w:rPr>
        <w:t>that</w:t>
      </w:r>
      <w:r>
        <w:rPr>
          <w:color w:val="000000"/>
        </w:rPr>
        <w:t xml:space="preserve"> </w:t>
      </w:r>
      <w:r>
        <w:rPr>
          <w:rFonts w:ascii="Arial;sans-serif" w:hAnsi="Arial;sans-serif"/>
          <w:b w:val="false"/>
          <w:color w:val="000000"/>
          <w:sz w:val="24"/>
        </w:rPr>
        <w:t>time,</w:t>
      </w:r>
      <w:r>
        <w:rPr>
          <w:color w:val="000000"/>
        </w:rPr>
        <w:t xml:space="preserve"> </w:t>
      </w:r>
      <w:r>
        <w:rPr>
          <w:rFonts w:ascii="Arial;sans-serif" w:hAnsi="Arial;sans-serif"/>
          <w:b w:val="false"/>
          <w:color w:val="000000"/>
          <w:sz w:val="24"/>
        </w:rPr>
        <w:t>for</w:t>
      </w:r>
      <w:r>
        <w:rPr>
          <w:color w:val="000000"/>
        </w:rPr>
        <w:t xml:space="preserve"> </w:t>
      </w:r>
      <w:r>
        <w:rPr>
          <w:rFonts w:ascii="Arial;sans-serif" w:hAnsi="Arial;sans-serif"/>
          <w:b w:val="false"/>
          <w:color w:val="000000"/>
          <w:sz w:val="24"/>
        </w:rPr>
        <w:t>any</w:t>
      </w:r>
      <w:r>
        <w:rPr>
          <w:color w:val="000000"/>
        </w:rPr>
        <w:t xml:space="preserve"> </w:t>
      </w:r>
      <w:r>
        <w:rPr>
          <w:rFonts w:ascii="Arial;sans-serif" w:hAnsi="Arial;sans-serif"/>
          <w:b w:val="false"/>
          <w:color w:val="000000"/>
          <w:sz w:val="24"/>
        </w:rPr>
        <w:t>reason,</w:t>
      </w:r>
      <w:r>
        <w:rPr>
          <w:color w:val="000000"/>
        </w:rPr>
        <w:t xml:space="preserve"> </w:t>
      </w:r>
      <w:r>
        <w:rPr>
          <w:rFonts w:ascii="Arial;sans-serif" w:hAnsi="Arial;sans-serif"/>
          <w:b w:val="false"/>
          <w:color w:val="000000"/>
          <w:sz w:val="24"/>
        </w:rPr>
        <w:t>subject</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your</w:t>
      </w:r>
      <w:r>
        <w:rPr>
          <w:color w:val="000000"/>
        </w:rPr>
        <w:t xml:space="preserve"> </w:t>
      </w:r>
      <w:r>
        <w:rPr>
          <w:rFonts w:ascii="Arial;sans-serif" w:hAnsi="Arial;sans-serif"/>
          <w:b w:val="false"/>
          <w:color w:val="000000"/>
          <w:sz w:val="24"/>
        </w:rPr>
        <w:t>entitlements</w:t>
      </w:r>
      <w:r>
        <w:rPr>
          <w:color w:val="000000"/>
        </w:rPr>
        <w:t xml:space="preserve"> </w:t>
      </w:r>
      <w:r>
        <w:rPr>
          <w:rFonts w:ascii="Arial;sans-serif" w:hAnsi="Arial;sans-serif"/>
          <w:b w:val="false"/>
          <w:color w:val="000000"/>
          <w:sz w:val="24"/>
        </w:rPr>
        <w:t>pursuant</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this</w:t>
      </w:r>
      <w:r>
        <w:rPr>
          <w:color w:val="000000"/>
        </w:rPr>
        <w:t xml:space="preserve"> </w:t>
      </w:r>
      <w:r>
        <w:rPr>
          <w:rFonts w:ascii="Arial;sans-serif" w:hAnsi="Arial;sans-serif"/>
          <w:b w:val="false"/>
          <w:color w:val="000000"/>
          <w:sz w:val="24"/>
        </w:rPr>
        <w:t>Offer</w:t>
      </w:r>
      <w:r>
        <w:rPr>
          <w:color w:val="000000"/>
        </w:rPr>
        <w:t xml:space="preserve"> </w:t>
      </w:r>
      <w:r>
        <w:rPr>
          <w:rFonts w:ascii="Arial;sans-serif" w:hAnsi="Arial;sans-serif"/>
          <w:b w:val="false"/>
          <w:color w:val="000000"/>
          <w:sz w:val="24"/>
        </w:rPr>
        <w:t>Letter</w:t>
      </w:r>
      <w:r>
        <w:rPr>
          <w:color w:val="000000"/>
        </w:rPr>
        <w:t xml:space="preserve"> </w:t>
      </w:r>
      <w:r>
        <w:rPr>
          <w:rFonts w:ascii="Arial;sans-serif" w:hAnsi="Arial;sans-serif"/>
          <w:b w:val="false"/>
          <w:color w:val="000000"/>
          <w:sz w:val="24"/>
        </w:rPr>
        <w:t>or</w:t>
      </w:r>
      <w:r>
        <w:rPr>
          <w:color w:val="000000"/>
        </w:rPr>
        <w:t xml:space="preserve"> </w:t>
      </w:r>
      <w:r>
        <w:rPr>
          <w:rFonts w:ascii="Arial;sans-serif" w:hAnsi="Arial;sans-serif"/>
          <w:b w:val="false"/>
          <w:color w:val="000000"/>
          <w:sz w:val="24"/>
        </w:rPr>
        <w:t>any other plan or agreement applicable to a termination of your employment.</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4"/>
        </w:rPr>
        <w:t>This</w:t>
      </w:r>
      <w:r>
        <w:rPr>
          <w:color w:val="000000"/>
        </w:rPr>
        <w:t xml:space="preserve"> </w:t>
      </w:r>
      <w:r>
        <w:rPr>
          <w:rFonts w:ascii="Arial;sans-serif" w:hAnsi="Arial;sans-serif"/>
          <w:b w:val="false"/>
          <w:color w:val="000000"/>
          <w:sz w:val="24"/>
        </w:rPr>
        <w:t>offer</w:t>
      </w:r>
      <w:r>
        <w:rPr>
          <w:color w:val="000000"/>
        </w:rPr>
        <w:t xml:space="preserve"> </w:t>
      </w:r>
      <w:r>
        <w:rPr>
          <w:rFonts w:ascii="Arial;sans-serif" w:hAnsi="Arial;sans-serif"/>
          <w:b w:val="false"/>
          <w:color w:val="000000"/>
          <w:sz w:val="24"/>
        </w:rPr>
        <w:t>is</w:t>
      </w:r>
      <w:r>
        <w:rPr>
          <w:color w:val="000000"/>
        </w:rPr>
        <w:t xml:space="preserve"> </w:t>
      </w:r>
      <w:r>
        <w:rPr>
          <w:rFonts w:ascii="Arial;sans-serif" w:hAnsi="Arial;sans-serif"/>
          <w:b w:val="false"/>
          <w:color w:val="000000"/>
          <w:sz w:val="24"/>
        </w:rPr>
        <w:t>contingent</w:t>
      </w:r>
      <w:r>
        <w:rPr>
          <w:color w:val="000000"/>
        </w:rPr>
        <w:t xml:space="preserve"> </w:t>
      </w:r>
      <w:r>
        <w:rPr>
          <w:rFonts w:ascii="Arial;sans-serif" w:hAnsi="Arial;sans-serif"/>
          <w:b w:val="false"/>
          <w:color w:val="000000"/>
          <w:sz w:val="24"/>
        </w:rPr>
        <w:t>upon</w:t>
      </w:r>
      <w:r>
        <w:rPr>
          <w:color w:val="000000"/>
        </w:rPr>
        <w:t xml:space="preserve"> </w:t>
      </w:r>
      <w:r>
        <w:rPr>
          <w:rFonts w:ascii="Arial;sans-serif" w:hAnsi="Arial;sans-serif"/>
          <w:b w:val="false"/>
          <w:color w:val="000000"/>
          <w:sz w:val="24"/>
        </w:rPr>
        <w:t>successful</w:t>
      </w:r>
      <w:r>
        <w:rPr>
          <w:color w:val="000000"/>
        </w:rPr>
        <w:t xml:space="preserve"> </w:t>
      </w:r>
      <w:r>
        <w:rPr>
          <w:rFonts w:ascii="Arial;sans-serif" w:hAnsi="Arial;sans-serif"/>
          <w:b w:val="false"/>
          <w:color w:val="000000"/>
          <w:sz w:val="24"/>
        </w:rPr>
        <w:t>completion</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our</w:t>
      </w:r>
      <w:r>
        <w:rPr>
          <w:color w:val="000000"/>
        </w:rPr>
        <w:t xml:space="preserve"> </w:t>
      </w:r>
      <w:r>
        <w:rPr>
          <w:rFonts w:ascii="Arial;sans-serif" w:hAnsi="Arial;sans-serif"/>
          <w:b w:val="false"/>
          <w:color w:val="000000"/>
          <w:sz w:val="24"/>
        </w:rPr>
        <w:t>pre-employment</w:t>
      </w:r>
      <w:r>
        <w:rPr>
          <w:color w:val="000000"/>
        </w:rPr>
        <w:t xml:space="preserve"> </w:t>
      </w:r>
      <w:r>
        <w:rPr>
          <w:rFonts w:ascii="Arial;sans-serif" w:hAnsi="Arial;sans-serif"/>
          <w:b w:val="false"/>
          <w:color w:val="000000"/>
          <w:sz w:val="24"/>
        </w:rPr>
        <w:t>checks.</w:t>
      </w:r>
      <w:r>
        <w:rPr>
          <w:color w:val="000000"/>
        </w:rPr>
        <w:t xml:space="preserve"> </w:t>
      </w:r>
      <w:r>
        <w:rPr>
          <w:rFonts w:ascii="Arial;sans-serif" w:hAnsi="Arial;sans-serif"/>
          <w:b w:val="false"/>
          <w:color w:val="000000"/>
          <w:sz w:val="24"/>
        </w:rPr>
        <w:t>These</w:t>
      </w:r>
      <w:r>
        <w:rPr>
          <w:color w:val="000000"/>
        </w:rPr>
        <w:t xml:space="preserve"> </w:t>
      </w:r>
      <w:r>
        <w:rPr>
          <w:rFonts w:ascii="Arial;sans-serif" w:hAnsi="Arial;sans-serif"/>
          <w:b w:val="false"/>
          <w:color w:val="000000"/>
          <w:sz w:val="24"/>
        </w:rPr>
        <w:t>include:</w:t>
      </w:r>
    </w:p>
    <w:p>
      <w:pPr>
        <w:pStyle w:val="TextBody"/>
        <w:bidi w:val="0"/>
        <w:spacing w:lineRule="auto" w:line="288" w:before="0" w:after="0"/>
        <w:ind w:left="0" w:right="0" w:hanging="361"/>
        <w:jc w:val="both"/>
        <w:rPr/>
      </w:pPr>
      <w:r>
        <w:rPr>
          <w:rFonts w:ascii="Arial;sans-serif" w:hAnsi="Arial;sans-serif"/>
          <w:b w:val="false"/>
          <w:color w:val="000000"/>
          <w:sz w:val="24"/>
        </w:rPr>
        <w:t>1.a background check. The background screen is an investigative consumer report. Under the Fair</w:t>
      </w:r>
      <w:r>
        <w:rPr>
          <w:color w:val="000000"/>
        </w:rPr>
        <w:t xml:space="preserve"> </w:t>
      </w:r>
      <w:r>
        <w:rPr>
          <w:rFonts w:ascii="Arial;sans-serif" w:hAnsi="Arial;sans-serif"/>
          <w:b w:val="false"/>
          <w:color w:val="000000"/>
          <w:sz w:val="24"/>
        </w:rPr>
        <w:t>Credit</w:t>
      </w:r>
      <w:r>
        <w:rPr>
          <w:color w:val="000000"/>
        </w:rPr>
        <w:t xml:space="preserve"> </w:t>
      </w:r>
      <w:r>
        <w:rPr>
          <w:rFonts w:ascii="Arial;sans-serif" w:hAnsi="Arial;sans-serif"/>
          <w:b w:val="false"/>
          <w:color w:val="000000"/>
          <w:sz w:val="24"/>
        </w:rPr>
        <w:t>Reporting</w:t>
      </w:r>
      <w:r>
        <w:rPr>
          <w:color w:val="000000"/>
        </w:rPr>
        <w:t xml:space="preserve"> </w:t>
      </w:r>
      <w:r>
        <w:rPr>
          <w:rFonts w:ascii="Arial;sans-serif" w:hAnsi="Arial;sans-serif"/>
          <w:b w:val="false"/>
          <w:color w:val="000000"/>
          <w:sz w:val="24"/>
        </w:rPr>
        <w:t>Act,</w:t>
      </w:r>
      <w:r>
        <w:rPr>
          <w:color w:val="000000"/>
        </w:rPr>
        <w:t xml:space="preserve"> </w:t>
      </w:r>
      <w:r>
        <w:rPr>
          <w:rFonts w:ascii="Arial;sans-serif" w:hAnsi="Arial;sans-serif"/>
          <w:b w:val="false"/>
          <w:color w:val="000000"/>
          <w:sz w:val="24"/>
        </w:rPr>
        <w:t>you</w:t>
      </w:r>
      <w:r>
        <w:rPr>
          <w:color w:val="000000"/>
        </w:rPr>
        <w:t xml:space="preserve"> </w:t>
      </w:r>
      <w:r>
        <w:rPr>
          <w:rFonts w:ascii="Arial;sans-serif" w:hAnsi="Arial;sans-serif"/>
          <w:b w:val="false"/>
          <w:color w:val="000000"/>
          <w:sz w:val="24"/>
        </w:rPr>
        <w:t>have</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right</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make</w:t>
      </w:r>
      <w:r>
        <w:rPr>
          <w:color w:val="000000"/>
        </w:rPr>
        <w:t xml:space="preserve"> </w:t>
      </w:r>
      <w:r>
        <w:rPr>
          <w:rFonts w:ascii="Arial;sans-serif" w:hAnsi="Arial;sans-serif"/>
          <w:b w:val="false"/>
          <w:color w:val="000000"/>
          <w:sz w:val="24"/>
        </w:rPr>
        <w:t>a</w:t>
      </w:r>
      <w:r>
        <w:rPr>
          <w:color w:val="000000"/>
        </w:rPr>
        <w:t xml:space="preserve"> </w:t>
      </w:r>
      <w:r>
        <w:rPr>
          <w:rFonts w:ascii="Arial;sans-serif" w:hAnsi="Arial;sans-serif"/>
          <w:b w:val="false"/>
          <w:color w:val="000000"/>
          <w:sz w:val="24"/>
        </w:rPr>
        <w:t>written</w:t>
      </w:r>
      <w:r>
        <w:rPr>
          <w:color w:val="000000"/>
        </w:rPr>
        <w:t xml:space="preserve"> </w:t>
      </w:r>
      <w:r>
        <w:rPr>
          <w:rFonts w:ascii="Arial;sans-serif" w:hAnsi="Arial;sans-serif"/>
          <w:b w:val="false"/>
          <w:color w:val="000000"/>
          <w:sz w:val="24"/>
        </w:rPr>
        <w:t>request</w:t>
      </w:r>
      <w:r>
        <w:rPr>
          <w:color w:val="000000"/>
        </w:rPr>
        <w:t xml:space="preserve"> </w:t>
      </w:r>
      <w:r>
        <w:rPr>
          <w:rFonts w:ascii="Arial;sans-serif" w:hAnsi="Arial;sans-serif"/>
          <w:b w:val="false"/>
          <w:color w:val="000000"/>
          <w:sz w:val="24"/>
        </w:rPr>
        <w:t>for</w:t>
      </w:r>
      <w:r>
        <w:rPr>
          <w:color w:val="000000"/>
        </w:rPr>
        <w:t xml:space="preserve"> </w:t>
      </w:r>
      <w:r>
        <w:rPr>
          <w:rFonts w:ascii="Arial;sans-serif" w:hAnsi="Arial;sans-serif"/>
          <w:b w:val="false"/>
          <w:color w:val="000000"/>
          <w:sz w:val="24"/>
        </w:rPr>
        <w:t>information</w:t>
      </w:r>
      <w:r>
        <w:rPr>
          <w:color w:val="000000"/>
        </w:rPr>
        <w:t xml:space="preserve"> </w:t>
      </w:r>
      <w:r>
        <w:rPr>
          <w:rFonts w:ascii="Arial;sans-serif" w:hAnsi="Arial;sans-serif"/>
          <w:b w:val="false"/>
          <w:color w:val="000000"/>
          <w:sz w:val="24"/>
        </w:rPr>
        <w:t>about</w:t>
      </w:r>
      <w:r>
        <w:rPr>
          <w:color w:val="000000"/>
        </w:rPr>
        <w:t xml:space="preserve"> </w:t>
      </w:r>
      <w:r>
        <w:rPr>
          <w:rFonts w:ascii="Arial;sans-serif" w:hAnsi="Arial;sans-serif"/>
          <w:b w:val="false"/>
          <w:color w:val="000000"/>
          <w:sz w:val="24"/>
        </w:rPr>
        <w:t>the nature and scope of this report. If you wish to make such a request, you may direct your letter to</w:t>
      </w:r>
      <w:r>
        <w:rPr>
          <w:color w:val="000000"/>
        </w:rPr>
        <w:t xml:space="preserve"> </w:t>
      </w:r>
      <w:r>
        <w:rPr>
          <w:rFonts w:ascii="Arial;sans-serif" w:hAnsi="Arial;sans-serif"/>
          <w:b w:val="false"/>
          <w:color w:val="000000"/>
          <w:sz w:val="24"/>
        </w:rPr>
        <w:t>my</w:t>
      </w:r>
      <w:r>
        <w:rPr>
          <w:color w:val="000000"/>
        </w:rPr>
        <w:t xml:space="preserve"> </w:t>
      </w:r>
      <w:r>
        <w:rPr>
          <w:rFonts w:ascii="Arial;sans-serif" w:hAnsi="Arial;sans-serif"/>
          <w:b w:val="false"/>
          <w:color w:val="000000"/>
          <w:sz w:val="24"/>
        </w:rPr>
        <w:t>attention.</w:t>
      </w:r>
      <w:r>
        <w:rPr>
          <w:color w:val="000000"/>
        </w:rPr>
        <w:t xml:space="preserve"> </w:t>
      </w:r>
      <w:r>
        <w:rPr>
          <w:rFonts w:ascii="Arial;sans-serif" w:hAnsi="Arial;sans-serif"/>
          <w:b w:val="false"/>
          <w:color w:val="000000"/>
          <w:sz w:val="24"/>
        </w:rPr>
        <w:t>You</w:t>
      </w:r>
      <w:r>
        <w:rPr>
          <w:color w:val="000000"/>
        </w:rPr>
        <w:t xml:space="preserve"> </w:t>
      </w:r>
      <w:r>
        <w:rPr>
          <w:rFonts w:ascii="Arial;sans-serif" w:hAnsi="Arial;sans-serif"/>
          <w:b w:val="false"/>
          <w:color w:val="000000"/>
          <w:sz w:val="24"/>
        </w:rPr>
        <w:t>are</w:t>
      </w:r>
      <w:r>
        <w:rPr>
          <w:color w:val="000000"/>
        </w:rPr>
        <w:t xml:space="preserve"> </w:t>
      </w:r>
      <w:r>
        <w:rPr>
          <w:rFonts w:ascii="Arial;sans-serif" w:hAnsi="Arial;sans-serif"/>
          <w:b w:val="false"/>
          <w:color w:val="000000"/>
          <w:sz w:val="24"/>
        </w:rPr>
        <w:t>also</w:t>
      </w:r>
      <w:r>
        <w:rPr>
          <w:color w:val="000000"/>
        </w:rPr>
        <w:t xml:space="preserve"> </w:t>
      </w:r>
      <w:r>
        <w:rPr>
          <w:rFonts w:ascii="Arial;sans-serif" w:hAnsi="Arial;sans-serif"/>
          <w:b w:val="false"/>
          <w:color w:val="000000"/>
          <w:sz w:val="24"/>
        </w:rPr>
        <w:t>entitled</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receive</w:t>
      </w:r>
      <w:r>
        <w:rPr>
          <w:color w:val="000000"/>
        </w:rPr>
        <w:t xml:space="preserve"> </w:t>
      </w:r>
      <w:r>
        <w:rPr>
          <w:rFonts w:ascii="Arial;sans-serif" w:hAnsi="Arial;sans-serif"/>
          <w:b w:val="false"/>
          <w:color w:val="000000"/>
          <w:sz w:val="24"/>
        </w:rPr>
        <w:t>a</w:t>
      </w:r>
      <w:r>
        <w:rPr>
          <w:color w:val="000000"/>
        </w:rPr>
        <w:t xml:space="preserve"> </w:t>
      </w:r>
      <w:r>
        <w:rPr>
          <w:rFonts w:ascii="Arial;sans-serif" w:hAnsi="Arial;sans-serif"/>
          <w:b w:val="false"/>
          <w:color w:val="000000"/>
          <w:sz w:val="24"/>
        </w:rPr>
        <w:t>written</w:t>
      </w:r>
      <w:r>
        <w:rPr>
          <w:color w:val="000000"/>
        </w:rPr>
        <w:t xml:space="preserve"> </w:t>
      </w:r>
      <w:r>
        <w:rPr>
          <w:rFonts w:ascii="Arial;sans-serif" w:hAnsi="Arial;sans-serif"/>
          <w:b w:val="false"/>
          <w:color w:val="000000"/>
          <w:sz w:val="24"/>
        </w:rPr>
        <w:t>summary</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your</w:t>
      </w:r>
      <w:r>
        <w:rPr>
          <w:color w:val="000000"/>
        </w:rPr>
        <w:t xml:space="preserve"> </w:t>
      </w:r>
      <w:r>
        <w:rPr>
          <w:rFonts w:ascii="Arial;sans-serif" w:hAnsi="Arial;sans-serif"/>
          <w:b w:val="false"/>
          <w:color w:val="000000"/>
          <w:sz w:val="24"/>
        </w:rPr>
        <w:t>rights</w:t>
      </w:r>
      <w:r>
        <w:rPr>
          <w:color w:val="000000"/>
        </w:rPr>
        <w:t xml:space="preserve"> </w:t>
      </w:r>
      <w:r>
        <w:rPr>
          <w:rFonts w:ascii="Arial;sans-serif" w:hAnsi="Arial;sans-serif"/>
          <w:b w:val="false"/>
          <w:color w:val="000000"/>
          <w:sz w:val="24"/>
        </w:rPr>
        <w:t>under</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Fair Credit Reporting Act.</w:t>
      </w:r>
    </w:p>
    <w:p>
      <w:pPr>
        <w:pStyle w:val="TextBody"/>
        <w:bidi w:val="0"/>
        <w:spacing w:lineRule="atLeast" w:line="275" w:before="0" w:after="0"/>
        <w:ind w:left="0" w:right="0" w:hanging="359"/>
        <w:jc w:val="both"/>
        <w:rPr/>
      </w:pPr>
      <w:r>
        <w:rPr>
          <w:rFonts w:ascii="Arial;sans-serif" w:hAnsi="Arial;sans-serif"/>
          <w:b w:val="false"/>
          <w:color w:val="000000"/>
          <w:sz w:val="24"/>
        </w:rPr>
        <w:t>2.post-offer</w:t>
      </w:r>
      <w:r>
        <w:rPr>
          <w:color w:val="000000"/>
        </w:rPr>
        <w:t xml:space="preserve"> </w:t>
      </w:r>
      <w:r>
        <w:rPr>
          <w:rFonts w:ascii="Arial;sans-serif" w:hAnsi="Arial;sans-serif"/>
          <w:b w:val="false"/>
          <w:color w:val="000000"/>
          <w:sz w:val="24"/>
        </w:rPr>
        <w:t>drug</w:t>
      </w:r>
      <w:r>
        <w:rPr>
          <w:color w:val="000000"/>
        </w:rPr>
        <w:t xml:space="preserve"> </w:t>
      </w:r>
      <w:r>
        <w:rPr>
          <w:rFonts w:ascii="Arial;sans-serif" w:hAnsi="Arial;sans-serif"/>
          <w:b w:val="false"/>
          <w:color w:val="000000"/>
          <w:sz w:val="24"/>
        </w:rPr>
        <w:t>screen</w:t>
      </w:r>
      <w:r>
        <w:rPr>
          <w:color w:val="000000"/>
        </w:rPr>
        <w:t xml:space="preserve"> </w:t>
      </w:r>
      <w:r>
        <w:rPr>
          <w:rFonts w:ascii="Arial;sans-serif" w:hAnsi="Arial;sans-serif"/>
          <w:b w:val="false"/>
          <w:color w:val="000000"/>
          <w:sz w:val="24"/>
        </w:rPr>
        <w:t>via</w:t>
      </w:r>
      <w:r>
        <w:rPr>
          <w:color w:val="000000"/>
        </w:rPr>
        <w:t xml:space="preserve"> </w:t>
      </w:r>
      <w:r>
        <w:rPr>
          <w:rFonts w:ascii="Arial;sans-serif" w:hAnsi="Arial;sans-serif"/>
          <w:b w:val="false"/>
          <w:color w:val="000000"/>
          <w:sz w:val="24"/>
        </w:rPr>
        <w:t>current</w:t>
      </w:r>
      <w:r>
        <w:rPr>
          <w:color w:val="000000"/>
        </w:rPr>
        <w:t xml:space="preserve"> </w:t>
      </w:r>
      <w:r>
        <w:rPr>
          <w:rFonts w:ascii="Arial;sans-serif" w:hAnsi="Arial;sans-serif"/>
          <w:b w:val="false"/>
          <w:color w:val="000000"/>
          <w:sz w:val="24"/>
        </w:rPr>
        <w:t>Company</w:t>
      </w:r>
      <w:r>
        <w:rPr>
          <w:color w:val="000000"/>
        </w:rPr>
        <w:t xml:space="preserve"> </w:t>
      </w:r>
      <w:r>
        <w:rPr>
          <w:rFonts w:ascii="Arial;sans-serif" w:hAnsi="Arial;sans-serif"/>
          <w:b w:val="false"/>
          <w:color w:val="000000"/>
          <w:sz w:val="24"/>
        </w:rPr>
        <w:t>protocols</w:t>
      </w:r>
      <w:r>
        <w:rPr>
          <w:color w:val="000000"/>
        </w:rPr>
        <w:t xml:space="preserve"> </w:t>
      </w:r>
      <w:r>
        <w:rPr>
          <w:rFonts w:ascii="Arial;sans-serif" w:hAnsi="Arial;sans-serif"/>
          <w:b w:val="false"/>
          <w:color w:val="000000"/>
          <w:sz w:val="24"/>
        </w:rPr>
        <w:t>and</w:t>
      </w:r>
    </w:p>
    <w:p>
      <w:pPr>
        <w:pStyle w:val="TextBody"/>
        <w:bidi w:val="0"/>
        <w:spacing w:lineRule="auto" w:line="288" w:before="0" w:after="0"/>
        <w:ind w:left="0" w:right="0" w:hanging="359"/>
        <w:jc w:val="both"/>
        <w:rPr/>
      </w:pPr>
      <w:r>
        <w:rPr>
          <w:rFonts w:ascii="Arial;sans-serif" w:hAnsi="Arial;sans-serif"/>
          <w:b w:val="false"/>
          <w:color w:val="000000"/>
          <w:sz w:val="24"/>
        </w:rPr>
        <w:t>3.proof</w:t>
      </w:r>
      <w:r>
        <w:rPr>
          <w:color w:val="000000"/>
        </w:rPr>
        <w:t xml:space="preserve"> </w:t>
      </w:r>
      <w:r>
        <w:rPr>
          <w:rFonts w:ascii="Arial;sans-serif" w:hAnsi="Arial;sans-serif"/>
          <w:b w:val="false"/>
          <w:color w:val="000000"/>
          <w:sz w:val="24"/>
        </w:rPr>
        <w:t>of</w:t>
      </w:r>
      <w:r>
        <w:rPr>
          <w:color w:val="000000"/>
        </w:rPr>
        <w:t xml:space="preserve"> </w:t>
      </w:r>
      <w:r>
        <w:rPr>
          <w:rFonts w:ascii="Arial;sans-serif" w:hAnsi="Arial;sans-serif"/>
          <w:b w:val="false"/>
          <w:color w:val="000000"/>
          <w:sz w:val="24"/>
        </w:rPr>
        <w:t>eligibility</w:t>
      </w:r>
      <w:r>
        <w:rPr>
          <w:color w:val="000000"/>
        </w:rPr>
        <w:t xml:space="preserve">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work</w:t>
      </w:r>
      <w:r>
        <w:rPr>
          <w:color w:val="000000"/>
        </w:rPr>
        <w:t xml:space="preserve"> </w:t>
      </w:r>
      <w:r>
        <w:rPr>
          <w:rFonts w:ascii="Arial;sans-serif" w:hAnsi="Arial;sans-serif"/>
          <w:b w:val="false"/>
          <w:color w:val="000000"/>
          <w:sz w:val="24"/>
        </w:rPr>
        <w:t>in</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United</w:t>
      </w:r>
      <w:r>
        <w:rPr>
          <w:color w:val="000000"/>
        </w:rPr>
        <w:t xml:space="preserve"> </w:t>
      </w:r>
      <w:r>
        <w:rPr>
          <w:rFonts w:ascii="Arial;sans-serif" w:hAnsi="Arial;sans-serif"/>
          <w:b w:val="false"/>
          <w:color w:val="000000"/>
          <w:sz w:val="24"/>
        </w:rPr>
        <w:t>States.</w:t>
      </w:r>
    </w:p>
    <w:p>
      <w:pPr>
        <w:pStyle w:val="TextBody"/>
        <w:bidi w:val="0"/>
        <w:spacing w:lineRule="auto" w:line="288" w:before="185" w:after="283"/>
        <w:jc w:val="both"/>
        <w:rPr/>
      </w:pPr>
      <w:r>
        <w:rPr>
          <w:rFonts w:ascii="Arial;sans-serif" w:hAnsi="Arial;sans-serif"/>
          <w:b w:val="false"/>
          <w:color w:val="000000"/>
          <w:sz w:val="24"/>
        </w:rPr>
        <w:t>If you accept our offer, please sign below and return the signed letter to my attention at Stephanie.Lilak@mdlz.com.</w:t>
      </w:r>
      <w:r>
        <w:rPr>
          <w:color w:val="000000"/>
        </w:rPr>
        <w:t xml:space="preserve"> </w:t>
      </w:r>
      <w:r>
        <w:rPr>
          <w:rFonts w:ascii="Arial;sans-serif" w:hAnsi="Arial;sans-serif"/>
          <w:b w:val="false"/>
          <w:color w:val="000000"/>
          <w:sz w:val="24"/>
        </w:rPr>
        <w:t>Once</w:t>
      </w:r>
      <w:r>
        <w:rPr>
          <w:color w:val="000000"/>
        </w:rPr>
        <w:t xml:space="preserve"> </w:t>
      </w:r>
      <w:r>
        <w:rPr>
          <w:rFonts w:ascii="Arial;sans-serif" w:hAnsi="Arial;sans-serif"/>
          <w:b w:val="false"/>
          <w:color w:val="000000"/>
          <w:sz w:val="24"/>
        </w:rPr>
        <w:t>your</w:t>
      </w:r>
      <w:r>
        <w:rPr>
          <w:color w:val="000000"/>
        </w:rPr>
        <w:t xml:space="preserve"> </w:t>
      </w:r>
      <w:r>
        <w:rPr>
          <w:rFonts w:ascii="Arial;sans-serif" w:hAnsi="Arial;sans-serif"/>
          <w:b w:val="false"/>
          <w:color w:val="000000"/>
          <w:sz w:val="24"/>
        </w:rPr>
        <w:t>date</w:t>
      </w:r>
      <w:r>
        <w:rPr>
          <w:color w:val="000000"/>
        </w:rPr>
        <w:t xml:space="preserve"> </w:t>
      </w:r>
      <w:r>
        <w:rPr>
          <w:rFonts w:ascii="Arial;sans-serif" w:hAnsi="Arial;sans-serif"/>
          <w:b w:val="false"/>
          <w:color w:val="000000"/>
          <w:sz w:val="24"/>
        </w:rPr>
        <w:t>of hire</w:t>
      </w:r>
      <w:r>
        <w:rPr>
          <w:color w:val="000000"/>
        </w:rPr>
        <w:t xml:space="preserve"> </w:t>
      </w:r>
      <w:r>
        <w:rPr>
          <w:rFonts w:ascii="Arial;sans-serif" w:hAnsi="Arial;sans-serif"/>
          <w:b w:val="false"/>
          <w:color w:val="000000"/>
          <w:sz w:val="24"/>
        </w:rPr>
        <w:t>is</w:t>
      </w:r>
      <w:r>
        <w:rPr>
          <w:color w:val="000000"/>
        </w:rPr>
        <w:t xml:space="preserve"> </w:t>
      </w:r>
      <w:r>
        <w:rPr>
          <w:rFonts w:ascii="Arial;sans-serif" w:hAnsi="Arial;sans-serif"/>
          <w:b w:val="false"/>
          <w:color w:val="000000"/>
          <w:sz w:val="24"/>
        </w:rPr>
        <w:t>established, you will be provided information about the</w:t>
      </w:r>
      <w:r>
        <w:rPr>
          <w:color w:val="000000"/>
        </w:rPr>
        <w:t xml:space="preserve"> </w:t>
      </w:r>
      <w:r>
        <w:rPr>
          <w:rFonts w:ascii="Arial;sans-serif" w:hAnsi="Arial;sans-serif"/>
          <w:b w:val="false"/>
          <w:color w:val="000000"/>
          <w:sz w:val="24"/>
        </w:rPr>
        <w:t>arrangements</w:t>
      </w:r>
      <w:r>
        <w:rPr>
          <w:color w:val="000000"/>
        </w:rPr>
        <w:t xml:space="preserve"> </w:t>
      </w:r>
      <w:r>
        <w:rPr>
          <w:rFonts w:ascii="Arial;sans-serif" w:hAnsi="Arial;sans-serif"/>
          <w:b w:val="false"/>
          <w:color w:val="000000"/>
          <w:sz w:val="24"/>
        </w:rPr>
        <w:t>for</w:t>
      </w:r>
      <w:r>
        <w:rPr>
          <w:color w:val="000000"/>
        </w:rPr>
        <w:t xml:space="preserve"> </w:t>
      </w:r>
      <w:r>
        <w:rPr>
          <w:rFonts w:ascii="Arial;sans-serif" w:hAnsi="Arial;sans-serif"/>
          <w:b w:val="false"/>
          <w:color w:val="000000"/>
          <w:sz w:val="24"/>
        </w:rPr>
        <w:t>your</w:t>
      </w:r>
      <w:r>
        <w:rPr>
          <w:color w:val="000000"/>
        </w:rPr>
        <w:t xml:space="preserve"> </w:t>
      </w:r>
      <w:r>
        <w:rPr>
          <w:rFonts w:ascii="Arial;sans-serif" w:hAnsi="Arial;sans-serif"/>
          <w:b w:val="false"/>
          <w:color w:val="000000"/>
          <w:sz w:val="24"/>
        </w:rPr>
        <w:t>post</w:t>
      </w:r>
      <w:r>
        <w:rPr>
          <w:color w:val="000000"/>
        </w:rPr>
        <w:t xml:space="preserve"> </w:t>
      </w:r>
      <w:r>
        <w:rPr>
          <w:rFonts w:ascii="Arial;sans-serif" w:hAnsi="Arial;sans-serif"/>
          <w:b w:val="false"/>
          <w:color w:val="000000"/>
          <w:sz w:val="24"/>
        </w:rPr>
        <w:t>offer</w:t>
      </w:r>
      <w:r>
        <w:rPr>
          <w:color w:val="000000"/>
        </w:rPr>
        <w:t xml:space="preserve"> </w:t>
      </w:r>
      <w:r>
        <w:rPr>
          <w:rFonts w:ascii="Arial;sans-serif" w:hAnsi="Arial;sans-serif"/>
          <w:b w:val="false"/>
          <w:color w:val="000000"/>
          <w:sz w:val="24"/>
        </w:rPr>
        <w:t>drug</w:t>
      </w:r>
      <w:r>
        <w:rPr>
          <w:color w:val="000000"/>
        </w:rPr>
        <w:t xml:space="preserve"> </w:t>
      </w:r>
      <w:r>
        <w:rPr>
          <w:rFonts w:ascii="Arial;sans-serif" w:hAnsi="Arial;sans-serif"/>
          <w:b w:val="false"/>
          <w:color w:val="000000"/>
          <w:sz w:val="24"/>
        </w:rPr>
        <w:t>screen</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required</w:t>
      </w:r>
      <w:r>
        <w:rPr>
          <w:color w:val="000000"/>
        </w:rPr>
        <w:t xml:space="preserve"> </w:t>
      </w:r>
      <w:r>
        <w:rPr>
          <w:rFonts w:ascii="Arial;sans-serif" w:hAnsi="Arial;sans-serif"/>
          <w:b w:val="false"/>
          <w:color w:val="000000"/>
          <w:sz w:val="24"/>
        </w:rPr>
        <w:t>documents</w:t>
      </w:r>
      <w:r>
        <w:rPr>
          <w:color w:val="000000"/>
        </w:rPr>
        <w:t xml:space="preserve"> </w:t>
      </w:r>
      <w:r>
        <w:rPr>
          <w:rFonts w:ascii="Arial;sans-serif" w:hAnsi="Arial;sans-serif"/>
          <w:b w:val="false"/>
          <w:color w:val="000000"/>
          <w:sz w:val="24"/>
        </w:rPr>
        <w:t>for</w:t>
      </w:r>
      <w:r>
        <w:rPr>
          <w:color w:val="000000"/>
        </w:rPr>
        <w:t xml:space="preserve"> </w:t>
      </w:r>
      <w:r>
        <w:rPr>
          <w:rFonts w:ascii="Arial;sans-serif" w:hAnsi="Arial;sans-serif"/>
          <w:b w:val="false"/>
          <w:color w:val="000000"/>
          <w:sz w:val="24"/>
        </w:rPr>
        <w:t>verifying</w:t>
      </w:r>
      <w:r>
        <w:rPr>
          <w:color w:val="000000"/>
        </w:rPr>
        <w:t xml:space="preserve"> </w:t>
      </w:r>
      <w:r>
        <w:rPr>
          <w:rFonts w:ascii="Arial;sans-serif" w:hAnsi="Arial;sans-serif"/>
          <w:b w:val="false"/>
          <w:color w:val="000000"/>
          <w:sz w:val="24"/>
        </w:rPr>
        <w:t>your</w:t>
      </w:r>
      <w:r>
        <w:rPr>
          <w:color w:val="000000"/>
        </w:rPr>
        <w:t xml:space="preserve"> </w:t>
      </w:r>
      <w:r>
        <w:rPr>
          <w:rFonts w:ascii="Arial;sans-serif" w:hAnsi="Arial;sans-serif"/>
          <w:b w:val="false"/>
          <w:color w:val="000000"/>
          <w:sz w:val="24"/>
        </w:rPr>
        <w:t>eligibility to work in the United States.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203325"/>
                <wp:effectExtent l="0" t="0" r="0" b="0"/>
                <wp:wrapNone/>
                <wp:docPr id="170" name="Frame59"/>
                <a:graphic xmlns:a="http://schemas.openxmlformats.org/drawingml/2006/main">
                  <a:graphicData uri="http://schemas.microsoft.com/office/word/2010/wordprocessingShape">
                    <wps:wsp>
                      <wps:cNvSpPr txBox="1"/>
                      <wps:spPr>
                        <a:xfrm>
                          <a:off x="0" y="0"/>
                          <a:ext cx="6480175" cy="1203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20"/>
                                    </w:rPr>
                                  </w:pPr>
                                  <w:r>
                                    <w:rPr>
                                      <w:rFonts w:ascii="Arial;sans-serif" w:hAnsi="Arial;sans-serif"/>
                                      <w:b w:val="false"/>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20"/>
                              </w:rPr>
                            </w:pPr>
                            <w:r>
                              <w:rPr>
                                <w:rFonts w:ascii="Arial;sans-serif" w:hAnsi="Arial;sans-serif"/>
                                <w:b w:val="false"/>
                                <w:color w:val="000000"/>
                                <w:sz w:val="20"/>
                              </w:rPr>
                              <w:t>6</w:t>
                            </w:r>
                          </w:p>
                        </w:tc>
                      </w:tr>
                    </w:tbl>
                    <w:p>
                      <w:pPr>
                        <w:pStyle w:val="TextBody"/>
                        <w:bidi w:val="0"/>
                        <w:spacing w:before="0" w:after="283"/>
                        <w:jc w:val="left"/>
                        <w:rPr/>
                      </w:pPr>
                      <w:r>
                        <w:rPr/>
                      </w:r>
                    </w:p>
                  </w:txbxContent>
                </v:textbox>
                <w10:wrap type="none"/>
              </v:rect>
            </w:pict>
          </mc:Fallback>
        </mc:AlternateContent>
      </w:r>
    </w:p>
    <w:tbl>
      <w:tblPr>
        <w:tblW w:w="4988" w:type="dxa"/>
        <w:jc w:val="left"/>
        <w:tblInd w:w="0" w:type="dxa"/>
        <w:tblLayout w:type="fixed"/>
        <w:tblCellMar>
          <w:top w:w="28" w:type="dxa"/>
          <w:left w:w="28" w:type="dxa"/>
          <w:bottom w:w="28" w:type="dxa"/>
          <w:right w:w="28" w:type="dxa"/>
        </w:tblCellMar>
      </w:tblPr>
      <w:tblGrid>
        <w:gridCol w:w="536"/>
        <w:gridCol w:w="472"/>
        <w:gridCol w:w="473"/>
        <w:gridCol w:w="109"/>
        <w:gridCol w:w="109"/>
        <w:gridCol w:w="109"/>
        <w:gridCol w:w="931"/>
        <w:gridCol w:w="931"/>
        <w:gridCol w:w="1318"/>
      </w:tblGrid>
      <w:tr>
        <w:trPr/>
        <w:tc>
          <w:tcPr>
            <w:tcW w:w="5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76300" cy="533400"/>
                  <wp:effectExtent l="0" t="0" r="0" b="0"/>
                  <wp:docPr id="17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0" descr=""/>
                          <pic:cNvPicPr>
                            <a:picLocks noChangeAspect="1" noChangeArrowheads="1"/>
                          </pic:cNvPicPr>
                        </pic:nvPicPr>
                        <pic:blipFill>
                          <a:blip r:embed="rId113"/>
                          <a:stretch>
                            <a:fillRect/>
                          </a:stretch>
                        </pic:blipFill>
                        <pic:spPr bwMode="auto">
                          <a:xfrm>
                            <a:off x="0" y="0"/>
                            <a:ext cx="876300" cy="5334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4"/>
              </w:rPr>
            </w:pPr>
            <w:r>
              <w:rPr>
                <w:rFonts w:ascii="sans-serif" w:hAnsi="sans-serif"/>
                <w:b w:val="false"/>
                <w:color w:val="000000"/>
                <w:sz w:val="24"/>
              </w:rPr>
              <w:t>Exhibit 10.1</w:t>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Mondelēz International Inc. Chicago, IL 60607 USA</w:t>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mondelezinternational.com</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000000"/>
          <w:sz w:val="24"/>
        </w:rPr>
        <w:t>Should</w:t>
      </w:r>
      <w:r>
        <w:rPr>
          <w:color w:val="000000"/>
        </w:rPr>
        <w:t xml:space="preserve"> </w:t>
      </w:r>
      <w:r>
        <w:rPr>
          <w:rFonts w:ascii="Arial;sans-serif" w:hAnsi="Arial;sans-serif"/>
          <w:b w:val="false"/>
          <w:color w:val="000000"/>
          <w:sz w:val="24"/>
        </w:rPr>
        <w:t>you</w:t>
      </w:r>
      <w:r>
        <w:rPr>
          <w:color w:val="000000"/>
        </w:rPr>
        <w:t xml:space="preserve"> </w:t>
      </w:r>
      <w:r>
        <w:rPr>
          <w:rFonts w:ascii="Arial;sans-serif" w:hAnsi="Arial;sans-serif"/>
          <w:b w:val="false"/>
          <w:color w:val="000000"/>
          <w:sz w:val="24"/>
        </w:rPr>
        <w:t>have</w:t>
      </w:r>
      <w:r>
        <w:rPr>
          <w:color w:val="000000"/>
        </w:rPr>
        <w:t xml:space="preserve"> </w:t>
      </w:r>
      <w:r>
        <w:rPr>
          <w:rFonts w:ascii="Arial;sans-serif" w:hAnsi="Arial;sans-serif"/>
          <w:b w:val="false"/>
          <w:color w:val="000000"/>
          <w:sz w:val="24"/>
        </w:rPr>
        <w:t>any</w:t>
      </w:r>
      <w:r>
        <w:rPr>
          <w:color w:val="000000"/>
        </w:rPr>
        <w:t xml:space="preserve"> </w:t>
      </w:r>
      <w:r>
        <w:rPr>
          <w:rFonts w:ascii="Arial;sans-serif" w:hAnsi="Arial;sans-serif"/>
          <w:b w:val="false"/>
          <w:color w:val="000000"/>
          <w:sz w:val="24"/>
        </w:rPr>
        <w:t>questions</w:t>
      </w:r>
      <w:r>
        <w:rPr>
          <w:color w:val="000000"/>
        </w:rPr>
        <w:t xml:space="preserve"> </w:t>
      </w:r>
      <w:r>
        <w:rPr>
          <w:rFonts w:ascii="Arial;sans-serif" w:hAnsi="Arial;sans-serif"/>
          <w:b w:val="false"/>
          <w:color w:val="000000"/>
          <w:sz w:val="24"/>
        </w:rPr>
        <w:t>concerning</w:t>
      </w:r>
      <w:r>
        <w:rPr>
          <w:color w:val="000000"/>
        </w:rPr>
        <w:t xml:space="preserve"> </w:t>
      </w:r>
      <w:r>
        <w:rPr>
          <w:rFonts w:ascii="Arial;sans-serif" w:hAnsi="Arial;sans-serif"/>
          <w:b w:val="false"/>
          <w:color w:val="000000"/>
          <w:sz w:val="24"/>
        </w:rPr>
        <w:t>this</w:t>
      </w:r>
      <w:r>
        <w:rPr>
          <w:color w:val="000000"/>
        </w:rPr>
        <w:t xml:space="preserve"> </w:t>
      </w:r>
      <w:r>
        <w:rPr>
          <w:rFonts w:ascii="Arial;sans-serif" w:hAnsi="Arial;sans-serif"/>
          <w:b w:val="false"/>
          <w:color w:val="000000"/>
          <w:sz w:val="24"/>
        </w:rPr>
        <w:t>information,</w:t>
      </w:r>
      <w:r>
        <w:rPr>
          <w:color w:val="000000"/>
        </w:rPr>
        <w:t xml:space="preserve"> </w:t>
      </w:r>
      <w:r>
        <w:rPr>
          <w:rFonts w:ascii="Arial;sans-serif" w:hAnsi="Arial;sans-serif"/>
          <w:b w:val="false"/>
          <w:color w:val="000000"/>
          <w:sz w:val="24"/>
        </w:rPr>
        <w:t>please</w:t>
      </w:r>
      <w:r>
        <w:rPr>
          <w:color w:val="000000"/>
        </w:rPr>
        <w:t xml:space="preserve"> </w:t>
      </w:r>
      <w:r>
        <w:rPr>
          <w:rFonts w:ascii="Arial;sans-serif" w:hAnsi="Arial;sans-serif"/>
          <w:b w:val="false"/>
          <w:color w:val="000000"/>
          <w:sz w:val="24"/>
        </w:rPr>
        <w:t>contact</w:t>
      </w:r>
      <w:r>
        <w:rPr>
          <w:color w:val="000000"/>
        </w:rPr>
        <w:t xml:space="preserve"> </w:t>
      </w:r>
      <w:r>
        <w:rPr>
          <w:rFonts w:ascii="Arial;sans-serif" w:hAnsi="Arial;sans-serif"/>
          <w:b w:val="false"/>
          <w:color w:val="000000"/>
          <w:sz w:val="24"/>
        </w:rPr>
        <w:t>me.</w:t>
      </w:r>
    </w:p>
    <w:p>
      <w:pPr>
        <w:pStyle w:val="TextBody"/>
        <w:bidi w:val="0"/>
        <w:spacing w:before="0" w:after="0"/>
        <w:jc w:val="left"/>
        <w:rPr/>
      </w:pPr>
      <w:r>
        <w:rPr/>
      </w:r>
    </w:p>
    <w:p>
      <w:pPr>
        <w:pStyle w:val="TextBody"/>
        <w:bidi w:val="0"/>
        <w:spacing w:before="0" w:after="0"/>
        <w:jc w:val="left"/>
        <w:rPr/>
      </w:pPr>
      <w:r>
        <w:rPr/>
      </w:r>
    </w:p>
    <w:tbl>
      <w:tblPr>
        <w:tblW w:w="5096" w:type="dxa"/>
        <w:jc w:val="left"/>
        <w:tblInd w:w="0" w:type="dxa"/>
        <w:tblLayout w:type="fixed"/>
        <w:tblCellMar>
          <w:top w:w="28" w:type="dxa"/>
          <w:left w:w="28" w:type="dxa"/>
          <w:bottom w:w="28" w:type="dxa"/>
          <w:right w:w="28" w:type="dxa"/>
        </w:tblCellMar>
      </w:tblPr>
      <w:tblGrid>
        <w:gridCol w:w="1101"/>
        <w:gridCol w:w="970"/>
        <w:gridCol w:w="974"/>
        <w:gridCol w:w="109"/>
        <w:gridCol w:w="109"/>
        <w:gridCol w:w="109"/>
        <w:gridCol w:w="175"/>
        <w:gridCol w:w="175"/>
        <w:gridCol w:w="137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 xml:space="preserve">/s/ Stephanie Lilak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June 6th, 2026</w:t>
            </w:r>
          </w:p>
        </w:tc>
      </w:tr>
      <w:tr>
        <w:trPr/>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Stephanie Lilak</w:t>
            </w:r>
          </w:p>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EVP &amp; Chief People Officer</w:t>
            </w:r>
          </w:p>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Mondelēz Global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Date</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4"/>
        </w:rPr>
        <w:t>I</w:t>
      </w:r>
      <w:r>
        <w:rPr>
          <w:color w:val="000000"/>
        </w:rPr>
        <w:t xml:space="preserve"> </w:t>
      </w:r>
      <w:r>
        <w:rPr>
          <w:rFonts w:ascii="Arial;sans-serif" w:hAnsi="Arial;sans-serif"/>
          <w:b w:val="false"/>
          <w:color w:val="000000"/>
          <w:sz w:val="24"/>
        </w:rPr>
        <w:t>have</w:t>
      </w:r>
      <w:r>
        <w:rPr>
          <w:color w:val="000000"/>
        </w:rPr>
        <w:t xml:space="preserve"> </w:t>
      </w:r>
      <w:r>
        <w:rPr>
          <w:rFonts w:ascii="Arial;sans-serif" w:hAnsi="Arial;sans-serif"/>
          <w:b w:val="false"/>
          <w:color w:val="000000"/>
          <w:sz w:val="24"/>
        </w:rPr>
        <w:t>read</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color w:val="000000"/>
          <w:sz w:val="24"/>
        </w:rPr>
        <w:t>above</w:t>
      </w:r>
      <w:r>
        <w:rPr>
          <w:color w:val="000000"/>
        </w:rPr>
        <w:t xml:space="preserve"> </w:t>
      </w:r>
      <w:r>
        <w:rPr>
          <w:rFonts w:ascii="Arial;sans-serif" w:hAnsi="Arial;sans-serif"/>
          <w:b w:val="false"/>
          <w:color w:val="000000"/>
          <w:sz w:val="24"/>
        </w:rPr>
        <w:t>terms</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4"/>
        </w:rPr>
        <w:t>conditions</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4"/>
        </w:rPr>
        <w:t>by</w:t>
      </w:r>
      <w:r>
        <w:rPr>
          <w:color w:val="000000"/>
        </w:rPr>
        <w:t xml:space="preserve"> </w:t>
      </w:r>
      <w:r>
        <w:rPr>
          <w:rFonts w:ascii="Arial;sans-serif" w:hAnsi="Arial;sans-serif"/>
          <w:b w:val="false"/>
          <w:color w:val="000000"/>
          <w:sz w:val="24"/>
        </w:rPr>
        <w:t>signing</w:t>
      </w:r>
      <w:r>
        <w:rPr>
          <w:color w:val="000000"/>
        </w:rPr>
        <w:t xml:space="preserve"> </w:t>
      </w:r>
      <w:r>
        <w:rPr>
          <w:rFonts w:ascii="Arial;sans-serif" w:hAnsi="Arial;sans-serif"/>
          <w:b w:val="false"/>
          <w:color w:val="000000"/>
          <w:sz w:val="24"/>
        </w:rPr>
        <w:t>below,</w:t>
      </w:r>
      <w:r>
        <w:rPr>
          <w:color w:val="000000"/>
        </w:rPr>
        <w:t xml:space="preserve"> </w:t>
      </w:r>
      <w:r>
        <w:rPr>
          <w:rFonts w:ascii="Arial;sans-serif" w:hAnsi="Arial;sans-serif"/>
          <w:b w:val="false"/>
          <w:color w:val="000000"/>
          <w:sz w:val="24"/>
        </w:rPr>
        <w:t>do</w:t>
      </w:r>
      <w:r>
        <w:rPr>
          <w:color w:val="000000"/>
        </w:rPr>
        <w:t xml:space="preserve"> </w:t>
      </w:r>
      <w:r>
        <w:rPr>
          <w:rFonts w:ascii="Arial;sans-serif" w:hAnsi="Arial;sans-serif"/>
          <w:b w:val="false"/>
          <w:color w:val="000000"/>
          <w:sz w:val="24"/>
        </w:rPr>
        <w:t>accept</w:t>
      </w:r>
      <w:r>
        <w:rPr>
          <w:color w:val="000000"/>
        </w:rPr>
        <w:t xml:space="preserve"> </w:t>
      </w:r>
      <w:r>
        <w:rPr>
          <w:rFonts w:ascii="Arial;sans-serif" w:hAnsi="Arial;sans-serif"/>
          <w:b w:val="false"/>
          <w:color w:val="000000"/>
          <w:sz w:val="24"/>
        </w:rPr>
        <w:t>this</w:t>
      </w:r>
      <w:r>
        <w:rPr>
          <w:color w:val="000000"/>
        </w:rPr>
        <w:t xml:space="preserve"> </w:t>
      </w:r>
      <w:r>
        <w:rPr>
          <w:rFonts w:ascii="Arial;sans-serif" w:hAnsi="Arial;sans-serif"/>
          <w:b w:val="false"/>
          <w:color w:val="000000"/>
          <w:sz w:val="24"/>
        </w:rPr>
        <w:t>offer.</w:t>
      </w:r>
      <w:r>
        <w:rPr>
          <w:color w:val="000000"/>
        </w:rPr>
        <w:t xml:space="preserve"> </w:t>
      </w:r>
      <w:r>
        <w:rPr>
          <w:rFonts w:ascii="Arial;sans-serif" w:hAnsi="Arial;sans-serif"/>
          <w:b w:val="false"/>
          <w:color w:val="000000"/>
          <w:sz w:val="24"/>
        </w:rPr>
        <w:t>This</w:t>
      </w:r>
      <w:r>
        <w:rPr>
          <w:color w:val="000000"/>
        </w:rPr>
        <w:t xml:space="preserve"> </w:t>
      </w:r>
      <w:r>
        <w:rPr>
          <w:rFonts w:ascii="Arial;sans-serif" w:hAnsi="Arial;sans-serif"/>
          <w:b w:val="false"/>
          <w:color w:val="000000"/>
          <w:sz w:val="24"/>
        </w:rPr>
        <w:t>letter</w:t>
      </w:r>
      <w:r>
        <w:rPr>
          <w:color w:val="000000"/>
        </w:rPr>
        <w:t xml:space="preserve"> </w:t>
      </w:r>
      <w:r>
        <w:rPr>
          <w:rFonts w:ascii="Arial;sans-serif" w:hAnsi="Arial;sans-serif"/>
          <w:b w:val="false"/>
          <w:color w:val="000000"/>
          <w:sz w:val="24"/>
        </w:rPr>
        <w:t>does not, in any way, constitute an express or implied contract for employment.</w:t>
      </w:r>
    </w:p>
    <w:p>
      <w:pPr>
        <w:pStyle w:val="TextBody"/>
        <w:bidi w:val="0"/>
        <w:spacing w:before="0" w:after="0"/>
        <w:jc w:val="left"/>
        <w:rPr/>
      </w:pPr>
      <w:r>
        <w:rPr/>
      </w:r>
    </w:p>
    <w:p>
      <w:pPr>
        <w:pStyle w:val="TextBody"/>
        <w:bidi w:val="0"/>
        <w:spacing w:before="0" w:after="0"/>
        <w:jc w:val="left"/>
        <w:rPr/>
      </w:pPr>
      <w:r>
        <w:rPr/>
      </w:r>
    </w:p>
    <w:tbl>
      <w:tblPr>
        <w:tblW w:w="3191" w:type="dxa"/>
        <w:jc w:val="left"/>
        <w:tblInd w:w="0" w:type="dxa"/>
        <w:tblLayout w:type="fixed"/>
        <w:tblCellMar>
          <w:top w:w="28" w:type="dxa"/>
          <w:left w:w="28" w:type="dxa"/>
          <w:bottom w:w="28" w:type="dxa"/>
          <w:right w:w="28" w:type="dxa"/>
        </w:tblCellMar>
      </w:tblPr>
      <w:tblGrid>
        <w:gridCol w:w="598"/>
        <w:gridCol w:w="525"/>
        <w:gridCol w:w="527"/>
        <w:gridCol w:w="109"/>
        <w:gridCol w:w="109"/>
        <w:gridCol w:w="109"/>
        <w:gridCol w:w="123"/>
        <w:gridCol w:w="123"/>
        <w:gridCol w:w="968"/>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/s/ Amit Banati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6/12/2026</w:t>
            </w:r>
          </w:p>
        </w:tc>
      </w:tr>
      <w:tr>
        <w:trPr/>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Amit Banati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Date</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val="false"/>
          <w:i/>
          <w:color w:val="000000"/>
          <w:sz w:val="20"/>
        </w:rPr>
        <w:t>[Signature</w:t>
      </w:r>
      <w:r>
        <w:rPr>
          <w:color w:val="000000"/>
        </w:rPr>
        <w:t xml:space="preserve"> </w:t>
      </w:r>
      <w:r>
        <w:rPr>
          <w:rFonts w:ascii="Arial;sans-serif" w:hAnsi="Arial;sans-serif"/>
          <w:b w:val="false"/>
          <w:i/>
          <w:color w:val="000000"/>
          <w:sz w:val="20"/>
        </w:rPr>
        <w:t>Page</w:t>
      </w:r>
      <w:r>
        <w:rPr>
          <w:color w:val="000000"/>
        </w:rPr>
        <w:t xml:space="preserve"> </w:t>
      </w:r>
      <w:r>
        <w:rPr>
          <w:rFonts w:ascii="Arial;sans-serif" w:hAnsi="Arial;sans-serif"/>
          <w:b w:val="false"/>
          <w:i/>
          <w:color w:val="000000"/>
          <w:sz w:val="20"/>
        </w:rPr>
        <w:t>to</w:t>
      </w:r>
      <w:r>
        <w:rPr>
          <w:color w:val="000000"/>
        </w:rPr>
        <w:t xml:space="preserve"> </w:t>
      </w:r>
      <w:r>
        <w:rPr>
          <w:rFonts w:ascii="Arial;sans-serif" w:hAnsi="Arial;sans-serif"/>
          <w:b w:val="false"/>
          <w:i/>
          <w:color w:val="000000"/>
          <w:sz w:val="20"/>
        </w:rPr>
        <w:t>Mr. Amit Banati</w:t>
      </w:r>
      <w:r>
        <w:rPr>
          <w:color w:val="000000"/>
        </w:rPr>
        <w:t xml:space="preserve"> </w:t>
      </w:r>
      <w:r>
        <w:rPr>
          <w:rFonts w:ascii="Arial;sans-serif" w:hAnsi="Arial;sans-serif"/>
          <w:b w:val="false"/>
          <w:i/>
          <w:color w:val="000000"/>
          <w:sz w:val="20"/>
        </w:rPr>
        <w:t>Offer</w:t>
      </w:r>
      <w:r>
        <w:rPr>
          <w:color w:val="000000"/>
        </w:rPr>
        <w:t xml:space="preserve"> </w:t>
      </w:r>
      <w:r>
        <w:rPr>
          <w:rFonts w:ascii="Arial;sans-serif" w:hAnsi="Arial;sans-serif"/>
          <w:b w:val="false"/>
          <w:i/>
          <w:color w:val="000000"/>
          <w:sz w:val="20"/>
        </w:rPr>
        <w:t>Letter]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203325"/>
                <wp:effectExtent l="0" t="0" r="0" b="0"/>
                <wp:wrapNone/>
                <wp:docPr id="172" name="Frame60"/>
                <a:graphic xmlns:a="http://schemas.openxmlformats.org/drawingml/2006/main">
                  <a:graphicData uri="http://schemas.microsoft.com/office/word/2010/wordprocessingShape">
                    <wps:wsp>
                      <wps:cNvSpPr txBox="1"/>
                      <wps:spPr>
                        <a:xfrm>
                          <a:off x="0" y="0"/>
                          <a:ext cx="6480175" cy="1203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20"/>
                                    </w:rPr>
                                  </w:pPr>
                                  <w:r>
                                    <w:rPr>
                                      <w:rFonts w:ascii="Arial;sans-serif" w:hAnsi="Arial;sans-serif"/>
                                      <w:b w:val="false"/>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20"/>
                              </w:rPr>
                            </w:pPr>
                            <w:r>
                              <w:rPr>
                                <w:rFonts w:ascii="Arial;sans-serif" w:hAnsi="Arial;sans-serif"/>
                                <w:b w:val="false"/>
                                <w:color w:val="000000"/>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Dirk Van de Put,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Mondelēz International, Inc.;</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July 28, 2026</w:t>
      </w:r>
    </w:p>
    <w:p>
      <w:pPr>
        <w:pStyle w:val="TextBody"/>
        <w:bidi w:val="0"/>
        <w:spacing w:lineRule="auto" w:line="288" w:before="0" w:after="0"/>
        <w:jc w:val="left"/>
        <w:rPr>
          <w:color w:val="000000"/>
        </w:rPr>
      </w:pPr>
      <w:r>
        <w:rPr>
          <w:color w:val="000000"/>
        </w:rPr>
        <w:t> </w:t>
      </w:r>
    </w:p>
    <w:tbl>
      <w:tblPr>
        <w:tblW w:w="3074" w:type="dxa"/>
        <w:jc w:val="right"/>
        <w:tblInd w:w="0" w:type="dxa"/>
        <w:tblLayout w:type="fixed"/>
        <w:tblCellMar>
          <w:top w:w="28" w:type="dxa"/>
          <w:left w:w="28" w:type="dxa"/>
          <w:bottom w:w="28" w:type="dxa"/>
          <w:right w:w="28" w:type="dxa"/>
        </w:tblCellMar>
      </w:tblPr>
      <w:tblGrid>
        <w:gridCol w:w="980"/>
        <w:gridCol w:w="861"/>
        <w:gridCol w:w="1233"/>
      </w:tblGrid>
      <w:tr>
        <w:trPr/>
        <w:tc>
          <w:tcPr>
            <w:tcW w:w="98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DIRK VAN DE PUT</w:t>
            </w:r>
          </w:p>
        </w:tc>
      </w:tr>
      <w:tr>
        <w:trPr/>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Dirk Van de Put</w:t>
              <w:br/>
              <w:t>Chair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7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Amit Banati,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Mondelēz International, Inc.;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July 28, 2026</w:t>
      </w:r>
    </w:p>
    <w:p>
      <w:pPr>
        <w:pStyle w:val="TextBody"/>
        <w:bidi w:val="0"/>
        <w:spacing w:lineRule="auto" w:line="288" w:before="0" w:after="0"/>
        <w:jc w:val="left"/>
        <w:rPr>
          <w:color w:val="000000"/>
        </w:rPr>
      </w:pPr>
      <w:r>
        <w:rPr>
          <w:color w:val="000000"/>
        </w:rPr>
        <w:t> </w:t>
      </w:r>
    </w:p>
    <w:tbl>
      <w:tblPr>
        <w:tblW w:w="2805" w:type="dxa"/>
        <w:jc w:val="right"/>
        <w:tblInd w:w="0" w:type="dxa"/>
        <w:tblLayout w:type="fixed"/>
        <w:tblCellMar>
          <w:top w:w="28" w:type="dxa"/>
          <w:left w:w="28" w:type="dxa"/>
          <w:bottom w:w="28" w:type="dxa"/>
          <w:right w:w="28" w:type="dxa"/>
        </w:tblCellMar>
      </w:tblPr>
      <w:tblGrid>
        <w:gridCol w:w="896"/>
        <w:gridCol w:w="788"/>
        <w:gridCol w:w="1121"/>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AMIT BANATI</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Amit Banati</w:t>
              <w:br/>
              <w:t xml:space="preserve">Executive Vice President and </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7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 OF</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CHIEF EXECUTIVE OFFICER AND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June 30, 2026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tbl>
      <w:tblPr>
        <w:tblW w:w="3074" w:type="dxa"/>
        <w:jc w:val="left"/>
        <w:tblInd w:w="0" w:type="dxa"/>
        <w:tblLayout w:type="fixed"/>
        <w:tblCellMar>
          <w:top w:w="28" w:type="dxa"/>
          <w:left w:w="28" w:type="dxa"/>
          <w:bottom w:w="28" w:type="dxa"/>
          <w:right w:w="28" w:type="dxa"/>
        </w:tblCellMar>
      </w:tblPr>
      <w:tblGrid>
        <w:gridCol w:w="984"/>
        <w:gridCol w:w="862"/>
        <w:gridCol w:w="1228"/>
      </w:tblGrid>
      <w:tr>
        <w:trPr/>
        <w:tc>
          <w:tcPr>
            <w:tcW w:w="98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DIRK VAN DE PUT</w:t>
            </w:r>
          </w:p>
        </w:tc>
      </w:tr>
      <w:tr>
        <w:trPr/>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Dirk Van de Put</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 and Chief Executive Officer</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28,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I, Amit Banati,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June 30, 2026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tbl>
      <w:tblPr>
        <w:tblW w:w="2744" w:type="dxa"/>
        <w:jc w:val="left"/>
        <w:tblInd w:w="0" w:type="dxa"/>
        <w:tblLayout w:type="fixed"/>
        <w:tblCellMar>
          <w:top w:w="28" w:type="dxa"/>
          <w:left w:w="28" w:type="dxa"/>
          <w:bottom w:w="28" w:type="dxa"/>
          <w:right w:w="28" w:type="dxa"/>
        </w:tblCellMar>
      </w:tblPr>
      <w:tblGrid>
        <w:gridCol w:w="878"/>
        <w:gridCol w:w="772"/>
        <w:gridCol w:w="1094"/>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AMIT BANATI</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Amit Banati</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28, 2026</w:t>
            </w:r>
          </w:p>
        </w:tc>
      </w:tr>
    </w:tbl>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7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3.jpeg"/><Relationship Id="rId108" Type="http://schemas.openxmlformats.org/officeDocument/2006/relationships/image" Target="media/image3.jpeg"/><Relationship Id="rId109" Type="http://schemas.openxmlformats.org/officeDocument/2006/relationships/image" Target="media/image3.jpeg"/><Relationship Id="rId110" Type="http://schemas.openxmlformats.org/officeDocument/2006/relationships/image" Target="media/image3.jpeg"/><Relationship Id="rId111" Type="http://schemas.openxmlformats.org/officeDocument/2006/relationships/image" Target="media/image3.jpeg"/><Relationship Id="rId112" Type="http://schemas.openxmlformats.org/officeDocument/2006/relationships/image" Target="media/image3.jpeg"/><Relationship Id="rId113" Type="http://schemas.openxmlformats.org/officeDocument/2006/relationships/image" Target="media/image3.jpeg"/><Relationship Id="rId114" Type="http://schemas.openxmlformats.org/officeDocument/2006/relationships/fontTable" Target="fontTable.xml"/><Relationship Id="rId1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27238</Words>
  <Characters>151504</Characters>
  <CharactersWithSpaces>176636</CharactersWithSpaces>
  <Paragraphs>4343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