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300" w:hanging="600"/>
        <w:spacing w:after="0" w:line="24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1560" w:right="1300" w:hanging="594"/>
        <w:spacing w:after="0" w:line="214"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69"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63"/>
        </w:trPr>
        <w:tc>
          <w:tcPr>
            <w:tcW w:w="4560" w:type="dxa"/>
            <w:vAlign w:val="bottom"/>
          </w:tcPr>
          <w:p>
            <w:pPr>
              <w:jc w:val="center"/>
              <w:ind w:right="1719"/>
              <w:spacing w:after="0" w:line="163" w:lineRule="exact"/>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1"/>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4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Tile of each class</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Symbol(s)</w:t>
            </w:r>
          </w:p>
        </w:tc>
        <w:tc>
          <w:tcPr>
            <w:tcW w:w="4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A Common Stock, no par value</w:t>
            </w:r>
          </w:p>
        </w:tc>
        <w:tc>
          <w:tcPr>
            <w:tcW w:w="10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MDLZ</w:t>
            </w:r>
          </w:p>
        </w:tc>
        <w:tc>
          <w:tcPr>
            <w:tcW w:w="100" w:type="dxa"/>
            <w:vAlign w:val="bottom"/>
          </w:tcPr>
          <w:p>
            <w:pPr>
              <w:spacing w:after="0"/>
              <w:rPr>
                <w:sz w:val="18"/>
                <w:szCs w:val="18"/>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96"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October 28, 2022, there were 1,365,618,508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3"/>
        </w:trPr>
        <w:tc>
          <w:tcPr>
            <w:tcW w:w="1240" w:type="dxa"/>
            <w:vAlign w:val="bottom"/>
            <w:gridSpan w:val="2"/>
            <w:vMerge w:val="continue"/>
          </w:tcPr>
          <w:p>
            <w:pPr>
              <w:spacing w:after="0"/>
              <w:rPr>
                <w:sz w:val="19"/>
                <w:szCs w:val="19"/>
                <w:color w:val="auto"/>
              </w:rPr>
            </w:pPr>
          </w:p>
        </w:tc>
        <w:tc>
          <w:tcPr>
            <w:tcW w:w="8760" w:type="dxa"/>
            <w:vAlign w:val="bottom"/>
            <w:gridSpan w:val="19"/>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Earnings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for the Three and Nine Months Ended September</w:t>
            </w:r>
          </w:p>
        </w:tc>
        <w:tc>
          <w:tcPr>
            <w:tcW w:w="20" w:type="dxa"/>
            <w:vAlign w:val="bottom"/>
            <w:tcBorders>
              <w:bottom w:val="single" w:sz="8" w:color="0000FF"/>
            </w:tcBorders>
          </w:tcPr>
          <w:p>
            <w:pPr>
              <w:spacing w:after="0"/>
              <w:rPr>
                <w:sz w:val="14"/>
                <w:szCs w:val="14"/>
                <w:color w:val="auto"/>
              </w:rPr>
            </w:pPr>
          </w:p>
        </w:tc>
        <w:tc>
          <w:tcPr>
            <w:tcW w:w="1700" w:type="dxa"/>
            <w:vAlign w:val="bottom"/>
            <w:tcBorders>
              <w:bottom w:val="single" w:sz="8" w:color="0000FF"/>
            </w:tcBorders>
            <w:gridSpan w:val="8"/>
          </w:tcPr>
          <w:p>
            <w:pPr>
              <w:jc w:val="right"/>
              <w:ind w:right="20"/>
              <w:spacing w:after="0" w:line="142" w:lineRule="exact"/>
              <w:rPr>
                <w:sz w:val="20"/>
                <w:szCs w:val="20"/>
                <w:color w:val="auto"/>
              </w:rPr>
            </w:pPr>
            <w:r>
              <w:rPr>
                <w:rFonts w:ascii="Arial" w:cs="Arial" w:eastAsia="Arial" w:hAnsi="Arial"/>
                <w:sz w:val="16"/>
                <w:szCs w:val="16"/>
                <w:color w:val="0000FF"/>
              </w:rPr>
              <w:t>30, 2022 and 2021</w:t>
            </w:r>
          </w:p>
        </w:tc>
        <w:tc>
          <w:tcPr>
            <w:tcW w:w="1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1"/>
        </w:trPr>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Earnings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10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for the Three and Nine Months Ended September 30, 2022 and</w:t>
            </w:r>
          </w:p>
        </w:tc>
        <w:tc>
          <w:tcPr>
            <w:tcW w:w="40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rPr>
              <w:t>2021</w:t>
            </w:r>
          </w:p>
        </w:tc>
        <w:tc>
          <w:tcPr>
            <w:tcW w:w="1440" w:type="dxa"/>
            <w:vAlign w:val="bottom"/>
            <w:gridSpan w:val="2"/>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20" w:type="dxa"/>
            <w:vAlign w:val="bottom"/>
            <w:tcBorders>
              <w:bottom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at September 30, 2022 and December 31, 2021</w:t>
            </w:r>
          </w:p>
        </w:tc>
        <w:tc>
          <w:tcPr>
            <w:tcW w:w="4800" w:type="dxa"/>
            <w:vAlign w:val="bottom"/>
            <w:gridSpan w:val="10"/>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Equity</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520" w:type="dxa"/>
            <w:vAlign w:val="bottom"/>
            <w:tcBorders>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for the Three and Nine Months Ended September 30, 2022 and 2021</w:t>
            </w:r>
          </w:p>
        </w:tc>
        <w:tc>
          <w:tcPr>
            <w:tcW w:w="3100" w:type="dxa"/>
            <w:vAlign w:val="bottom"/>
            <w:gridSpan w:val="2"/>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gridSpan w:val="18"/>
          </w:tcPr>
          <w:p>
            <w:pPr>
              <w:spacing w:after="0" w:line="142" w:lineRule="exact"/>
              <w:rPr>
                <w:sz w:val="20"/>
                <w:szCs w:val="20"/>
                <w:color w:val="auto"/>
              </w:rPr>
            </w:pPr>
            <w:r>
              <w:rPr>
                <w:rFonts w:ascii="Arial" w:cs="Arial" w:eastAsia="Arial" w:hAnsi="Arial"/>
                <w:sz w:val="16"/>
                <w:szCs w:val="16"/>
                <w:color w:val="0000FF"/>
              </w:rPr>
              <w:t>for the Nine Months Ended September 30, 2022 and 2021</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080" w:type="dxa"/>
            <w:vAlign w:val="bottom"/>
            <w:gridSpan w:val="7"/>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4"/>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tcPr>
          <w:p>
            <w:pPr>
              <w:spacing w:after="0"/>
              <w:rPr>
                <w:sz w:val="22"/>
                <w:szCs w:val="22"/>
                <w:color w:val="auto"/>
              </w:rPr>
            </w:pPr>
          </w:p>
        </w:tc>
        <w:tc>
          <w:tcPr>
            <w:tcW w:w="7280" w:type="dxa"/>
            <w:vAlign w:val="bottom"/>
            <w:gridSpan w:val="15"/>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Exhibits</w:t>
            </w:r>
          </w:p>
        </w:tc>
        <w:tc>
          <w:tcPr>
            <w:tcW w:w="3920" w:type="dxa"/>
            <w:vAlign w:val="bottom"/>
            <w:gridSpan w:val="5"/>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Signature</w:t>
            </w:r>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5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7,763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8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equity method investment transactions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536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6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0"/>
                <w:szCs w:val="10"/>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1"/>
        </w:trPr>
        <w:tc>
          <w:tcPr>
            <w:tcW w:w="536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Trade receivables (net of allowances of $42 at September 30, 2022</w:t>
            </w: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$37 at December 31, 2021)</w:t>
            </w:r>
          </w:p>
        </w:tc>
        <w:tc>
          <w:tcPr>
            <w:tcW w:w="20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Other receivables (net of allowances of $49 at September 30, 2022</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and $49 at December 31, 2021)</w:t>
            </w:r>
          </w:p>
        </w:tc>
        <w:tc>
          <w:tcPr>
            <w:tcW w:w="20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September 30, 2022 and December 31, 2021)</w:t>
            </w:r>
          </w:p>
        </w:tc>
        <w:tc>
          <w:tcPr>
            <w:tcW w:w="20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175"/>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Treasury stock, at cost (629,145,172 shares at September 30, 2022 and</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(25,681)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(24,010)</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604,907,239 shares at December 31, 2021)</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64"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(Losses)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Three Months Ended September 30, 2022</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July 1, 2022</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27,553</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21"/>
        </w:trPr>
        <w:tc>
          <w:tcPr>
            <w:tcW w:w="3200" w:type="dxa"/>
            <w:vAlign w:val="bottom"/>
          </w:tcPr>
          <w:p>
            <w:pPr>
              <w:ind w:left="140"/>
              <w:spacing w:after="0" w:line="122"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28"/>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($0.390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September 30, 2022</w:t>
            </w:r>
          </w:p>
        </w:tc>
        <w:tc>
          <w:tcPr>
            <w:tcW w:w="78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26,670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2022</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32,097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30,806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(10,624)</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(24,010)</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28,323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2,142</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($1.090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2022</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32,116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31,437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(25,681)</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26,670</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2021</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29,538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(23,465)</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27,620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2021</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30,305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(10,904)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(23,769)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27,754</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2021</w:t>
            </w: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(10,690)</w:t>
            </w:r>
          </w:p>
        </w:tc>
        <w:tc>
          <w:tcPr>
            <w:tcW w:w="10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(22,204)</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3,309</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($0.630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2021</w:t>
            </w:r>
          </w:p>
        </w:tc>
        <w:tc>
          <w:tcPr>
            <w:tcW w:w="7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30,305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(10,904)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(23,769)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27,754</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4"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 (benefit)/provision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Loss/(gain) on equity method investment transactions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5"/>
        </w:trPr>
        <w:tc>
          <w:tcPr>
            <w:tcW w:w="7520" w:type="dxa"/>
            <w:vAlign w:val="bottom"/>
          </w:tcPr>
          <w:p>
            <w:pPr>
              <w:ind w:left="360"/>
              <w:spacing w:after="0" w:line="176" w:lineRule="exact"/>
              <w:rPr>
                <w:sz w:val="20"/>
                <w:szCs w:val="20"/>
                <w:color w:val="auto"/>
              </w:rPr>
            </w:pPr>
            <w:r>
              <w:rPr>
                <w:rFonts w:ascii="Arial" w:cs="Arial" w:eastAsia="Arial" w:hAnsi="Arial"/>
                <w:sz w:val="18"/>
                <w:szCs w:val="18"/>
                <w:color w:val="auto"/>
              </w:rPr>
              <w:t>Change in assets and liabilities,</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20" w:type="dxa"/>
            <w:vAlign w:val="bottom"/>
          </w:tcPr>
          <w:p>
            <w:pPr>
              <w:ind w:left="500"/>
              <w:spacing w:after="0"/>
              <w:rPr>
                <w:sz w:val="20"/>
                <w:szCs w:val="20"/>
                <w:color w:val="auto"/>
              </w:rPr>
            </w:pPr>
            <w:r>
              <w:rPr>
                <w:rFonts w:ascii="Arial" w:cs="Arial" w:eastAsia="Arial" w:hAnsi="Arial"/>
                <w:sz w:val="18"/>
                <w:szCs w:val="18"/>
                <w:color w:val="auto"/>
              </w:rPr>
              <w:t>net of acquisitions and divestitures:</w:t>
            </w: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derivative settlements and 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in)/provided by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issuances/(repayments) of short-term borrowings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repayments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155"/>
        </w:trPr>
        <w:tc>
          <w:tcPr>
            <w:tcW w:w="7520" w:type="dxa"/>
            <w:vAlign w:val="bottom"/>
          </w:tcPr>
          <w:p>
            <w:pPr>
              <w:ind w:left="20"/>
              <w:spacing w:after="0" w:line="156" w:lineRule="exact"/>
              <w:rPr>
                <w:sz w:val="20"/>
                <w:szCs w:val="20"/>
                <w:color w:val="auto"/>
              </w:rPr>
            </w:pPr>
            <w:r>
              <w:rPr>
                <w:rFonts w:ascii="Arial" w:cs="Arial" w:eastAsia="Arial" w:hAnsi="Arial"/>
                <w:sz w:val="18"/>
                <w:szCs w:val="18"/>
                <w:color w:val="auto"/>
              </w:rPr>
              <w:t>Effect of exchange rate changes on cash, cash equivalents</w:t>
            </w:r>
          </w:p>
        </w:tc>
        <w:tc>
          <w:tcPr>
            <w:tcW w:w="1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restricted cash</w:t>
            </w: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including $75 million recorded in asset impairment and exit costs</w:t>
      </w:r>
      <w:r>
        <w:rPr>
          <w:rFonts w:ascii="Arial" w:cs="Arial" w:eastAsia="Arial" w:hAnsi="Arial"/>
          <w:sz w:val="18"/>
          <w:szCs w:val="18"/>
          <w:i w:val="1"/>
          <w:iCs w:val="1"/>
          <w:color w:val="auto"/>
        </w:rPr>
        <w:t>,</w:t>
      </w:r>
      <w:r>
        <w:rPr>
          <w:rFonts w:ascii="Arial" w:cs="Arial" w:eastAsia="Arial" w:hAnsi="Arial"/>
          <w:sz w:val="18"/>
          <w:szCs w:val="18"/>
          <w:color w:val="auto"/>
        </w:rPr>
        <w:t xml:space="preserve"> $44 million in cost of sales and $24 million in selling, general and administrative expenses. We recorded $75 million of property, plant and equipment impairments, $33 million of estimated inventory write-offs, $19 million of increased estimated allowances for trade receivables and $16 million in accrued expenses. During the second and third quarters of 2022, we reversed approximately $15 million and $7 million, respectively, of previously recorded charges primarily as a result of higher than expected collection of trade receivables and inventory recoveries. We continue to consolidate both our Ukrainian and Russian subsidiaries and continue to evaluate our ability to control our operating activities and businesses on an ongoing basis. In connection with these findings and impacts, we have made estimates and assumptions based on information available to us.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currency transactions in earnings.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Local currency monetary assets and liabilities are remeasured into U.S. dollars using exchange rates as of the latest balance sheet date, with remeasurement gains and losses recognized in net earnings.</w:t>
      </w:r>
    </w:p>
    <w:p>
      <w:pPr>
        <w:spacing w:after="0" w:line="175"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i w:val="1"/>
          <w:iCs w:val="1"/>
          <w:color w:val="auto"/>
        </w:rPr>
        <w:t>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rkiye. </w:t>
      </w:r>
      <w:r>
        <w:rPr>
          <w:rFonts w:ascii="Arial" w:cs="Arial" w:eastAsia="Arial" w:hAnsi="Arial"/>
          <w:sz w:val="18"/>
          <w:szCs w:val="18"/>
          <w:color w:val="auto"/>
        </w:rPr>
        <w:t>During the first quarter of 2022, primarily based on data published by the T</w:t>
      </w:r>
      <w:r>
        <w:rPr>
          <w:rFonts w:ascii="MS PGothic" w:cs="MS PGothic" w:eastAsia="MS PGothic" w:hAnsi="MS PGothic"/>
          <w:sz w:val="18"/>
          <w:szCs w:val="18"/>
          <w:color w:val="auto"/>
        </w:rPr>
        <w:t>✔</w:t>
      </w:r>
      <w:r>
        <w:rPr>
          <w:rFonts w:ascii="Arial" w:cs="Arial" w:eastAsia="Arial" w:hAnsi="Arial"/>
          <w:sz w:val="18"/>
          <w:szCs w:val="18"/>
          <w:color w:val="auto"/>
        </w:rPr>
        <w:t>rkiye Statistical Institute that indicated that T</w:t>
      </w:r>
      <w:r>
        <w:rPr>
          <w:rFonts w:ascii="MS PGothic" w:cs="MS PGothic" w:eastAsia="MS PGothic" w:hAnsi="MS PGothic"/>
          <w:sz w:val="18"/>
          <w:szCs w:val="18"/>
          <w:color w:val="auto"/>
        </w:rPr>
        <w:t>✔</w:t>
      </w:r>
      <w:r>
        <w:rPr>
          <w:rFonts w:ascii="Arial" w:cs="Arial" w:eastAsia="Arial" w:hAnsi="Arial"/>
          <w:sz w:val="18"/>
          <w:szCs w:val="18"/>
          <w:color w:val="auto"/>
        </w:rPr>
        <w:t>rkiye's</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cumulative inflation rate exceeded 100%, we concluded that T</w:t>
      </w:r>
      <w:r>
        <w:rPr>
          <w:rFonts w:ascii="MS PGothic" w:cs="MS PGothic" w:eastAsia="MS PGothic" w:hAnsi="MS PGothic"/>
          <w:sz w:val="18"/>
          <w:szCs w:val="18"/>
          <w:color w:val="auto"/>
        </w:rPr>
        <w:t>✔</w:t>
      </w:r>
      <w:r>
        <w:rPr>
          <w:rFonts w:ascii="Arial" w:cs="Arial" w:eastAsia="Arial" w:hAnsi="Arial"/>
          <w:sz w:val="18"/>
          <w:szCs w:val="18"/>
          <w:color w:val="auto"/>
        </w:rPr>
        <w:t>rkiye became a highly inflationary economy for accounting purposes. As of April 1, 2022, we began to apply highly inflationary accounting for our subsidiaries operating in T</w:t>
      </w:r>
      <w:r>
        <w:rPr>
          <w:rFonts w:ascii="MS PGothic" w:cs="MS PGothic" w:eastAsia="MS PGothic" w:hAnsi="MS PGothic"/>
          <w:sz w:val="18"/>
          <w:szCs w:val="18"/>
          <w:color w:val="auto"/>
        </w:rPr>
        <w:t>✔</w:t>
      </w:r>
      <w:r>
        <w:rPr>
          <w:rFonts w:ascii="Arial" w:cs="Arial" w:eastAsia="Arial" w:hAnsi="Arial"/>
          <w:sz w:val="18"/>
          <w:szCs w:val="18"/>
          <w:color w:val="auto"/>
        </w:rPr>
        <w:t>rkiye and changed their functional currency from the Turkish lira to the U.S. dollar. Our operations in T</w:t>
      </w:r>
      <w:r>
        <w:rPr>
          <w:rFonts w:ascii="MS PGothic" w:cs="MS PGothic" w:eastAsia="MS PGothic" w:hAnsi="MS PGothic"/>
          <w:sz w:val="18"/>
          <w:szCs w:val="18"/>
          <w:color w:val="auto"/>
        </w:rPr>
        <w:t>✔</w:t>
      </w:r>
      <w:r>
        <w:rPr>
          <w:rFonts w:ascii="Arial" w:cs="Arial" w:eastAsia="Arial" w:hAnsi="Arial"/>
          <w:sz w:val="18"/>
          <w:szCs w:val="18"/>
          <w:color w:val="auto"/>
        </w:rPr>
        <w:t>rkiye contributed $52 million or 0.7% of our condensed consolidated net revenues in the three months and $141 million or 0.6% of our condensed consolidated net revenues in the nine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91"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months ended September 30, 2022. As of September 30, 2022, our operations in T</w:t>
      </w:r>
      <w:r>
        <w:rPr>
          <w:rFonts w:ascii="MS PGothic" w:cs="MS PGothic" w:eastAsia="MS PGothic" w:hAnsi="MS PGothic"/>
          <w:sz w:val="18"/>
          <w:szCs w:val="18"/>
          <w:color w:val="auto"/>
        </w:rPr>
        <w:t>✔</w:t>
      </w:r>
      <w:r>
        <w:rPr>
          <w:rFonts w:ascii="Arial" w:cs="Arial" w:eastAsia="Arial" w:hAnsi="Arial"/>
          <w:sz w:val="18"/>
          <w:szCs w:val="18"/>
          <w:color w:val="auto"/>
        </w:rPr>
        <w:t>rkiye had $3 million of Turkish lira denominated net monetary liabilities. Within selling, general and administrative expenses, we recorded a remeasurement gain of $1 million during the three months and nine months ended September 30, 2022 related to the revaluation of the Turkish lira denominated net monetary position over these periods.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Our operations in Argentina contributed $139 million or 1.8% of consolidated net revenues in the three months and $407 million or 1.8% of our condensed consolidated net revenues in the nine months ended September 30, 2022. As of September 30, 2022, our Argentinean operations had $12 million of Argentinean peso denominated net monetary assets. Within selling, general and administrative expenses, we recorded a remeasurement loss of $12 million during the three months and $27 million during the nine months ended September 30, 2022 as well as a remeasurement loss of $2 million during the three months and $10 million during the nine months ended September 30, 2021 related to the revaluation of the Argentinean peso denominated net monetary position over these periods.</w:t>
      </w:r>
    </w:p>
    <w:p>
      <w:pPr>
        <w:spacing w:after="0" w:line="21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developments in Ukraine and Russia and the COVID-19 global pandemic and related impacts to our business operations, currencies and net monetary exposures. Related to the war and pandemic, most countries in which we do business experienced periods of significant economic uncertainty, inflation and exchange rate volatility. At this time, within our consolidated entities, Argentina and T</w:t>
      </w:r>
      <w:r>
        <w:rPr>
          <w:rFonts w:ascii="MS PGothic" w:cs="MS PGothic" w:eastAsia="MS PGothic" w:hAnsi="MS PGothic"/>
          <w:sz w:val="18"/>
          <w:szCs w:val="18"/>
          <w:color w:val="auto"/>
        </w:rPr>
        <w:t>✔</w:t>
      </w:r>
      <w:r>
        <w:rPr>
          <w:rFonts w:ascii="Arial" w:cs="Arial" w:eastAsia="Arial" w:hAnsi="Arial"/>
          <w:sz w:val="18"/>
          <w:szCs w:val="18"/>
          <w:color w:val="auto"/>
        </w:rPr>
        <w:t>rkiye are highly inflationary economies as noted above, and we continue to monitor currency volatility and associated risks, such as increased risk of highly inflationary economies and related accounting.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$18 million as of September 30, 2022 and $7 million as of December 31, 2021. Total cash, cash equivalents and restricted cash was $2,195 million as of September 30, 2022 and $3,553 million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$743 million as of September 30, 2022 and $761 million as of December 31, 2021.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recorded $206 million in operating lease and $135 million in finance lease right-of-use assets obtained in exchange for lease obligations during the nine months ended September 30, 2022 and $159 million in operating lease and $59 million in finance lease right-of-use assets obtained in exchange for lease obligations during the nine months ended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are evaluating the timing and effects of adopting this ASU and currently we do not expect this ASU to have a material impact on our consolidated financial statements.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and subsequently in January 2021, the FASB issued an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expect to adopt this standard in the fourth quarter of 2022. Based on our evaluation of our contracts to date, we do not expect this ASU to have a material impact on our consolidated financial statements.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are currently assessing the impact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1, 2022, we acquired Grupo Bimbo's confectionery business, Ricolino, located primarily in Mexico. The cash consideration paid for Ricolino totaled $1.3 billion. During the nine months ended September 30, 2022, we incurred $ 1 million of acquisition-related costs. We also incurred during the three and nine months ended September 30, 2022, acquisition integration costs of $7 million in preparation for the acquisition.</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exceed our base financial projections for the business implied in the upfront purchase price. The possible payments range from zero to a maximum total of $2.4 billion, with higher payouts requiring the achievement of targets that generate rates of returns in excess of the base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complete the valuation and have recorded a preliminary purchase price allocation of:</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Operating leases right of use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Definite life intangible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 life intangible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3,289</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2,675</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received</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Net Cash Paid</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2,576</w:t>
            </w:r>
          </w:p>
        </w:tc>
      </w:tr>
    </w:tbl>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Within identifiable intangible assets, we allocated $1,450 million to trade names, which have an indefinite-life. The fair value for the </w:t>
      </w:r>
      <w:r>
        <w:rPr>
          <w:rFonts w:ascii="Arial" w:cs="Arial" w:eastAsia="Arial" w:hAnsi="Arial"/>
          <w:sz w:val="18"/>
          <w:szCs w:val="18"/>
          <w:i w:val="1"/>
          <w:iCs w:val="1"/>
          <w:color w:val="auto"/>
        </w:rPr>
        <w:t>Clif</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Luna </w:t>
      </w:r>
      <w:r>
        <w:rPr>
          <w:rFonts w:ascii="Arial" w:cs="Arial" w:eastAsia="Arial" w:hAnsi="Arial"/>
          <w:sz w:val="18"/>
          <w:szCs w:val="18"/>
          <w:color w:val="auto"/>
        </w:rPr>
        <w:t>trade names, were determined using the relief-from-royalty method, a form of the income approach, at the acquisition date.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of intangible assets are based on significant unobservable inputs, and thus represent Level 3 inputs. Significant assumptions used in assessing the fair values of intangible assets include forecasted future revenue, discount and royalty rates. We expect to generate a meaningful cash tax benefit over time from the amortization of acquisition-related intangibles.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segment. Tax deductible goodwill is expected to be $1.4 billion and will be amortized.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Clif Bar added incremental net revenues of $157 million and operating loss of $33 million during the three months ended September 30, 2022. The operating loss includes acquisition integration costs of $16 million and an inventory step-up charge of $20 million incurred during the three months ended September 30, 2022. We also incurred acquisition-related costs of $292 million during the three months and $296 million during the nine months ended September 30, 2022. These acquisition-related costs are primarily related to the buyout of the non-vested ESOP shares.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3, 2022, we acquired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€0.5 billion ($0.4 billion) for a total purchase price of €1.7 billion ($1.8 billion).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complete the valuation and have recorded a preliminary purchase price allocation of:</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leases right of use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Definite life intangible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Indefinite life intangible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1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2,210</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1,890</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long-term debt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received</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Paid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1,402</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Within identifiable intangible assets, we allocated $686 million to trade names, which have an indefinite-life.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intangible assets are based on significant unobservable inputs, and thus represent Level 3 inputs. Significant assumptions used in assessing the fair values of intangible assets include forecasted future cash flows and discount rates.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segment.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Chipita added incremental net revenues of $158 million during the three months and $490 million during the nine months ended September 30, 2022, and operating income of $25 million during the three months and $39 million during the nine months ended September 30, 2022. We incurred acquisition-related costs of $ 21 million during the nine months ended September 30, 2022 and $6 million during the nine months ended September 30, 2021. We incurred acquisition integration costs of $14 million during the three months and $85 million during the nine months ended September 30, 2022. We incurred acquisition integration costs of $6 million in the three and nine months ended September 30, 2021.</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$57 million Australian dollars ($41 million), net of cash divested with the business, and we recorded an immaterial loss on the transaction.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($ 343 million), net of cash received. We have recorded a purchase price allocation of net tangible and intangible assets acquired and liabilities assumed of $41 million to indefinite-lived intangible assets, $80 million to definite-lived intangible assets, $164 million to goodwill, $19 million to property, plant and equipment, $18 million to inventory, $25 million to accounts receivable, $12 million to other assets, $5 million to operating right of use assets, $3 million to other current assets, $19 million to current liabilities and $ 5 million to long-term operating lease liabilities. Through the one-year anniversary of the acquisition, Gourmet Food added incremental net revenues of $14 million, and operating income of $1 million during the nine months ended September 30, 2022. We incurred acquisition integration costs of $1 million during the three months ended September 30, 2022. We incurred acquisition-related costs of $7 million during the nine months ended September 30,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($ 261 million), net of cash received. The acquisition of Grenade expands our position into the premium nutrition segment. We have recorded a purchase price allocation of net tangible and intangible assets acquired and liabilities assumed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Through the one-year anniversary of the acquisition, Grenade added incremental net revenues of $21 million, and operating income of $2 million during the nine months ended September 30, 2022. We incurred acquisition-related costs of $2 million during the nine months ended September 30, 2021.</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we may be required to pay additional contingent consideration. The estimated fair value of the contingent consideration obligation at the acquisition date was $132 million and was determined using a Monte Carlo simulation based on forecasted future results. During the third quarter of 2021, we recorded a $70 million reduction to the liability due to changes in the expected pace of growth. During the third quarter of 2022, we recorded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 additional $ 7 million reduction to the liability due to further changes to forecasted future results. As a result of acquiring the remaining equity interest, we consolidated the operations prospectively from the date of acquisition and recorded a pre-tax gain of $9 million ($7 million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after-tax) related to stepping up our previously-held $8 million (7%) investment to fair value. We have recorded a purchase price allocation of net tangible and intangible assets acquired and liabilities assumed of $123 million to indefinite-lived intangible assets, $51 million to definite-lived intangible assets, $202 million to goodwill, $1 million to property, plant and equipment, $2 million to inventory, $4 million to accounts receivable, $5 million to current liabilities and $132 million to long-term other liabilities. We incurred acquisition-related costs of $9 million during the nine months ended September 30,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1,037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6"/>
              <w:spacing w:after="0"/>
              <w:rPr>
                <w:sz w:val="20"/>
                <w:szCs w:val="20"/>
                <w:color w:val="auto"/>
              </w:rPr>
            </w:pPr>
            <w:r>
              <w:rPr>
                <w:rFonts w:ascii="Arial" w:cs="Arial" w:eastAsia="Arial" w:hAnsi="Arial"/>
                <w:sz w:val="18"/>
                <w:szCs w:val="18"/>
                <w:color w:val="auto"/>
              </w:rPr>
              <w:t>2,492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3,529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rPr>
              <w:t>3,393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rPr>
              <w:t>(7,097)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2022, capital expenditures of $621 million excluded $255 million of accrued capital expenditures remaining unpaid at September 30, 2022 and included payment for $249 million 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that were accrued and unpaid at December 31, 2021. For the nine months ended September 30, 2021, capital expenditures of $ 639 million excluded $237 million of accrued capital expenditures remaining unpaid at September 30, 2021 and included payment for $275 million of capital expenditures that were accrued and unpaid at December 31, 2020.</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7"/>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200" w:type="dxa"/>
            <w:vAlign w:val="bottom"/>
          </w:tcPr>
          <w:p>
            <w:pPr>
              <w:spacing w:after="0"/>
              <w:rPr>
                <w:sz w:val="20"/>
                <w:szCs w:val="20"/>
                <w:color w:val="auto"/>
              </w:rPr>
            </w:pPr>
            <w:r>
              <w:rPr>
                <w:rFonts w:ascii="Arial" w:cs="Arial" w:eastAsia="Arial" w:hAnsi="Arial"/>
                <w:sz w:val="18"/>
                <w:szCs w:val="18"/>
                <w:color w:val="auto"/>
              </w:rPr>
              <w:t>Goodwill by segment was: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18,223</w:t>
            </w:r>
          </w:p>
        </w:tc>
        <w:tc>
          <w:tcPr>
            <w:tcW w:w="4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brands,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customer-related intangibles, process technology, licenses and non-compete agreements.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expense for intangible assets was $32 million for the three months and $96 million for the nine months ended September 30, 2022 and $32 million for the three months and $102 million for the nine months ended September 30, 2021. For the next five years, we currently estimate annual amortization expense of approximately $130 million in 2022-2024, approximately $110 million in 2025 and approximately $75 million in 2026 (reflecting September 30, 2022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21,274</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14" w:lineRule="exact"/>
        <w:rPr>
          <w:sz w:val="20"/>
          <w:szCs w:val="20"/>
          <w:color w:val="auto"/>
        </w:rPr>
      </w:pPr>
    </w:p>
    <w:p>
      <w:pPr>
        <w:jc w:val="both"/>
        <w:ind w:left="660" w:hanging="328"/>
        <w:spacing w:after="0" w:line="22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connection with our 2022 acquisitions, we recorded preliminary purchase price allocations of $1 billion to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$1.7 billion to intangible assets for Clif Bar and $791 million to goodwill and $734 million to intangible assets for Chipita.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jc w:val="both"/>
        <w:ind w:left="660" w:hanging="328"/>
        <w:spacing w:after="0" w:line="23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 As further described below, we recorded a $78 million and $23 million intangible asset impairment,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and third quarters of 2022, respectively, in Asia, Middle East and Africa ("AMEA") due to lower than expected growth and profitability of two local biscuit brands sold in select markets in AMEA and Europe.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third quarter of 2022, we performed our annual impairment assessment test for goodwill and indefinite-life intangible assets as of July 1, 2022.</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2022 annual testing of goodwill resulted in no impairments as each reporting unit had sufficient fair value in excess of its carrying value. As part of our goodwill quantitative annual impairment testing, we compare a reporting unit's estimated fair value with its carrying value. If the carrying value of a reporting unit's net assets exceeds its fair value, we would record an impairment based on the difference between the carrying value and fair value of the reporting unit. We estimate a reporting unit's fair value using a discounted cash flow method that incorporates planned growth rates, market-based discount rates and estimates of residual value. This year, for our Europe and North America reporting units, we used a market based, weighted-average cost of capital of 6.8% to discount the projected cash flows of those operations. For our Latin America and AMEA reporting units, we used a risk-rated discount rate of 9.8%. Estimating the fair value of individual reporting units requires us to make assumptions and estimates regarding our future plans and industry and economic conditions based on available information. Given the uncertainty of the global economic environment, those estimates could be significantly different than future performance.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our 2022 annual testing of indefinite-life intangible assets, we recorded a $ 23 million impairment charge in the third quarter of 2022 related to one brand. The impairment arose due to lower than expected growth and profitability in a local biscuit brand in AMEA. The impairment charge was calculated as the excess of the carrying value over the estimated fair value of the intangible assets on a global basis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and were recorded within asset impairment and exit costs. During our annual testing, we use several accepted valuation methods, including relief from royalty, excess earnings and excess margin, that utilize estimates of future sales, earnings growth rates, royalty rates and discount rates in determining a brand's global fair value. We identified eight brands, including the one brand impaired during the third quarter of 2022,</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that each had a fair value in excess of book value of 10% or less. The aggregate book value of the eight brands was $1.4 billion as of September 30, 2022. We continue to monitor our brand performance, particularly in light of the significant global economic uncertainties and related impacts to our business. If a brand's earnings expectations, including the timing of the expected recovery from the war and pandemic, are not met or specific valuation factors outside of our control, such as discount rates, change significantly, then a brand or brands could</w:t>
      </w:r>
    </w:p>
    <w:p>
      <w:pPr>
        <w:spacing w:after="0"/>
        <w:rPr>
          <w:sz w:val="20"/>
          <w:szCs w:val="20"/>
          <w:color w:val="auto"/>
        </w:rPr>
      </w:pPr>
      <w:r>
        <w:rPr>
          <w:rFonts w:ascii="Arial" w:cs="Arial" w:eastAsia="Arial" w:hAnsi="Arial"/>
          <w:sz w:val="18"/>
          <w:szCs w:val="18"/>
          <w:color w:val="auto"/>
        </w:rPr>
        <w:t>become impaired in the future.</w:t>
      </w:r>
    </w:p>
    <w:p>
      <w:pPr>
        <w:spacing w:after="0" w:line="20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During interim periods, we evaluate our goodwill and intangible asset impairment risk through an assessment of potential triggering events. During the first quarter of 2022, we determined a local biscuit brand in AMEA was impaired. We recorded a $78 million impairment charge for the brand within asset impairment and exit costs based on the excess carrying value over its estimated fair value.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carrying values of our equity method investments are also impacted by our proportionate share of items impacting the investee's accumulated other comprehensive income or losses and other items, such as our share of investee dividends.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September 30, 2022, we owned 19.8%, 5.3%, 50.0% and 49.0%, respectively, of these companies' outstanding shares.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investments accounted for under the equity method of accounting totaled $4.5 billion as of September 30, 2022 and $5.3 billion as of December 31, 2021. We recorded equity earnings of $85 million and cash dividends of $48 million in the third quarter of 2022 and equity earnings of $105 million and cash dividends of $64 million in the third quarter of 2021. We recorded equity earnings of $300 million and cash dividends of $169 million in the first nine months of 2022 and equity earnings of $290 million and cash dividends of $158 million in the first nine months of 2021.</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quoted closing prices as of September 30, 2022, the combined fair value of our publicly-traded investments in JDEP and KDP was $5.5 billion, and for each investment, its fair value exceeded its carrying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8, 2022, we sold approximately 18.6 million of our JDE Peet’s shares back to JDE Peet’s, which reduced our ownership interest by approximately 3%. We received €500 million ($529 million) of proceeds and recorded a loss of €8 million ($ 8 million) on this sale during the second quarter of 2022. As we will continue to have significant influence, we will continue to account for our investment in JDE Peet's under the equity method, resulting in recognizing our share of their earnings within our earnings and our share of their dividends within our cash flows. We will continue to have board representation with two directors on the JDE Peet's Board of Directors and we retained certain additional governance rights.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20, 2021, we issued €300 million exchangeable bonds, which are redeemable at maturity in September 2024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9% of our equity interest in JDE Peet's as of September 30, 2022.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further details on this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 2021, we sold approximately 14.7 million shares of KDP, which reduced our ownership interest by 1% of the total outstanding shares. We received $ 500 million of proceeds and recorded a pre-tax gain of $248 million (or $189 million after-tax) during the third quarter of 2021. As we continue to have significant influence, we continue to account for our investment in KDP under the equity method, resulting in recognizing our share of their earnings within our earnings and our share of their dividends within our cash flows. We continue to have board representation with one director on the KDP Board of Directors and we retained certain additional governance rights.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by 2% of the total outstanding shares. We received $997 million of proceeds and recorded a pre-tax gain of $520 million (or $392 million after-tax)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6, 2014, our Board of Directors approved a $ 3.5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$5.1 billion related to the Simplify to Grow Program. We expect to incur the remainder of the program charges by year-end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2022 was: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60" w:type="dxa"/>
            <w:vAlign w:val="bottom"/>
          </w:tcPr>
          <w:p>
            <w:pPr>
              <w:spacing w:after="0"/>
              <w:rPr>
                <w:sz w:val="12"/>
                <w:szCs w:val="12"/>
                <w:color w:val="auto"/>
              </w:rPr>
            </w:pPr>
          </w:p>
        </w:tc>
        <w:tc>
          <w:tcPr>
            <w:tcW w:w="1200" w:type="dxa"/>
            <w:vAlign w:val="bottom"/>
          </w:tcPr>
          <w:p>
            <w:pPr>
              <w:jc w:val="center"/>
              <w:ind w:left="321"/>
              <w:spacing w:after="0" w:line="14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9"/>
              </w:rPr>
              <w:t xml:space="preserve">Write-downs </w:t>
            </w:r>
            <w:r>
              <w:rPr>
                <w:rFonts w:ascii="Arial" w:cs="Arial" w:eastAsia="Arial" w:hAnsi="Arial"/>
                <w:sz w:val="18"/>
                <w:szCs w:val="18"/>
                <w:b w:val="1"/>
                <w:bCs w:val="1"/>
                <w:color w:val="auto"/>
                <w:w w:val="99"/>
                <w:vertAlign w:val="superscript"/>
              </w:rPr>
              <w:t>(1)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2022</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Liability balance, September 30, 2022 </w:t>
            </w:r>
            <w:r>
              <w:rPr>
                <w:rFonts w:ascii="Arial" w:cs="Arial" w:eastAsia="Arial" w:hAnsi="Arial"/>
                <w:sz w:val="23"/>
                <w:szCs w:val="23"/>
                <w:color w:val="auto"/>
                <w:vertAlign w:val="superscript"/>
              </w:rPr>
              <w:t>(5)</w:t>
            </w:r>
          </w:p>
        </w:tc>
        <w:tc>
          <w:tcPr>
            <w:tcW w:w="120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gains as a result of assets sold which are included in the restructuring program.</w:t>
      </w:r>
    </w:p>
    <w:p>
      <w:pPr>
        <w:spacing w:after="0" w:line="15"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recorded a $10 million gain in the third quarter of 2022 due to the sale of assets included in the restructuring program as well as restructuring charges of $3 million, and restructuring charges of $8 million in the first nine months of 2022. We recorded restructuring charges of $62 million in the third quarter and $250 million in the first nine months of 2021. This activity is recorded within asset impairment and exit costs and benefit plan non-service income.</w:t>
      </w:r>
    </w:p>
    <w:p>
      <w:pPr>
        <w:spacing w:after="0" w:line="1"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spent $12 million in the third quarter of 2022 and $65 million in the third quarter of 2021 and $45 million in the first nine months of 2022 and $129 million in the first nine months of 2021 in cash severance and related costs.</w:t>
      </w:r>
    </w:p>
    <w:p>
      <w:pPr>
        <w:jc w:val="both"/>
        <w:ind w:left="340" w:hanging="332"/>
        <w:spacing w:after="0" w:line="26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recognized non-cash asset write-downs (including accelerated depreciation and asset impairments), and other adjustments, including any gains on sale of restructuring program assets, which totaled a gain of $10 million in the third quarter and $1 million in the first nine months of 2022 and a charge of $54 million in the third quarter and of $170 million in the first nine months of 2021.</w:t>
      </w:r>
    </w:p>
    <w:p>
      <w:pPr>
        <w:spacing w:after="0" w:line="1" w:lineRule="exact"/>
        <w:rPr>
          <w:rFonts w:ascii="Arial" w:cs="Arial" w:eastAsia="Arial" w:hAnsi="Arial"/>
          <w:sz w:val="14"/>
          <w:szCs w:val="14"/>
          <w:color w:val="auto"/>
        </w:rPr>
      </w:pPr>
    </w:p>
    <w:p>
      <w:pPr>
        <w:ind w:left="340" w:right="20" w:hanging="332"/>
        <w:spacing w:after="0" w:line="262"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September 30, 2022, $106 million of our net restructuring liability was recorded within other current liabilities and $51 million was recorded within other long-term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$23 million in the third quarter of 2022 and $ 65 million in the third quarter of 2021 and $62 million in the first nine months of 2022 and $132 million in the first nine months of 2021. We recorded these costs within cost of sales and general corporate expense within selling, general and administrative expenses.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three and nine months ended September 30, 2022 and September 30, 2021, and since inception of the Simplify to Grow Program, we recorded the following restructuring and implementation costs within segment operating income and earnings before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AMEA</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340" w:type="dxa"/>
            <w:vAlign w:val="bottom"/>
            <w:gridSpan w:val="4"/>
          </w:tcPr>
          <w:p>
            <w:pPr>
              <w:ind w:left="420"/>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ind w:left="320"/>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5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4600" w:type="dxa"/>
            <w:vAlign w:val="bottom"/>
            <w:gridSpan w:val="5"/>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140" w:type="dxa"/>
            <w:vAlign w:val="bottom"/>
            <w:gridSpan w:val="11"/>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rPr>
              <w:t>As of September 30, 2022</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rPr>
              <w:t>Weighted-</w:t>
            </w:r>
          </w:p>
        </w:tc>
        <w:tc>
          <w:tcPr>
            <w:tcW w:w="196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8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Average Rate</w:t>
            </w:r>
          </w:p>
        </w:tc>
        <w:tc>
          <w:tcPr>
            <w:tcW w:w="19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9"/>
          </w:tcPr>
          <w:p>
            <w:pPr>
              <w:jc w:val="right"/>
              <w:ind w:right="90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September 30, 2022 and December 31, 2021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As of September 30,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As of December 31, 2021</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facility expiry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22, 2023</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March 11, 2023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July 29, 2025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jc w:val="both"/>
        <w:ind w:left="34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2022, we complied with this covenant as our shareholders' equity, as defined by the covenant, was $37.9 billion. The revolving credit facility also contains customary representations, covenants and events of default. There are no credit rating triggers, provisions or other financial covenants that could require us to post collateral as security.</w:t>
      </w:r>
    </w:p>
    <w:p>
      <w:pPr>
        <w:spacing w:after="0" w:line="3"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On July 29, 2022, we drew down $2.0 billion in term loans, due July 29, 2025, bearing interest at a variable annual rate based on SOFR plus an applicable margin.</w:t>
      </w:r>
    </w:p>
    <w:p>
      <w:pPr>
        <w:spacing w:after="0" w:line="1" w:lineRule="exact"/>
        <w:rPr>
          <w:rFonts w:ascii="Arial" w:cs="Arial" w:eastAsia="Arial" w:hAnsi="Arial"/>
          <w:sz w:val="14"/>
          <w:szCs w:val="14"/>
          <w:color w:val="auto"/>
        </w:rPr>
      </w:pPr>
    </w:p>
    <w:p>
      <w:pPr>
        <w:jc w:val="both"/>
        <w:ind w:left="340" w:hanging="332"/>
        <w:spacing w:after="0" w:line="27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July 11, 2022, we entered into a supplemental term loan credit facility that can be utilized for general corporate purposes, including acquisitions. Under this agreement we may draw up to a total of $2.0 billion in term loans from the facility. The maturity dates of any loans drawn under this facility will be eighteen months after the funding date of the applicable loan(s).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On March 18, 2022, we completed a tender offer in cash and redeemed long term U.S. dollar denominated notes for the following amounts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2300" w:type="dxa"/>
            <w:vAlign w:val="bottom"/>
          </w:tcPr>
          <w:p>
            <w:pPr>
              <w:jc w:val="center"/>
              <w:ind w:left="32"/>
              <w:spacing w:after="0"/>
              <w:rPr>
                <w:sz w:val="20"/>
                <w:szCs w:val="20"/>
                <w:color w:val="auto"/>
              </w:rPr>
            </w:pPr>
            <w:r>
              <w:rPr>
                <w:rFonts w:ascii="Arial" w:cs="Arial" w:eastAsia="Arial" w:hAnsi="Arial"/>
                <w:sz w:val="14"/>
                <w:szCs w:val="14"/>
                <w:b w:val="1"/>
                <w:bCs w:val="1"/>
                <w:color w:val="auto"/>
              </w:rPr>
              <w:t>Redemption Date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360" w:type="dxa"/>
            <w:vAlign w:val="bottom"/>
          </w:tcPr>
          <w:p>
            <w:pPr>
              <w:ind w:left="500"/>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4.125%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rPr>
              <w:t>May 2028</w:t>
            </w:r>
          </w:p>
        </w:tc>
        <w:tc>
          <w:tcPr>
            <w:tcW w:w="2360" w:type="dxa"/>
            <w:vAlign w:val="bottom"/>
          </w:tcPr>
          <w:p>
            <w:pPr>
              <w:jc w:val="center"/>
              <w:spacing w:after="0"/>
              <w:rPr>
                <w:sz w:val="20"/>
                <w:szCs w:val="20"/>
                <w:color w:val="auto"/>
              </w:rPr>
            </w:pPr>
            <w:r>
              <w:rPr>
                <w:rFonts w:ascii="Arial" w:cs="Arial" w:eastAsia="Arial" w:hAnsi="Arial"/>
                <w:sz w:val="18"/>
                <w:szCs w:val="18"/>
                <w:color w:val="auto"/>
                <w:w w:val="94"/>
              </w:rPr>
              <w:t>$211</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$211</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2.750%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2030</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November 2031</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7.000%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August 2037</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2038</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2039</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2040</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May 2048</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$129 million loss on debt extinguishment and related expenses within interest and other expense, net, consisting of $38 million paid in excess of carrying value of the debt and from recognizing unamortized discounts and deferred financing costs in earnings and $91 million from recognizing unamortized forward starting swap losses in earnings at the time of the debt extinguishment. The cash payments related to the debt extinguishment were classified as cash outflows from financing activities in the consolidated statement of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On March 18, 2022, we completed a redemption of long term U.S. dollar denominated notes for the following amounts (in millions):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jc w:val="center"/>
              <w:ind w:right="35"/>
              <w:spacing w:after="0"/>
              <w:rPr>
                <w:sz w:val="20"/>
                <w:szCs w:val="20"/>
                <w:color w:val="auto"/>
              </w:rPr>
            </w:pPr>
            <w:r>
              <w:rPr>
                <w:rFonts w:ascii="Arial" w:cs="Arial" w:eastAsia="Arial" w:hAnsi="Arial"/>
                <w:sz w:val="14"/>
                <w:szCs w:val="14"/>
                <w:b w:val="1"/>
                <w:bCs w:val="1"/>
                <w:color w:val="auto"/>
              </w:rPr>
              <w:t>Interest Rate</w:t>
            </w:r>
          </w:p>
        </w:tc>
        <w:tc>
          <w:tcPr>
            <w:tcW w:w="2740" w:type="dxa"/>
            <w:vAlign w:val="bottom"/>
          </w:tcPr>
          <w:p>
            <w:pPr>
              <w:jc w:val="center"/>
              <w:ind w:right="516"/>
              <w:spacing w:after="0"/>
              <w:rPr>
                <w:sz w:val="20"/>
                <w:szCs w:val="20"/>
                <w:color w:val="auto"/>
              </w:rPr>
            </w:pPr>
            <w:r>
              <w:rPr>
                <w:rFonts w:ascii="Arial" w:cs="Arial" w:eastAsia="Arial" w:hAnsi="Arial"/>
                <w:sz w:val="14"/>
                <w:szCs w:val="14"/>
                <w:b w:val="1"/>
                <w:bCs w:val="1"/>
                <w:color w:val="auto"/>
              </w:rPr>
              <w:t>Redemption Date</w:t>
            </w:r>
          </w:p>
        </w:tc>
        <w:tc>
          <w:tcPr>
            <w:tcW w:w="1380" w:type="dxa"/>
            <w:vAlign w:val="bottom"/>
          </w:tcPr>
          <w:p>
            <w:pPr>
              <w:jc w:val="center"/>
              <w:ind w:right="139"/>
              <w:spacing w:after="0"/>
              <w:rPr>
                <w:sz w:val="20"/>
                <w:szCs w:val="20"/>
                <w:color w:val="auto"/>
              </w:rPr>
            </w:pPr>
            <w:r>
              <w:rPr>
                <w:rFonts w:ascii="Arial" w:cs="Arial" w:eastAsia="Arial" w:hAnsi="Arial"/>
                <w:sz w:val="14"/>
                <w:szCs w:val="14"/>
                <w:b w:val="1"/>
                <w:bCs w:val="1"/>
                <w:color w:val="auto"/>
              </w:rPr>
              <w:t>Maturity Date</w:t>
            </w:r>
          </w:p>
        </w:tc>
        <w:tc>
          <w:tcPr>
            <w:tcW w:w="2520" w:type="dxa"/>
            <w:vAlign w:val="bottom"/>
          </w:tcPr>
          <w:p>
            <w:pPr>
              <w:jc w:val="center"/>
              <w:ind w:left="336"/>
              <w:spacing w:after="0"/>
              <w:rPr>
                <w:sz w:val="20"/>
                <w:szCs w:val="20"/>
                <w:color w:val="auto"/>
              </w:rPr>
            </w:pPr>
            <w:r>
              <w:rPr>
                <w:rFonts w:ascii="Arial" w:cs="Arial" w:eastAsia="Arial" w:hAnsi="Arial"/>
                <w:sz w:val="14"/>
                <w:szCs w:val="14"/>
                <w:b w:val="1"/>
                <w:bCs w:val="1"/>
                <w:color w:val="auto"/>
              </w:rPr>
              <w:t>Amount Redeemed</w:t>
            </w:r>
          </w:p>
        </w:tc>
        <w:tc>
          <w:tcPr>
            <w:tcW w:w="232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rPr>
              <w:t>USD Equivalent</w:t>
            </w:r>
          </w:p>
        </w:tc>
      </w:tr>
      <w:tr>
        <w:trPr>
          <w:trHeight w:val="231"/>
        </w:trPr>
        <w:tc>
          <w:tcPr>
            <w:tcW w:w="228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rPr>
              <w:t>0.625%</w:t>
            </w:r>
          </w:p>
        </w:tc>
        <w:tc>
          <w:tcPr>
            <w:tcW w:w="2740" w:type="dxa"/>
            <w:vAlign w:val="bottom"/>
            <w:shd w:val="clear" w:color="auto" w:fill="CCEEFF"/>
          </w:tcPr>
          <w:p>
            <w:pPr>
              <w:jc w:val="center"/>
              <w:ind w:right="536"/>
              <w:spacing w:after="0"/>
              <w:rPr>
                <w:sz w:val="20"/>
                <w:szCs w:val="20"/>
                <w:color w:val="auto"/>
              </w:rPr>
            </w:pPr>
            <w:r>
              <w:rPr>
                <w:rFonts w:ascii="Arial" w:cs="Arial" w:eastAsia="Arial" w:hAnsi="Arial"/>
                <w:sz w:val="18"/>
                <w:szCs w:val="18"/>
                <w:color w:val="auto"/>
              </w:rPr>
              <w:t>March 2022</w:t>
            </w:r>
          </w:p>
        </w:tc>
        <w:tc>
          <w:tcPr>
            <w:tcW w:w="1380" w:type="dxa"/>
            <w:vAlign w:val="bottom"/>
            <w:shd w:val="clear" w:color="auto" w:fill="CCEEFF"/>
          </w:tcPr>
          <w:p>
            <w:pPr>
              <w:jc w:val="center"/>
              <w:ind w:right="139"/>
              <w:spacing w:after="0"/>
              <w:rPr>
                <w:sz w:val="20"/>
                <w:szCs w:val="20"/>
                <w:color w:val="auto"/>
              </w:rPr>
            </w:pPr>
            <w:r>
              <w:rPr>
                <w:rFonts w:ascii="Arial" w:cs="Arial" w:eastAsia="Arial" w:hAnsi="Arial"/>
                <w:sz w:val="18"/>
                <w:szCs w:val="18"/>
                <w:color w:val="auto"/>
                <w:w w:val="98"/>
              </w:rPr>
              <w:t>July 2022</w:t>
            </w:r>
          </w:p>
        </w:tc>
        <w:tc>
          <w:tcPr>
            <w:tcW w:w="25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$1,000</w:t>
            </w:r>
          </w:p>
        </w:tc>
        <w:tc>
          <w:tcPr>
            <w:tcW w:w="23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0"/>
                <w:szCs w:val="20"/>
                <w:color w:val="auto"/>
              </w:rPr>
            </w:pPr>
          </w:p>
        </w:tc>
      </w:tr>
      <w:tr>
        <w:trPr>
          <w:trHeight w:val="535"/>
        </w:trPr>
        <w:tc>
          <w:tcPr>
            <w:tcW w:w="2280" w:type="dxa"/>
            <w:vAlign w:val="bottom"/>
          </w:tcPr>
          <w:p>
            <w:pPr>
              <w:spacing w:after="0"/>
              <w:rPr>
                <w:sz w:val="20"/>
                <w:szCs w:val="20"/>
                <w:color w:val="auto"/>
              </w:rPr>
            </w:pPr>
            <w:r>
              <w:rPr>
                <w:rFonts w:ascii="Arial" w:cs="Arial" w:eastAsia="Arial" w:hAnsi="Arial"/>
                <w:sz w:val="18"/>
                <w:szCs w:val="18"/>
                <w:i w:val="1"/>
                <w:iCs w:val="1"/>
                <w:color w:val="auto"/>
              </w:rPr>
              <w:t>Debt Repayments</w:t>
            </w:r>
          </w:p>
        </w:tc>
        <w:tc>
          <w:tcPr>
            <w:tcW w:w="2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8920" w:type="dxa"/>
            <w:vAlign w:val="bottom"/>
            <w:gridSpan w:val="4"/>
          </w:tcPr>
          <w:p>
            <w:pPr>
              <w:spacing w:after="0"/>
              <w:rPr>
                <w:sz w:val="20"/>
                <w:szCs w:val="20"/>
                <w:color w:val="auto"/>
              </w:rPr>
            </w:pPr>
            <w:r>
              <w:rPr>
                <w:rFonts w:ascii="Arial" w:cs="Arial" w:eastAsia="Arial" w:hAnsi="Arial"/>
                <w:sz w:val="18"/>
                <w:szCs w:val="18"/>
                <w:color w:val="auto"/>
              </w:rPr>
              <w:t>During the nine months ended September 30, 2022, we repaid the following notes (in millions):</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2280" w:type="dxa"/>
            <w:vAlign w:val="bottom"/>
          </w:tcPr>
          <w:p>
            <w:pPr>
              <w:jc w:val="center"/>
              <w:ind w:left="355"/>
              <w:spacing w:after="0"/>
              <w:rPr>
                <w:sz w:val="20"/>
                <w:szCs w:val="20"/>
                <w:color w:val="auto"/>
              </w:rPr>
            </w:pPr>
            <w:r>
              <w:rPr>
                <w:rFonts w:ascii="Arial" w:cs="Arial" w:eastAsia="Arial" w:hAnsi="Arial"/>
                <w:sz w:val="14"/>
                <w:szCs w:val="14"/>
                <w:b w:val="1"/>
                <w:bCs w:val="1"/>
                <w:color w:val="auto"/>
              </w:rPr>
              <w:t>Interest Rate</w:t>
            </w:r>
          </w:p>
        </w:tc>
        <w:tc>
          <w:tcPr>
            <w:tcW w:w="2740" w:type="dxa"/>
            <w:vAlign w:val="bottom"/>
          </w:tcPr>
          <w:p>
            <w:pPr>
              <w:jc w:val="center"/>
              <w:ind w:left="976"/>
              <w:spacing w:after="0"/>
              <w:rPr>
                <w:sz w:val="20"/>
                <w:szCs w:val="20"/>
                <w:color w:val="auto"/>
              </w:rPr>
            </w:pPr>
            <w:r>
              <w:rPr>
                <w:rFonts w:ascii="Arial" w:cs="Arial" w:eastAsia="Arial" w:hAnsi="Arial"/>
                <w:sz w:val="14"/>
                <w:szCs w:val="14"/>
                <w:b w:val="1"/>
                <w:bCs w:val="1"/>
                <w:color w:val="auto"/>
              </w:rPr>
              <w:t>Maturity Date</w:t>
            </w:r>
          </w:p>
        </w:tc>
        <w:tc>
          <w:tcPr>
            <w:tcW w:w="1380" w:type="dxa"/>
            <w:vAlign w:val="bottom"/>
          </w:tcPr>
          <w:p>
            <w:pPr>
              <w:spacing w:after="0"/>
              <w:rPr>
                <w:sz w:val="19"/>
                <w:szCs w:val="19"/>
                <w:color w:val="auto"/>
              </w:rPr>
            </w:pPr>
          </w:p>
        </w:tc>
        <w:tc>
          <w:tcPr>
            <w:tcW w:w="2520" w:type="dxa"/>
            <w:vAlign w:val="bottom"/>
          </w:tcPr>
          <w:p>
            <w:pPr>
              <w:ind w:left="340"/>
              <w:spacing w:after="0"/>
              <w:rPr>
                <w:sz w:val="20"/>
                <w:szCs w:val="20"/>
                <w:color w:val="auto"/>
              </w:rPr>
            </w:pPr>
            <w:r>
              <w:rPr>
                <w:rFonts w:ascii="Arial" w:cs="Arial" w:eastAsia="Arial" w:hAnsi="Arial"/>
                <w:sz w:val="14"/>
                <w:szCs w:val="14"/>
                <w:b w:val="1"/>
                <w:bCs w:val="1"/>
                <w:color w:val="auto"/>
              </w:rPr>
              <w:t>Amount</w:t>
            </w:r>
          </w:p>
        </w:tc>
        <w:tc>
          <w:tcPr>
            <w:tcW w:w="2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USD Equivalent</w:t>
            </w:r>
          </w:p>
        </w:tc>
      </w:tr>
      <w:tr>
        <w:trPr>
          <w:trHeight w:val="231"/>
        </w:trPr>
        <w:tc>
          <w:tcPr>
            <w:tcW w:w="228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8"/>
              </w:rPr>
              <w:t>Various</w:t>
            </w:r>
          </w:p>
        </w:tc>
        <w:tc>
          <w:tcPr>
            <w:tcW w:w="2740" w:type="dxa"/>
            <w:vAlign w:val="bottom"/>
            <w:shd w:val="clear" w:color="auto" w:fill="CCEEFF"/>
          </w:tcPr>
          <w:p>
            <w:pPr>
              <w:jc w:val="center"/>
              <w:ind w:left="956"/>
              <w:spacing w:after="0" w:line="231" w:lineRule="exact"/>
              <w:rPr>
                <w:sz w:val="20"/>
                <w:szCs w:val="20"/>
                <w:color w:val="auto"/>
              </w:rPr>
            </w:pPr>
            <w:r>
              <w:rPr>
                <w:rFonts w:ascii="Arial" w:cs="Arial" w:eastAsia="Arial" w:hAnsi="Arial"/>
                <w:sz w:val="18"/>
                <w:szCs w:val="18"/>
                <w:color w:val="auto"/>
                <w:w w:val="92"/>
              </w:rPr>
              <w:t>Various</w:t>
            </w:r>
            <w:r>
              <w:rPr>
                <w:rFonts w:ascii="Arial" w:cs="Arial" w:eastAsia="Arial" w:hAnsi="Arial"/>
                <w:sz w:val="23"/>
                <w:szCs w:val="23"/>
                <w:color w:val="auto"/>
                <w:w w:val="92"/>
                <w:vertAlign w:val="superscript"/>
              </w:rPr>
              <w:t>(1)</w:t>
            </w:r>
          </w:p>
        </w:tc>
        <w:tc>
          <w:tcPr>
            <w:tcW w:w="1380" w:type="dxa"/>
            <w:vAlign w:val="bottom"/>
            <w:shd w:val="clear" w:color="auto" w:fill="CCEEFF"/>
          </w:tcPr>
          <w:p>
            <w:pPr>
              <w:spacing w:after="0"/>
              <w:rPr>
                <w:sz w:val="20"/>
                <w:szCs w:val="20"/>
                <w:color w:val="auto"/>
              </w:rPr>
            </w:pPr>
          </w:p>
        </w:tc>
        <w:tc>
          <w:tcPr>
            <w:tcW w:w="2520" w:type="dxa"/>
            <w:vAlign w:val="bottom"/>
            <w:shd w:val="clear" w:color="auto" w:fill="CCEEFF"/>
          </w:tcPr>
          <w:p>
            <w:pPr>
              <w:jc w:val="center"/>
              <w:ind w:right="1196"/>
              <w:spacing w:after="0"/>
              <w:rPr>
                <w:sz w:val="20"/>
                <w:szCs w:val="20"/>
                <w:color w:val="auto"/>
              </w:rPr>
            </w:pPr>
            <w:r>
              <w:rPr>
                <w:rFonts w:ascii="Arial" w:cs="Arial" w:eastAsia="Arial" w:hAnsi="Arial"/>
                <w:sz w:val="18"/>
                <w:szCs w:val="18"/>
                <w:color w:val="auto"/>
                <w:w w:val="99"/>
              </w:rPr>
              <w:t>€381</w:t>
            </w:r>
          </w:p>
        </w:tc>
        <w:tc>
          <w:tcPr>
            <w:tcW w:w="2300" w:type="dxa"/>
            <w:vAlign w:val="bottom"/>
            <w:shd w:val="clear" w:color="auto" w:fill="CCEEFF"/>
          </w:tcPr>
          <w:p>
            <w:pPr>
              <w:jc w:val="center"/>
              <w:ind w:right="376"/>
              <w:spacing w:after="0"/>
              <w:rPr>
                <w:sz w:val="20"/>
                <w:szCs w:val="20"/>
                <w:color w:val="auto"/>
              </w:rPr>
            </w:pPr>
            <w:r>
              <w:rPr>
                <w:rFonts w:ascii="Arial" w:cs="Arial" w:eastAsia="Arial" w:hAnsi="Arial"/>
                <w:sz w:val="18"/>
                <w:szCs w:val="18"/>
                <w:color w:val="auto"/>
                <w:w w:val="99"/>
              </w:rPr>
              <w:t>$431</w:t>
            </w:r>
          </w:p>
        </w:tc>
        <w:tc>
          <w:tcPr>
            <w:tcW w:w="20" w:type="dxa"/>
            <w:vAlign w:val="bottom"/>
          </w:tcPr>
          <w:p>
            <w:pPr>
              <w:spacing w:after="0"/>
              <w:rPr>
                <w:sz w:val="20"/>
                <w:szCs w:val="20"/>
                <w:color w:val="auto"/>
              </w:rPr>
            </w:pPr>
          </w:p>
        </w:tc>
      </w:tr>
      <w:tr>
        <w:trPr>
          <w:trHeight w:val="229"/>
        </w:trPr>
        <w:tc>
          <w:tcPr>
            <w:tcW w:w="2280" w:type="dxa"/>
            <w:vAlign w:val="bottom"/>
          </w:tcPr>
          <w:p>
            <w:pPr>
              <w:jc w:val="center"/>
              <w:ind w:left="355"/>
              <w:spacing w:after="0"/>
              <w:rPr>
                <w:sz w:val="20"/>
                <w:szCs w:val="20"/>
                <w:color w:val="auto"/>
              </w:rPr>
            </w:pPr>
            <w:r>
              <w:rPr>
                <w:rFonts w:ascii="Arial" w:cs="Arial" w:eastAsia="Arial" w:hAnsi="Arial"/>
                <w:sz w:val="18"/>
                <w:szCs w:val="18"/>
                <w:color w:val="auto"/>
                <w:w w:val="98"/>
              </w:rPr>
              <w:t>2.125%</w:t>
            </w:r>
          </w:p>
        </w:tc>
        <w:tc>
          <w:tcPr>
            <w:tcW w:w="2740" w:type="dxa"/>
            <w:vAlign w:val="bottom"/>
          </w:tcPr>
          <w:p>
            <w:pPr>
              <w:jc w:val="center"/>
              <w:ind w:left="976"/>
              <w:spacing w:after="0" w:line="230" w:lineRule="exact"/>
              <w:rPr>
                <w:sz w:val="20"/>
                <w:szCs w:val="20"/>
                <w:color w:val="auto"/>
              </w:rPr>
            </w:pPr>
            <w:r>
              <w:rPr>
                <w:rFonts w:ascii="Arial" w:cs="Arial" w:eastAsia="Arial" w:hAnsi="Arial"/>
                <w:sz w:val="18"/>
                <w:szCs w:val="18"/>
                <w:color w:val="auto"/>
                <w:w w:val="97"/>
              </w:rPr>
              <w:t>September 2022</w:t>
            </w:r>
            <w:r>
              <w:rPr>
                <w:rFonts w:ascii="Arial" w:cs="Arial" w:eastAsia="Arial" w:hAnsi="Arial"/>
                <w:sz w:val="23"/>
                <w:szCs w:val="23"/>
                <w:color w:val="auto"/>
                <w:w w:val="97"/>
                <w:vertAlign w:val="superscript"/>
              </w:rPr>
              <w:t>(2)</w:t>
            </w:r>
          </w:p>
        </w:tc>
        <w:tc>
          <w:tcPr>
            <w:tcW w:w="1380" w:type="dxa"/>
            <w:vAlign w:val="bottom"/>
          </w:tcPr>
          <w:p>
            <w:pPr>
              <w:spacing w:after="0"/>
              <w:rPr>
                <w:sz w:val="19"/>
                <w:szCs w:val="19"/>
                <w:color w:val="auto"/>
              </w:rPr>
            </w:pPr>
          </w:p>
        </w:tc>
        <w:tc>
          <w:tcPr>
            <w:tcW w:w="2520" w:type="dxa"/>
            <w:vAlign w:val="bottom"/>
          </w:tcPr>
          <w:p>
            <w:pPr>
              <w:jc w:val="center"/>
              <w:ind w:right="1196"/>
              <w:spacing w:after="0"/>
              <w:rPr>
                <w:sz w:val="20"/>
                <w:szCs w:val="20"/>
                <w:color w:val="auto"/>
              </w:rPr>
            </w:pPr>
            <w:r>
              <w:rPr>
                <w:rFonts w:ascii="Arial" w:cs="Arial" w:eastAsia="Arial" w:hAnsi="Arial"/>
                <w:sz w:val="18"/>
                <w:szCs w:val="18"/>
                <w:color w:val="auto"/>
                <w:w w:val="99"/>
              </w:rPr>
              <w:t>$500</w:t>
            </w:r>
          </w:p>
        </w:tc>
        <w:tc>
          <w:tcPr>
            <w:tcW w:w="2300" w:type="dxa"/>
            <w:vAlign w:val="bottom"/>
          </w:tcPr>
          <w:p>
            <w:pPr>
              <w:jc w:val="center"/>
              <w:ind w:right="376"/>
              <w:spacing w:after="0"/>
              <w:rPr>
                <w:sz w:val="20"/>
                <w:szCs w:val="20"/>
                <w:color w:val="auto"/>
              </w:rPr>
            </w:pPr>
            <w:r>
              <w:rPr>
                <w:rFonts w:ascii="Arial" w:cs="Arial" w:eastAsia="Arial" w:hAnsi="Arial"/>
                <w:sz w:val="18"/>
                <w:szCs w:val="18"/>
                <w:color w:val="auto"/>
                <w:w w:val="99"/>
              </w:rPr>
              <w:t>$500</w:t>
            </w:r>
          </w:p>
        </w:tc>
        <w:tc>
          <w:tcPr>
            <w:tcW w:w="20" w:type="dxa"/>
            <w:vAlign w:val="bottom"/>
          </w:tcPr>
          <w:p>
            <w:pPr>
              <w:spacing w:after="0"/>
              <w:rPr>
                <w:sz w:val="19"/>
                <w:szCs w:val="19"/>
                <w:color w:val="auto"/>
              </w:rPr>
            </w:pPr>
          </w:p>
        </w:tc>
      </w:tr>
      <w:tr>
        <w:trPr>
          <w:trHeight w:val="230"/>
        </w:trPr>
        <w:tc>
          <w:tcPr>
            <w:tcW w:w="228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8"/>
              </w:rPr>
              <w:t>0.650%</w:t>
            </w:r>
          </w:p>
        </w:tc>
        <w:tc>
          <w:tcPr>
            <w:tcW w:w="27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w w:val="98"/>
              </w:rPr>
              <w:t>July 2022</w:t>
            </w:r>
          </w:p>
        </w:tc>
        <w:tc>
          <w:tcPr>
            <w:tcW w:w="1380" w:type="dxa"/>
            <w:vAlign w:val="bottom"/>
            <w:shd w:val="clear" w:color="auto" w:fill="CCEEFF"/>
          </w:tcPr>
          <w:p>
            <w:pPr>
              <w:spacing w:after="0"/>
              <w:rPr>
                <w:sz w:val="19"/>
                <w:szCs w:val="19"/>
                <w:color w:val="auto"/>
              </w:rPr>
            </w:pPr>
          </w:p>
        </w:tc>
        <w:tc>
          <w:tcPr>
            <w:tcW w:w="2520" w:type="dxa"/>
            <w:vAlign w:val="bottom"/>
            <w:shd w:val="clear" w:color="auto" w:fill="CCEEFF"/>
          </w:tcPr>
          <w:p>
            <w:pPr>
              <w:jc w:val="center"/>
              <w:ind w:right="1216"/>
              <w:spacing w:after="0"/>
              <w:rPr>
                <w:sz w:val="20"/>
                <w:szCs w:val="20"/>
                <w:color w:val="auto"/>
              </w:rPr>
            </w:pPr>
            <w:r>
              <w:rPr>
                <w:rFonts w:ascii="Arial" w:cs="Arial" w:eastAsia="Arial" w:hAnsi="Arial"/>
                <w:sz w:val="18"/>
                <w:szCs w:val="18"/>
                <w:color w:val="auto"/>
                <w:w w:val="96"/>
              </w:rPr>
              <w:t>Fr.150</w:t>
            </w:r>
          </w:p>
        </w:tc>
        <w:tc>
          <w:tcPr>
            <w:tcW w:w="2300" w:type="dxa"/>
            <w:vAlign w:val="bottom"/>
            <w:shd w:val="clear" w:color="auto" w:fill="CCEEFF"/>
          </w:tcPr>
          <w:p>
            <w:pPr>
              <w:jc w:val="center"/>
              <w:ind w:right="376"/>
              <w:spacing w:after="0"/>
              <w:rPr>
                <w:sz w:val="20"/>
                <w:szCs w:val="20"/>
                <w:color w:val="auto"/>
              </w:rPr>
            </w:pPr>
            <w:r>
              <w:rPr>
                <w:rFonts w:ascii="Arial" w:cs="Arial" w:eastAsia="Arial" w:hAnsi="Arial"/>
                <w:sz w:val="18"/>
                <w:szCs w:val="18"/>
                <w:color w:val="auto"/>
                <w:w w:val="99"/>
              </w:rPr>
              <w:t>$156</w:t>
            </w:r>
          </w:p>
        </w:tc>
        <w:tc>
          <w:tcPr>
            <w:tcW w:w="20" w:type="dxa"/>
            <w:vAlign w:val="bottom"/>
          </w:tcPr>
          <w:p>
            <w:pPr>
              <w:spacing w:after="0"/>
              <w:rPr>
                <w:sz w:val="19"/>
                <w:szCs w:val="19"/>
                <w:color w:val="auto"/>
              </w:rPr>
            </w:pPr>
          </w:p>
        </w:tc>
      </w:tr>
    </w:tbl>
    <w:p>
      <w:pPr>
        <w:spacing w:after="0" w:line="72" w:lineRule="exact"/>
        <w:rPr>
          <w:sz w:val="20"/>
          <w:szCs w:val="20"/>
          <w:color w:val="auto"/>
        </w:rPr>
      </w:pPr>
    </w:p>
    <w:p>
      <w:pPr>
        <w:ind w:left="340" w:hanging="332"/>
        <w:spacing w:after="0" w:line="272" w:lineRule="auto"/>
        <w:tabs>
          <w:tab w:leader="none" w:pos="649"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January 3, 2022, we closed on our acquisition of Chipita and assumed and entirely paid down €0.4 billion ($0.4 billion) of Chipita's debt during the nine months ended September 30, 2022.</w:t>
      </w:r>
    </w:p>
    <w:p>
      <w:pPr>
        <w:ind w:left="540" w:hanging="532"/>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Repaid by Mondelez International Holdings Netherlands B.V. ("MIHN"), a wholly owned Dutch subsidiary of Mondelez International,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we issued the following notes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rPr>
              <w:t>Issuance Date</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2280" w:type="dxa"/>
            <w:vAlign w:val="bottom"/>
          </w:tcPr>
          <w:p>
            <w:pPr>
              <w:jc w:val="center"/>
              <w:ind w:left="16"/>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2280" w:type="dxa"/>
            <w:vAlign w:val="bottom"/>
          </w:tcPr>
          <w:p>
            <w:pPr>
              <w:jc w:val="center"/>
              <w:ind w:left="16"/>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jc w:val="center"/>
              <w:ind w:right="114"/>
              <w:spacing w:after="0" w:line="230" w:lineRule="exact"/>
              <w:rPr>
                <w:sz w:val="20"/>
                <w:szCs w:val="20"/>
                <w:color w:val="auto"/>
              </w:rPr>
            </w:pPr>
            <w:r>
              <w:rPr>
                <w:rFonts w:ascii="Arial" w:cs="Arial" w:eastAsia="Arial" w:hAnsi="Arial"/>
                <w:sz w:val="18"/>
                <w:szCs w:val="18"/>
                <w:color w:val="auto"/>
                <w:w w:val="97"/>
              </w:rPr>
              <w:t>September 2022</w:t>
            </w:r>
            <w:r>
              <w:rPr>
                <w:rFonts w:ascii="Arial" w:cs="Arial" w:eastAsia="Arial" w:hAnsi="Arial"/>
                <w:sz w:val="23"/>
                <w:szCs w:val="23"/>
                <w:color w:val="auto"/>
                <w:w w:val="97"/>
                <w:vertAlign w:val="superscript"/>
              </w:rPr>
              <w:t>(2)</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September 2025</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2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360" w:type="dxa"/>
            <w:vAlign w:val="bottom"/>
          </w:tcPr>
          <w:p>
            <w:pPr>
              <w:jc w:val="center"/>
              <w:ind w:right="114"/>
              <w:spacing w:after="0"/>
              <w:rPr>
                <w:sz w:val="20"/>
                <w:szCs w:val="20"/>
                <w:color w:val="auto"/>
              </w:rPr>
            </w:pPr>
            <w:r>
              <w:rPr>
                <w:rFonts w:ascii="Arial" w:cs="Arial" w:eastAsia="Arial" w:hAnsi="Arial"/>
                <w:sz w:val="18"/>
                <w:szCs w:val="18"/>
                <w:color w:val="auto"/>
              </w:rPr>
              <w:t>March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2400" w:type="dxa"/>
            <w:vAlign w:val="bottom"/>
          </w:tcPr>
          <w:p>
            <w:pPr>
              <w:jc w:val="center"/>
              <w:spacing w:after="0"/>
              <w:rPr>
                <w:sz w:val="20"/>
                <w:szCs w:val="20"/>
                <w:color w:val="auto"/>
              </w:rPr>
            </w:pPr>
            <w:r>
              <w:rPr>
                <w:rFonts w:ascii="Arial" w:cs="Arial" w:eastAsia="Arial" w:hAnsi="Arial"/>
                <w:sz w:val="18"/>
                <w:szCs w:val="18"/>
                <w:color w:val="auto"/>
              </w:rPr>
              <w:t>March 2024</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2280" w:type="dxa"/>
            <w:vAlign w:val="bottom"/>
          </w:tcPr>
          <w:p>
            <w:pPr>
              <w:jc w:val="center"/>
              <w:ind w:left="36"/>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rPr>
              <w:t>March 2022</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2.625%</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March 2027</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22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39"/>
        </w:trPr>
        <w:tc>
          <w:tcPr>
            <w:tcW w:w="2360" w:type="dxa"/>
            <w:vAlign w:val="bottom"/>
          </w:tcPr>
          <w:p>
            <w:pPr>
              <w:jc w:val="center"/>
              <w:ind w:right="114"/>
              <w:spacing w:after="0"/>
              <w:rPr>
                <w:sz w:val="20"/>
                <w:szCs w:val="20"/>
                <w:color w:val="auto"/>
              </w:rPr>
            </w:pPr>
            <w:r>
              <w:rPr>
                <w:rFonts w:ascii="Arial" w:cs="Arial" w:eastAsia="Arial" w:hAnsi="Arial"/>
                <w:sz w:val="18"/>
                <w:szCs w:val="18"/>
                <w:color w:val="auto"/>
              </w:rPr>
              <w:t>March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3.000%</w:t>
            </w:r>
          </w:p>
        </w:tc>
        <w:tc>
          <w:tcPr>
            <w:tcW w:w="2400" w:type="dxa"/>
            <w:vAlign w:val="bottom"/>
          </w:tcPr>
          <w:p>
            <w:pPr>
              <w:jc w:val="center"/>
              <w:spacing w:after="0"/>
              <w:rPr>
                <w:sz w:val="20"/>
                <w:szCs w:val="20"/>
                <w:color w:val="auto"/>
              </w:rPr>
            </w:pPr>
            <w:r>
              <w:rPr>
                <w:rFonts w:ascii="Arial" w:cs="Arial" w:eastAsia="Arial" w:hAnsi="Arial"/>
                <w:sz w:val="18"/>
                <w:szCs w:val="18"/>
                <w:color w:val="auto"/>
              </w:rPr>
              <w:t>March 2032</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2280" w:type="dxa"/>
            <w:vAlign w:val="bottom"/>
          </w:tcPr>
          <w:p>
            <w:pPr>
              <w:jc w:val="center"/>
              <w:ind w:left="36"/>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28" w:lineRule="exact"/>
        <w:rPr>
          <w:rFonts w:ascii="Arial" w:cs="Arial" w:eastAsia="Arial" w:hAnsi="Arial"/>
          <w:sz w:val="14"/>
          <w:szCs w:val="14"/>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Issued by Mondelez International Holdings Netherlands B.V. ("MIHN"), a wholly owned Dutch subsidiary of Mondelez International,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at September 30, 2022 and December 31, 2021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September 30, 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6"/>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18,824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4"/>
          </w:tcPr>
          <w:p>
            <w:pPr>
              <w:jc w:val="right"/>
              <w:ind w:right="10"/>
              <w:spacing w:after="0"/>
              <w:rPr>
                <w:sz w:val="20"/>
                <w:szCs w:val="20"/>
                <w:color w:val="auto"/>
              </w:rPr>
            </w:pPr>
            <w:r>
              <w:rPr>
                <w:rFonts w:ascii="Arial" w:cs="Arial" w:eastAsia="Arial" w:hAnsi="Arial"/>
                <w:sz w:val="18"/>
                <w:szCs w:val="18"/>
                <w:color w:val="auto"/>
              </w:rPr>
              <w:t>21,664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525"/>
        </w:trPr>
        <w:tc>
          <w:tcPr>
            <w:tcW w:w="462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184"/>
        </w:trPr>
        <w:tc>
          <w:tcPr>
            <w:tcW w:w="4620" w:type="dxa"/>
            <w:vAlign w:val="bottom"/>
          </w:tcPr>
          <w:p>
            <w:pPr>
              <w:ind w:left="20"/>
              <w:spacing w:after="0" w:line="183" w:lineRule="exact"/>
              <w:rPr>
                <w:sz w:val="20"/>
                <w:szCs w:val="20"/>
                <w:color w:val="auto"/>
              </w:rPr>
            </w:pPr>
            <w:r>
              <w:rPr>
                <w:rFonts w:ascii="Arial" w:cs="Arial" w:eastAsia="Arial" w:hAnsi="Arial"/>
                <w:sz w:val="18"/>
                <w:szCs w:val="18"/>
                <w:color w:val="auto"/>
              </w:rPr>
              <w:t>Loss on debt extinguishment and</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expense/(income), net</w:t>
            </w:r>
          </w:p>
        </w:tc>
        <w:tc>
          <w:tcPr>
            <w:tcW w:w="6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(43)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Other expense/(income) includes amounts excluded from hedge effectiveness related to our net investment hedge derivative contracts and early settlement of forecasted currency derivative transactions due to changes in related future cash flows. Refer to Note 9,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As of September 30, 2022</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As of December 31, 2021</w:t>
            </w:r>
          </w:p>
        </w:tc>
      </w:tr>
      <w:tr>
        <w:trPr>
          <w:trHeight w:val="143"/>
        </w:trPr>
        <w:tc>
          <w:tcPr>
            <w:tcW w:w="4540" w:type="dxa"/>
            <w:vAlign w:val="bottom"/>
          </w:tcPr>
          <w:p>
            <w:pPr>
              <w:spacing w:after="0"/>
              <w:rPr>
                <w:sz w:val="12"/>
                <w:szCs w:val="12"/>
                <w:color w:val="auto"/>
              </w:rPr>
            </w:pPr>
          </w:p>
        </w:tc>
        <w:tc>
          <w:tcPr>
            <w:tcW w:w="1040" w:type="dxa"/>
            <w:vAlign w:val="bottom"/>
          </w:tcPr>
          <w:p>
            <w:pPr>
              <w:jc w:val="center"/>
              <w:ind w:left="477"/>
              <w:spacing w:after="0" w:line="143" w:lineRule="exact"/>
              <w:rPr>
                <w:sz w:val="20"/>
                <w:szCs w:val="20"/>
                <w:color w:val="auto"/>
              </w:rPr>
            </w:pPr>
            <w:r>
              <w:rPr>
                <w:rFonts w:ascii="Arial" w:cs="Arial" w:eastAsia="Arial" w:hAnsi="Arial"/>
                <w:sz w:val="14"/>
                <w:szCs w:val="14"/>
                <w:b w:val="1"/>
                <w:bCs w:val="1"/>
                <w:color w:val="auto"/>
              </w:rPr>
              <w:t>Asset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3"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45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Derivatives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4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5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156"/>
        </w:trPr>
        <w:tc>
          <w:tcPr>
            <w:tcW w:w="45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Equity method investment contracts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1"/>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6"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Equity method investment contracts consist of the bifurcated embedded derivative option that was a component of the September 20, 2021 €300 million exchangeable bonds issuance. Refer to Note 6, Equity Method Investments</w:t>
      </w:r>
      <w:r>
        <w:rPr>
          <w:rFonts w:ascii="Arial" w:cs="Arial" w:eastAsia="Arial" w:hAnsi="Arial"/>
          <w:sz w:val="14"/>
          <w:szCs w:val="14"/>
          <w:i w:val="1"/>
          <w:iCs w:val="1"/>
          <w:color w:val="auto"/>
        </w:rPr>
        <w: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5"/>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As of September 30,</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3440" w:type="dxa"/>
            <w:vAlign w:val="bottom"/>
            <w:gridSpan w:val="2"/>
          </w:tcPr>
          <w:p>
            <w:pPr>
              <w:jc w:val="right"/>
              <w:ind w:right="100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96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6,141</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10,425</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3,850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6,533</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3,122</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29"/>
        </w:trPr>
        <w:tc>
          <w:tcPr>
            <w:tcW w:w="520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2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9"/>
        </w:trPr>
        <w:tc>
          <w:tcPr>
            <w:tcW w:w="520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2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859"/>
        </w:trPr>
        <w:tc>
          <w:tcPr>
            <w:tcW w:w="5200" w:type="dxa"/>
            <w:vAlign w:val="bottom"/>
          </w:tcPr>
          <w:p>
            <w:pPr>
              <w:spacing w:after="0"/>
              <w:rPr>
                <w:sz w:val="24"/>
                <w:szCs w:val="24"/>
                <w:color w:val="auto"/>
              </w:rPr>
            </w:pPr>
          </w:p>
        </w:tc>
        <w:tc>
          <w:tcPr>
            <w:tcW w:w="2240" w:type="dxa"/>
            <w:vAlign w:val="bottom"/>
          </w:tcPr>
          <w:p>
            <w:pPr>
              <w:jc w:val="right"/>
              <w:ind w:right="1636"/>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Transfer of realized losses/(gains) in fair value</w:t>
            </w:r>
          </w:p>
        </w:tc>
        <w:tc>
          <w:tcPr>
            <w:tcW w:w="9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center"/>
              <w:ind w:left="394"/>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color w:val="auto"/>
              </w:rPr>
              <w:t>to earnings</w:t>
            </w:r>
          </w:p>
        </w:tc>
        <w:tc>
          <w:tcPr>
            <w:tcW w:w="92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394"/>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394"/>
              <w:spacing w:after="0"/>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to net earnings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Currency exchange contracts –</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9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2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Currency exchange contracts –</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92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current market conditions, we would expect to transfer losses of $13 million (net of taxes) for interest rate cash flow hedges to earnings during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September 30, 2022, our longest dated cash flow hedges were interest rate swaps that hedge forecasted interest rate payments over the next 3 years, 11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September 30, 2022 was $6.5 billion.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impacts on other comprehensive earnings and net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6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1"/>
        </w:trPr>
        <w:tc>
          <w:tcPr>
            <w:tcW w:w="51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440</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788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bl>
    <w:p>
      <w:pPr>
        <w:spacing w:after="0" w:line="315" w:lineRule="exact"/>
        <w:rPr>
          <w:sz w:val="20"/>
          <w:szCs w:val="20"/>
          <w:color w:val="auto"/>
        </w:rPr>
      </w:pPr>
    </w:p>
    <w:p>
      <w:pPr>
        <w:ind w:left="340" w:hanging="332"/>
        <w:spacing w:after="0" w:line="305"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c>
          <w:tcPr>
            <w:tcW w:w="1100" w:type="dxa"/>
            <w:vAlign w:val="bottom"/>
            <w:vMerge w:val="restart"/>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c>
          <w:tcPr>
            <w:tcW w:w="1100" w:type="dxa"/>
            <w:vAlign w:val="bottom"/>
            <w:vMerge w:val="restart"/>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92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381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tcPr>
          <w:p>
            <w:pPr>
              <w:spacing w:after="0"/>
              <w:rPr>
                <w:sz w:val="20"/>
                <w:szCs w:val="20"/>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ind w:left="80"/>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920" w:type="dxa"/>
            <w:vAlign w:val="bottom"/>
            <w:vMerge w:val="restart"/>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9"/>
        </w:trPr>
        <w:tc>
          <w:tcPr>
            <w:tcW w:w="3120" w:type="dxa"/>
            <w:vAlign w:val="bottom"/>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9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3"/>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2020" w:type="dxa"/>
            <w:vAlign w:val="bottom"/>
          </w:tcPr>
          <w:p>
            <w:pPr>
              <w:jc w:val="center"/>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5"/>
        </w:trPr>
        <w:tc>
          <w:tcPr>
            <w:tcW w:w="31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3"/>
        </w:trPr>
        <w:tc>
          <w:tcPr>
            <w:tcW w:w="3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5"/>
        </w:trPr>
        <w:tc>
          <w:tcPr>
            <w:tcW w:w="312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92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contracts</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of 2022, we had early settlements of forecasted currency exchange contracts comprised of $74 million in cost of sales, $5 million in selling, general and administrative expenses and $20 million in interest and other expense, net.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Contingent consideration arising from acquisitions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end of period</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was recorded at fair value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Clif Bar</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contingent consideration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contingent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58" w:lineRule="auto"/>
        <w:tabs>
          <w:tab w:leader="none" w:pos="378"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Acquisitions and Divestitures for additional information.</w:t>
      </w:r>
    </w:p>
    <w:p>
      <w:pPr>
        <w:spacing w:after="0" w:line="1" w:lineRule="exact"/>
        <w:rPr>
          <w:rFonts w:ascii="Arial" w:cs="Arial" w:eastAsia="Arial" w:hAnsi="Arial"/>
          <w:sz w:val="14"/>
          <w:szCs w:val="14"/>
          <w:color w:val="auto"/>
        </w:rPr>
      </w:pPr>
    </w:p>
    <w:p>
      <w:pPr>
        <w:jc w:val="both"/>
        <w:ind w:left="340" w:hanging="332"/>
        <w:spacing w:after="0" w:line="267"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other contingent consideration liabilities are recorded at fair value, with $101 million classified as other current liabilities at September 30, 2022 and $57 million and $159 million classified as long term liabilities at September 30, 2022 and December 31, 2021. The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Acquisitions and Divestitures for additional information.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17"/>
                <w:szCs w:val="17"/>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cost/(benefit)</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64"/>
        </w:trPr>
        <w:tc>
          <w:tcPr>
            <w:tcW w:w="5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2"/>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5"/>
        </w:trPr>
        <w:tc>
          <w:tcPr>
            <w:tcW w:w="52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cost/(benefit)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pension cost/(benefit)</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76"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third quarter of 2021, we terminated our Defined Benefit Pension Scheme in Nigeria. During the second quarter of 2021, we made a decision to freeze our Defined Benefit Pension Scheme in the United Kingdom. As a result, we recognized curtailment credits of $(3 million) for the three months and $(17 million) for the nine months ended September 30, 2021 recorded within benefit plan non-service income. In connection with the United Kingdom plan freeze, we also incurred incentive payment charges and other expenses of $2 million for the three months and $47 million for the nine months ended September 30, 2021 included in operating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2022, we contributed $3 million to our U.S. pension plans and $ 137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2022, we plan to make further contributions of approximately $46 million to our non-U.S. plans for the remainder of 2022.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$3 million and $8 million in the three and nine months ended September 30, 2022 and $2 million and $8 million in the three and nine months ended September 30, 2021 within interest and other expense, net. As of September 30, 2022, the remaining discounted withdrawal liability was $348 million, with $15 million recorded in other current liabilities and $333 million recorded in long-term other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cost/(benefit)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7"/>
          </w:tcPr>
          <w:p>
            <w:pPr>
              <w:jc w:val="center"/>
              <w:ind w:left="242"/>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gridSpan w:val="8"/>
          </w:tcPr>
          <w:p>
            <w:pPr>
              <w:ind w:left="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31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Net loss from experience differences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3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Net periodic postretirement health care cost/(benefit)</w:t>
            </w:r>
          </w:p>
        </w:tc>
        <w:tc>
          <w:tcPr>
            <w:tcW w:w="3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4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880" w:type="dxa"/>
            <w:vAlign w:val="bottom"/>
            <w:gridSpan w:val="2"/>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7"/>
          </w:tcPr>
          <w:p>
            <w:pPr>
              <w:jc w:val="center"/>
              <w:ind w:left="242"/>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40" w:type="dxa"/>
            <w:vAlign w:val="bottom"/>
            <w:gridSpan w:val="8"/>
          </w:tcPr>
          <w:p>
            <w:pPr>
              <w:ind w:left="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31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60" w:type="dxa"/>
            <w:vAlign w:val="bottom"/>
            <w:gridSpan w:val="3"/>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Net periodic postemployment cost</w:t>
            </w:r>
          </w:p>
        </w:tc>
        <w:tc>
          <w:tcPr>
            <w:tcW w:w="340" w:type="dxa"/>
            <w:vAlign w:val="bottom"/>
            <w:gridSpan w:val="2"/>
          </w:tcPr>
          <w:p>
            <w:pPr>
              <w:spacing w:after="0"/>
              <w:rPr>
                <w:sz w:val="19"/>
                <w:szCs w:val="19"/>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Stock Plans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80" w:type="dxa"/>
            <w:vAlign w:val="bottom"/>
            <w:gridSpan w:val="2"/>
          </w:tcPr>
          <w:p>
            <w:pPr>
              <w:spacing w:after="0"/>
              <w:rPr>
                <w:sz w:val="20"/>
                <w:szCs w:val="20"/>
                <w:color w:val="auto"/>
              </w:rPr>
            </w:pPr>
            <w:r>
              <w:rPr>
                <w:rFonts w:ascii="Arial" w:cs="Arial" w:eastAsia="Arial" w:hAnsi="Arial"/>
                <w:sz w:val="18"/>
                <w:szCs w:val="18"/>
                <w:color w:val="auto"/>
              </w:rPr>
              <w:t>Stock option activity is reflected below:</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rPr>
              <w:t>Exercise or</w:t>
            </w:r>
          </w:p>
        </w:tc>
        <w:tc>
          <w:tcPr>
            <w:tcW w:w="280" w:type="dxa"/>
            <w:vAlign w:val="bottom"/>
          </w:tcPr>
          <w:p>
            <w:pPr>
              <w:spacing w:after="0"/>
              <w:rPr>
                <w:sz w:val="12"/>
                <w:szCs w:val="12"/>
                <w:color w:val="auto"/>
              </w:rPr>
            </w:pPr>
          </w:p>
        </w:tc>
        <w:tc>
          <w:tcPr>
            <w:tcW w:w="132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rPr>
              <w:t>Grant Price</w:t>
            </w:r>
          </w:p>
        </w:tc>
        <w:tc>
          <w:tcPr>
            <w:tcW w:w="280" w:type="dxa"/>
            <w:vAlign w:val="bottom"/>
          </w:tcPr>
          <w:p>
            <w:pPr>
              <w:spacing w:after="0"/>
              <w:rPr>
                <w:sz w:val="11"/>
                <w:szCs w:val="11"/>
                <w:color w:val="auto"/>
              </w:rPr>
            </w:pPr>
          </w:p>
        </w:tc>
        <w:tc>
          <w:tcPr>
            <w:tcW w:w="1320" w:type="dxa"/>
            <w:vAlign w:val="bottom"/>
            <w:gridSpan w:val="6"/>
          </w:tcPr>
          <w:p>
            <w:pPr>
              <w:jc w:val="center"/>
              <w:ind w:right="520"/>
              <w:spacing w:after="0" w:line="135" w:lineRule="exact"/>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23,503,759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center"/>
              <w:ind w:right="230"/>
              <w:spacing w:after="0"/>
              <w:rPr>
                <w:sz w:val="20"/>
                <w:szCs w:val="20"/>
                <w:color w:val="auto"/>
              </w:rPr>
            </w:pPr>
            <w:r>
              <w:rPr>
                <w:rFonts w:ascii="Arial" w:cs="Arial" w:eastAsia="Arial" w:hAnsi="Arial"/>
                <w:sz w:val="18"/>
                <w:szCs w:val="18"/>
                <w:color w:val="auto"/>
                <w:w w:val="98"/>
              </w:rPr>
              <w:t>$42.65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Arial" w:cs="Arial" w:eastAsia="Arial" w:hAnsi="Arial"/>
                <w:sz w:val="18"/>
                <w:szCs w:val="18"/>
                <w:color w:val="auto"/>
              </w:rPr>
              <w:t>64.65</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2"/>
              <w:spacing w:after="0" w:line="203" w:lineRule="exact"/>
              <w:rPr>
                <w:sz w:val="20"/>
                <w:szCs w:val="20"/>
                <w:color w:val="auto"/>
              </w:rPr>
            </w:pPr>
            <w:r>
              <w:rPr>
                <w:rFonts w:ascii="Arial" w:cs="Arial" w:eastAsia="Arial" w:hAnsi="Arial"/>
                <w:sz w:val="18"/>
                <w:szCs w:val="18"/>
                <w:color w:val="auto"/>
              </w:rPr>
              <w:t>2,180,540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2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41,930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8"/>
                <w:szCs w:val="18"/>
                <w:color w:val="auto"/>
              </w:rPr>
              <w:t>2,222,470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(3,754,667)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Options canceled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(435,613)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21,535,949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45.82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620" w:type="dxa"/>
            <w:vAlign w:val="bottom"/>
            <w:tcBorders>
              <w:top w:val="single" w:sz="8" w:color="CCEEFF"/>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40" w:right="20" w:hanging="332"/>
        <w:spacing w:after="0" w:line="283"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Cash received from options exercised was $22 million in the three months and $123 million in the nine months ended September 30, 2022. The actual tax benefit realized and recorded in the provision for income taxes for the tax deductions from the option exercises totaled $3 million in the three months and $17 million in the nine months ended September 30, 2022.</w:t>
      </w:r>
    </w:p>
    <w:p>
      <w:pPr>
        <w:sectPr>
          <w:pgSz w:w="11900" w:h="16838" w:orient="portrait"/>
          <w:cols w:equalWidth="0" w:num="1">
            <w:col w:w="11240"/>
          </w:cols>
          <w:pgMar w:left="320" w:top="364" w:right="3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left="221"/>
              <w:spacing w:after="0" w:line="189" w:lineRule="exact"/>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21"/>
                <w:szCs w:val="21"/>
                <w:b w:val="1"/>
                <w:bCs w:val="1"/>
                <w:color w:val="auto"/>
                <w:w w:val="97"/>
                <w:vertAlign w:val="superscript"/>
              </w:rPr>
              <w:t>(3)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w w:val="98"/>
              </w:rPr>
              <w:t>$57.04</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6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8"/>
                <w:szCs w:val="18"/>
                <w:color w:val="auto"/>
                <w:w w:val="99"/>
              </w:rPr>
              <w:t>Feb 24, 2022</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61.87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505,090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64.65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737,537</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60.42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2,049,217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62.03</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(1,730,719)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55.36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(398,436)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35"/>
              <w:spacing w:after="0"/>
              <w:rPr>
                <w:sz w:val="20"/>
                <w:szCs w:val="20"/>
                <w:color w:val="auto"/>
              </w:rPr>
            </w:pPr>
            <w:r>
              <w:rPr>
                <w:rFonts w:ascii="Arial" w:cs="Arial" w:eastAsia="Arial" w:hAnsi="Arial"/>
                <w:sz w:val="18"/>
                <w:szCs w:val="18"/>
                <w:color w:val="auto"/>
              </w:rPr>
              <w:t>60.66</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59.59</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28"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actual tax benefit realized and recorded in the provision for income taxes for the tax deductions from the shares vested totaled less than $1 million in the three months and $4 million in the nine months ended September 30, 2022.</w:t>
      </w:r>
    </w:p>
    <w:p>
      <w:pPr>
        <w:jc w:val="both"/>
        <w:ind w:left="340" w:hanging="332"/>
        <w:spacing w:after="0" w:line="262"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Between 2013 and 2020, our Board of Directors authorized the repurchase of a total of $23.7 billion of our Common Stock and extended the program through December 31, 2023. Repurchases under the program are determined by management and are wholly discretionary. Prior to January 1, 2022, we had repurchased approximately $20.0 billion of Common Stock pursuant to this authorization. During the nine months ended September 30, 2022, we repurchased approximately 29 million shares of Common Stock at an average cost of $63.78 per share, or an aggregate cost of approximately $1.8 billion, all of which was paid during the period except for approximately $20 million settled in October 2022. All share repurchases were funded through available cash and commercial paper issuances. As of September 30, 2022, we have approximately $1.8 billion in remaining share repurchase capacity.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complaint alleged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sought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United States District Court for the Northern District of Illinois as case number 15-cv-2937, </w:t>
      </w:r>
      <w:r>
        <w:rPr>
          <w:rFonts w:ascii="Arial" w:cs="Arial" w:eastAsia="Arial" w:hAnsi="Arial"/>
          <w:sz w:val="18"/>
          <w:szCs w:val="18"/>
          <w:i w:val="1"/>
          <w:iCs w:val="1"/>
          <w:color w:val="auto"/>
        </w:rPr>
        <w:t>Harry Ploss et al. v. Kraft Foods Group, Inc. and Mondelēz Global LLC</w:t>
      </w:r>
      <w:r>
        <w:rPr>
          <w:rFonts w:ascii="Arial" w:cs="Arial" w:eastAsia="Arial" w:hAnsi="Arial"/>
          <w:sz w:val="18"/>
          <w:szCs w:val="18"/>
          <w:color w:val="auto"/>
        </w:rPr>
        <w:t>. On January 3, 2020, the District Court granted plaintiffs'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class action. Although the CFTC action and the class action complaints involve the same alleged conduct, the resolution of the CFTC matter may not be dispositive as to the outcome of the class action.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the European Commission informed us that it initiated an investigation into our alleged infringement of European Union competition law through certain practices restricting cross-border trade within the European Economic Area. On January 28, 2021, the European Commission announced it took the next procedural step in its investigation and opened formal proceedings. We are cooperating with the investigation and are engaging with the European Commission as its investigation proceeds. It is not possible to predict how long the investigation will take or the ultimate outcome of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2022, we had no material third-party guarantees recorded on our condensed consolidated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gains of $103 million in the third quarter of 2022 and $26 million in the third quarter of 2021 and $143 million in the first nine months of 2022 and $63 million in the first nine months of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(9,431)</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(8,627)</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(9,097)</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(8,655)</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(10,086)</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9"/>
                <w:szCs w:val="9"/>
                <w:color w:val="auto"/>
              </w:rPr>
              <w:t>(2)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9"/>
                <w:szCs w:val="9"/>
                <w:color w:val="auto"/>
              </w:rPr>
              <w:t>(2)</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Curtailment credit </w:t>
            </w:r>
            <w:r>
              <w:rPr>
                <w:rFonts w:ascii="Arial" w:cs="Arial" w:eastAsia="Arial" w:hAnsi="Arial"/>
                <w:sz w:val="9"/>
                <w:szCs w:val="9"/>
                <w:color w:val="auto"/>
              </w:rPr>
              <w:t>(2)</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9"/>
        </w:trPr>
        <w:tc>
          <w:tcPr>
            <w:tcW w:w="5200" w:type="dxa"/>
            <w:vAlign w:val="bottom"/>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Currency exchange contracts</w:t>
            </w:r>
            <w:r>
              <w:rPr>
                <w:rFonts w:ascii="Arial" w:cs="Arial" w:eastAsia="Arial" w:hAnsi="Arial"/>
                <w:sz w:val="9"/>
                <w:szCs w:val="9"/>
                <w:color w:val="auto"/>
              </w:rPr>
              <w:t>(4)</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9"/>
                <w:szCs w:val="9"/>
                <w:color w:val="auto"/>
              </w:rPr>
              <w:t>(2)(4)</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7"/>
        </w:trPr>
        <w:tc>
          <w:tcPr>
            <w:tcW w:w="52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Accumulated other comprehensive income</w:t>
            </w: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(10,638)</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(10,624)</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(10,690)</w:t>
            </w: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amounts include equity method investment transactions recorded within gain on equity method investment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third quarter of 2022, our estimated annual effective tax rate, which excludes discrete tax impacts, was 24.0%.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The estimated annual effective tax rate also considers the impact of the establishment of a valuation allowance related to a deferred tax asset arising from the anticipated 2022 Ukraine loss as well as the expense related to the buyout of the Clif Bar ESOP that was recorded to third quarter earnings before income taxes with no associated income tax benefit, as any tax impacts are included in the tax purchase price. Our 2022 third quarter effective tax rate of 28.8% was high due to the Clif Bar ESOP expense. Excluding this impact, our third quarter effective tax rate of 19.9% was favorably impacted by discrete net tax benefits of $28 million. The discrete net tax benefit primarily consisted of a $43 million net benefit from the release of liabilities for uncertain tax positions due to expirations of statutes of limitations and audit settlements in several jurisdictions, partially offset by a $13 million expense from U.S. state tax law changes. Our effective tax rate for the nine months ended September 30, 2022 of 24.2% considers the unfavorable impacts of the Ukraine loss and the Clif Bar ESOP expense as well as favorable discrete net tax benefits of $92 million. The discrete net tax benefit primarily consisted of a $75 million net benefit from the release of liabilities for uncertain tax positions due to expirations of statutes of limitations and audit settlements in several jurisdictions and a $43 million net benefit from the Chipita acquisition, partially offset by $22 million expense from tax law changes in various jurisdictions.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third quarter of 2021, our estimated annual effective tax rate, which excluded discrete tax impacts, was 23.0%.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2021 third quarter effective tax rate of 27.4% was high due to a $59 million tax expense incurred in connection with the KDP share sale that occurred during the third quarter (the related gain is reported separately in our statement of earnings and thus not included in earnings before income taxes). Excluding this impact, our third quarter effective tax rate was 22.7%, including a discrete net tax expense of $11 million primarily driven by the change in liabilities for uncertain tax positions in several jurisdictions. Our effective tax rate for the nine months ended September 30, 2021 of 29.5% was also high due to the $187 million net tax expense incurred in connection with the KDP share sales during the second and third quarters. Excluding this impact, our effective tax rate for the nine months ended September 30, 2021 was 23.7%, which was unfavorably impacted by discrete net tax expense of $26 million, primarily driven by $95 million net tax expense from the increase of our deferred tax liabilities resulting from enacted tax legislation (mainly in the United Kingdom), partially offset by a $45 million net benefit from the release of liabilities for uncertain tax positions due to expirations of statutes of limitations and audit settlements in several jurisdictions and a $27 million benefit from a U.S. amended tax return filed to reflect new guidance from the U.S. Treasury Department.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1,381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176"/>
        </w:trPr>
        <w:tc>
          <w:tcPr>
            <w:tcW w:w="5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4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1"/>
        </w:trPr>
        <w:tc>
          <w:tcPr>
            <w:tcW w:w="53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3.3 million in the third quarter of 2022 and 2.7 million in the third quarter of 2021 and 2.9 million in the first nine months of 2022 and 3.0 million in the first nine months of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manufacture and market primarily snack food products, including biscuits, chocolate, gum &amp; candy and various cheese &amp; grocery products, as well as powdered beverage products.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ind w:left="6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7,763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8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3, </w:t>
      </w:r>
      <w:r>
        <w:rPr>
          <w:rFonts w:ascii="Arial" w:cs="Arial" w:eastAsia="Arial" w:hAnsi="Arial"/>
          <w:sz w:val="18"/>
          <w:szCs w:val="18"/>
          <w:i w:val="1"/>
          <w:iCs w:val="1"/>
          <w:color w:val="auto"/>
        </w:rPr>
        <w:t>Inventories</w:t>
      </w:r>
      <w:r>
        <w:rPr>
          <w:rFonts w:ascii="Arial" w:cs="Arial" w:eastAsia="Arial" w:hAnsi="Arial"/>
          <w:sz w:val="18"/>
          <w:szCs w:val="18"/>
          <w:color w:val="auto"/>
        </w:rPr>
        <w:t>, 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more information on our interest and other expense, net for each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Three Months Ended September 30, 2021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2022</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Nine Months Ended September 30, 2021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hanging="332"/>
        <w:spacing w:after="0" w:line="285" w:lineRule="auto"/>
        <w:tabs>
          <w:tab w:leader="none" w:pos="413"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snack product categories include biscuits, chocolate and gum &amp; candy. During the first quarter of 2022, we realigned some of our products between our biscuits and chocolate categories; as such, we reclassified the product category net revenues on a basis consistent with the 2022 presentation.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make and sell primarily snacks, including biscuits, chocolate, gum &amp; candy as well as various cheese &amp; grocery and powdered beverage products around the world.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aim to be the global leader in snacking. In May 2022, we announced the evolution of our strategy to drive long-term growth by focusing on four strategic pillars and priorities: accelerating consumer-centric growth, driving operational excellence, creating a winning growth culture and scaling sustainable snacking. We also announced our plans to reshape our portfolio, with a focus on extending our leadership positions in chocolate and biscuits as well as baked snacks. We seek to further enable our growth by investing in our strong and inclusive talent, brand portfolio and digital technologies and skills, as well as our sales and marketing capabilities.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 in Ukraine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2022, Russia began a military invasion of Ukraine. For the safety of our employees, we stopped production and closed our facilities in Ukraine. We are providing all of our employees with compensation and with help in securing shelter in neighboring countries. We have also made cash and in-kind donations to several humanitarian aid organizations in the region.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2022, our two Ukrainian manufacturing facilities in Trostyanets and Vyshhorod were significantly damaged. In connection with the damage to these plants and impairment of other assets, primarily inventory, other plant, property and equipment, as well as increased allowances on our receivables, during the first quarter of 2022, we recorded $143 million of charges directly incurred as a result of the war in Ukraine, including an accrual for continued compensation for our employees in Ukraine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 We have increased operations and continue to provide resources in other primarily European manufacturing and distribution facilities to seek to continue supplying our Ukraine business's customers and consumers across Europe.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and third quarters of 2022, the war continued through parts of Ukraine. We continue to make targeted repairs on both our plants. We relaunched our systems and implemented additional safety and security measures. In late June, we partially reopened the Vyshhorod plant and restarted limited potato chip production. During the second and third quarters of 2022, we reversed approximately $15 million and $7 million, respectively, of previously recorded charges primarily as a result of higher than expected collection of trade receivables and inventory recoveries.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food company, we continue to work to support the continuity of food supply and provide packaged foods to consumers. We have discontinued new capital investments and suspended our advertising spending in Russia, but as a food company with more than 2,500 employees in Russia, we have not ceased operations given we believe we play a role in the continuity of the food supply. We are required to comply with applicable international sanctions and other measures that have been or may be imposed on Russian entities. We continue to evaluate the situation in Ukraine and Russia and our ability to control our operating activities and businesses on an ongoing basis, and we continue to consolidate both our Ukrainian and Russian subsidiaries. Prior to the onset of the war, Ukraine generated 0.5% and Russia generated 2.9% of 2021 consolidated net revenues. During the nine months ended September 30, 2022, Ukraine generated 0.3% and Russia generated 3.6% of consolidated net revenue. Our Russian business has grown as a result of the recent strengthening of the Russian ruble versus the U.S. dollar and increased demand for packaged foods. The war has not had a material impact on our Russian business through the first nine months of 2022.</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provide more information on risks related to the war in Ukraine in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section, Item 3,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and under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Inflationary Cost Environment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year of the COVID-19 global pandemic, our main priority remains the safety of our employees as well as continuing to help maintain the global food supply. During the pandemic, we experienced an overall increase in demand and revenue growth as consumers increased their food purchases for in-home consumption in many markets, while parts of our business were negatively affected by related lockdowns and restrictions. In late 2021, global supply chain, transportation and labor issues escalated and we experienced significantly higher operating costs, including higher overall raw material, transportation, labor and energy costs that have continued to rise in 2022.</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nine months of 2022, our net revenues continued to increase with growth of 8.3% and Organic Net Revenue growth of 11.2%, compared to the first nine months of 2021. Throughout 2022, we continued to see increased demand primarily for our snack category products and revenue growth in both our emerging and developed markets relative to the first nine months of 2021. We continued to also experience significantly higher operating costs. See additional details on our results in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pandemic and the related inflationary environment, we continued to closely monitor our cash position and cash flows and worked to increase our access to financing. As of September 30, 2022, our liquidity remains strong. During the first nine months of 2022, we funded our acquisitions of Chipita and Clif Bar (see additional information below) and also issued $2.5 billion of new long-term debt in order to refinance approximately $2 billion of tendered and redeemed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details) ahead of the rising interest rate environment. We generated $2.5 billion of cash from operations during the first nine months of 2022, ending the quarter with cash and cash equivalents of $2.2 billion as of September 30, 2022. We also had $9 billion of unused credit facilities available as of September 30, 2022 as well as ongoing access to financing markets as evidenced by the incremental term loan facility we entered into and announced on July 11, 2022. Our JDE Peet's and KDP equity method investments also give us additional financial flexibility.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will continue to proactively manage our business in response to the evolving global economic environment and related uncertainty and business risks while also prioritizing and supporting our employees and customers. We continue to take steps to mitigate impacts to our supply chain, operations, technology and assets. We intend to continue to execute on our new strategic and operating plans as the situation evolves. We seek to further our strategic priorities and position the Company to withstand the current uncertainties and emerge stronger.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the second quarter of 2022, we announced our 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below for additional details.</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November 1, 2022, we completed our acquisition of Ricolino, a confectionery business located primarily in Mexico, for a purchase price of approximately $1.3 billion.</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August 1, 2022, we completed our acquisition of Clif Bar, a leading U.S. maker of nutritious energy bars with organic ingredients. We paid cash consideration of $2.9 billion, which includes purchase price consideration of $2.6 billion, net of cash received and compensation expense of $0.3 billion related to the buyout of the non-vested ESOP shares.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3, 2022, we completed our acquisition of Chipita Global S.A. ("Chipita"), which is a strategic complement to our existing snacks portfolio and advances our strategy to become the global leader in broader snacking. We paid cash consideration of €1.2 billion ($1.4 billion), net of cash received, and we assumed and paid down €0.5 billion ($0.4 billion) of Chipita's debt in January for a total purchase price of approximately €1.7 billion ($1.8 billion).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for more information on the impact of the Ricolino, Clif Bar and Chipita acquisitions on our results and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JDE Peet's and KDP Equity Method Investment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8, 2022, we sold approximately 18.6 million JDE Peet's shares directly back to JDE Peet's, which reduced our ownership interest to 19.8%. We received €500 million ($529 million) of proceeds and recorded a loss of €8 million ($8 million) on this sale during the second quarter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KDP</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7, 2021, we participated in a secondary offering of KDP shares and sold approximately 28 million shares, which reduced our ownership interest to 6.4% of the total outstanding shares. We received $997 million of proceeds and recorded a pre-tax gain of $520 million (or $392 million after-tax) during the second quarter of 2021. On August 2, 2021, we sold approximately 14.7 million KDP shares, which reduced our ownership interest to 5.3%. We received $500 million of proceeds and recorded a pre-tax gain of $248 million (or $189 million after-tax) during the third quarter of 2021. The cash taxes associated with both KDP share sales were paid in 2021.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6" w:lineRule="exact"/>
        <w:rPr>
          <w:sz w:val="20"/>
          <w:szCs w:val="20"/>
          <w:color w:val="auto"/>
        </w:rPr>
      </w:pPr>
    </w:p>
    <w:p>
      <w:pPr>
        <w:jc w:val="both"/>
        <w:ind w:left="660" w:hanging="328"/>
        <w:spacing w:after="0" w:line="255"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Net revenues increased 8.1% to $7.8 billion in the third quarter of 2022 and increased 8.3% to $22.8 billion in the first nine months of 2022 as compared to the same period in the prior year. In the third quarter and first nine months of 2022, our net revenue growth continued to reflect increased demand for most of our snack category products in both our emerging and developed markets relative to 2021. Overall, our net revenue growth in the third quarter and first nine months of 2022 was driven by higher net pricing, incremental net revenues from acquisitions and favorable volume/mix, partially offset by unfavorable currency translation and the impact of divestitures.</w:t>
      </w:r>
    </w:p>
    <w:p>
      <w:pPr>
        <w:spacing w:after="0" w:line="222" w:lineRule="exact"/>
        <w:rPr>
          <w:rFonts w:ascii="Arial" w:cs="Arial" w:eastAsia="Arial" w:hAnsi="Arial"/>
          <w:sz w:val="20"/>
          <w:szCs w:val="20"/>
          <w:color w:val="auto"/>
        </w:rPr>
      </w:pPr>
    </w:p>
    <w:p>
      <w:pPr>
        <w:jc w:val="both"/>
        <w:ind w:left="660" w:hanging="328"/>
        <w:spacing w:after="0" w:line="251"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 xml:space="preserve">Organic Net Revenue, a non-GAAP financial measure, increased 12.1% to $8.0 billion in the third quarter of 2022 and increased 11.2% to $23.3 billion in the first nine months of 2022 as compared to same period in the prior year. During the third quarter and first nine months of 2022, Organic Net Revenue grew due to higher net pricing and favorable volume/mix. Refer to our </w:t>
      </w:r>
      <w:r>
        <w:rPr>
          <w:rFonts w:ascii="Arial" w:cs="Arial" w:eastAsia="Arial" w:hAnsi="Arial"/>
          <w:sz w:val="18"/>
          <w:szCs w:val="18"/>
          <w:i w:val="1"/>
          <w:iCs w:val="1"/>
          <w:color w:val="auto"/>
        </w:rPr>
        <w:t>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Historical Results </w:t>
      </w:r>
      <w:r>
        <w:rPr>
          <w:rFonts w:ascii="Arial" w:cs="Arial" w:eastAsia="Arial" w:hAnsi="Arial"/>
          <w:sz w:val="18"/>
          <w:szCs w:val="18"/>
          <w:color w:val="auto"/>
        </w:rPr>
        <w:t>below for additional information. Organic Net Revenue is on a constant currency basis and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229" w:lineRule="exact"/>
        <w:rPr>
          <w:rFonts w:ascii="Arial" w:cs="Arial" w:eastAsia="Arial" w:hAnsi="Arial"/>
          <w:sz w:val="20"/>
          <w:szCs w:val="20"/>
          <w:color w:val="auto"/>
        </w:rPr>
      </w:pPr>
    </w:p>
    <w:p>
      <w:pPr>
        <w:ind w:left="660" w:hanging="328"/>
        <w:spacing w:after="0" w:line="254"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decreased 56.2% to $0.39 in the third quarter of 2022 and decreased 33.9% to $1.54 in the first nine months of 2022 as compared to the same period in the prior year.</w:t>
      </w:r>
    </w:p>
    <w:p>
      <w:pPr>
        <w:spacing w:after="0" w:line="1"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Diluted EPS decreased in the third quarter of 2022, primarily driven by acquisition-related costs incurred in 2022, an unfavorable year-over-year change in mark-to-market impacts from currency and commodity derivatives, lapping a prior-year net gain on equity method transactions, higher acquisition integration costs and contingent consideration adjustments, intangible asset impairment charges incurred in 2022 and inventory step-up charges incurred in 2022, partially offset by lower Simplify to Grow program costs and an increase in Adjusted EPS.</w:t>
      </w:r>
    </w:p>
    <w:p>
      <w:pPr>
        <w:spacing w:after="0" w:line="1" w:lineRule="exact"/>
        <w:rPr>
          <w:rFonts w:ascii="Arial" w:cs="Arial" w:eastAsia="Arial" w:hAnsi="Arial"/>
          <w:sz w:val="20"/>
          <w:szCs w:val="20"/>
          <w:color w:val="auto"/>
        </w:rPr>
      </w:pPr>
    </w:p>
    <w:p>
      <w:pPr>
        <w:ind w:left="1300" w:hanging="324"/>
        <w:spacing w:after="0" w:line="253" w:lineRule="auto"/>
        <w:rPr>
          <w:rFonts w:ascii="Arial" w:cs="Arial" w:eastAsia="Arial" w:hAnsi="Arial"/>
          <w:sz w:val="20"/>
          <w:szCs w:val="20"/>
          <w:color w:val="auto"/>
        </w:rPr>
      </w:pPr>
      <w:r>
        <w:rPr>
          <w:rFonts w:ascii="Arial" w:cs="Arial" w:eastAsia="Arial" w:hAnsi="Arial"/>
          <w:sz w:val="18"/>
          <w:szCs w:val="18"/>
          <w:color w:val="auto"/>
        </w:rPr>
        <w:t>– Diluted EPS decreased during the first nine months of 2022, primarily driven by lapping prior-year net gains on equity method transactions, unfavorable year-over-year mark-to-market impacts from currency and commodity derivatives, higher acquisition-related costs, incremental costs incurred due to the war in Ukraine, higher acquisition integration costs and contingent consideration adjustments, higher intangible asset impairment charges, lower net earnings from divestitures and inventory step-up charges incurred in 2022, partially offset by lower Simplify to Grow program costs, an increase in Adjusted EPS, lower negative impacts from enacted tax law changes, lower equity method investee items and lapping the prior-year negative impact from pension participation changes.</w:t>
      </w:r>
    </w:p>
    <w:p>
      <w:pPr>
        <w:spacing w:after="0" w:line="223"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Adjusted EPS, a non-GAAP financial measure, increased 5.7% to $0.74 in the third quarter of 2022 and increased 3.7% to $2.22 in the first nine months of 2022 as compared to the same period in the prior year. On a constant currency basis, Adjusted EPS increased 15.7% to $0.81 in the third quarter of 2022 and up 12.6% to $2.41 in the first nine months of 2022 as compared to the same periods in the prior year.</w:t>
      </w:r>
    </w:p>
    <w:p>
      <w:pPr>
        <w:ind w:left="1300" w:hanging="324"/>
        <w:spacing w:after="0" w:line="259"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EPS increased in the third quarter of 2022, primarily driven by operating gains, lower taxes primarily due to higher</w:t>
      </w:r>
      <w:r>
        <w:rPr>
          <w:rFonts w:ascii="Arial" w:cs="Arial" w:eastAsia="Arial" w:hAnsi="Arial"/>
          <w:sz w:val="20"/>
          <w:szCs w:val="20"/>
          <w:color w:val="auto"/>
        </w:rPr>
        <w:t xml:space="preserve"> </w:t>
      </w:r>
      <w:r>
        <w:rPr>
          <w:rFonts w:ascii="Arial" w:cs="Arial" w:eastAsia="Arial" w:hAnsi="Arial"/>
          <w:sz w:val="17"/>
          <w:szCs w:val="17"/>
          <w:color w:val="auto"/>
        </w:rPr>
        <w:t>net benefits from non-recurring discrete tax items, fewer shares outstanding and higher equity method earnings, partially offset by unfavorable currency translation and higher interest expense.</w:t>
      </w:r>
    </w:p>
    <w:p>
      <w:pPr>
        <w:ind w:left="980"/>
        <w:spacing w:after="0"/>
        <w:rPr>
          <w:rFonts w:ascii="Arial" w:cs="Arial" w:eastAsia="Arial" w:hAnsi="Arial"/>
          <w:sz w:val="20"/>
          <w:szCs w:val="20"/>
          <w:color w:val="auto"/>
        </w:rPr>
      </w:pPr>
      <w:r>
        <w:rPr>
          <w:rFonts w:ascii="Arial" w:cs="Arial" w:eastAsia="Arial" w:hAnsi="Arial"/>
          <w:sz w:val="18"/>
          <w:szCs w:val="18"/>
          <w:color w:val="auto"/>
        </w:rPr>
        <w:t>–  Adjusted EPS increased during the first nine months of 2022, primarily driven by operating gains, fewer shares outstanding</w:t>
      </w:r>
    </w:p>
    <w:p>
      <w:pPr>
        <w:spacing w:after="0" w:line="9" w:lineRule="exact"/>
        <w:rPr>
          <w:sz w:val="20"/>
          <w:szCs w:val="20"/>
          <w:color w:val="auto"/>
        </w:rPr>
      </w:pPr>
    </w:p>
    <w:p>
      <w:pPr>
        <w:ind w:left="1300"/>
        <w:spacing w:after="0" w:line="250" w:lineRule="auto"/>
        <w:rPr>
          <w:sz w:val="20"/>
          <w:szCs w:val="20"/>
          <w:color w:val="auto"/>
        </w:rPr>
      </w:pPr>
      <w:r>
        <w:rPr>
          <w:rFonts w:ascii="Arial" w:cs="Arial" w:eastAsia="Arial" w:hAnsi="Arial"/>
          <w:sz w:val="18"/>
          <w:szCs w:val="18"/>
          <w:color w:val="auto"/>
        </w:rPr>
        <w:t>and lower taxes, partially offset by unfavorable currency translation, lower benefit plan non-service income and higher interest expense.</w:t>
      </w:r>
    </w:p>
    <w:p>
      <w:pPr>
        <w:spacing w:after="0" w:line="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We have provided reconciliations between our U.S.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0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2021 and discussed in the footnotes to our financial statements.</w:t>
      </w:r>
    </w:p>
    <w:p>
      <w:pPr>
        <w:spacing w:after="0" w:line="1" w:lineRule="exact"/>
        <w:rPr>
          <w:sz w:val="20"/>
          <w:szCs w:val="20"/>
          <w:color w:val="auto"/>
        </w:rPr>
      </w:pPr>
    </w:p>
    <w:p>
      <w:pPr>
        <w:jc w:val="both"/>
        <w:ind w:left="660" w:hanging="328"/>
        <w:spacing w:after="0" w:line="250"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first nine months of 2022. This is consistent with the latest findings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third annual </w:t>
      </w:r>
      <w:r>
        <w:rPr>
          <w:rFonts w:ascii="Arial" w:cs="Arial" w:eastAsia="Arial" w:hAnsi="Arial"/>
          <w:sz w:val="18"/>
          <w:szCs w:val="18"/>
          <w:i w:val="1"/>
          <w:iCs w:val="1"/>
          <w:color w:val="auto"/>
        </w:rPr>
        <w:t>State of Snacking</w:t>
      </w:r>
      <w:r>
        <w:rPr>
          <w:rFonts w:ascii="Arial" w:cs="Arial" w:eastAsia="Arial" w:hAnsi="Arial"/>
          <w:sz w:val="18"/>
          <w:szCs w:val="18"/>
          <w:color w:val="auto"/>
        </w:rPr>
        <w:t xml:space="preserve"> report, commissioned by Mondelēz International and issued in January 2022. The research report was conducted in conjunction with consumer poll specialist The Harris Poll and summarizes the findings from interviews with thousands of consumers across 12 countries. The report underscores the growth of snacking worldwide and how behavior, sentiment and routines surrounding food are being reshaped by factors such as the COVID-19 pandemic. Snacking, which was already increasing among consumers, continues to grow as we noted in our latest Annual Report on Form 10-K. Our outlook for future snacks revenue growth remains strong, but we anticipate some volatility in revenues while current events and conditions continue. As the COVID-19 pandemic, inflationary cost environment, war in Ukraine and related impacts continue, we could see shifts in consumer demand and in our sales and product mix that could have a negative impact on our results. We continue to monitor volatility across markets, including global consumer, energy and other commodity, transportation, labor, currency and capital markets. We expect greater inflation, including input cost volatility and a higher aggregate cost environment to continue in 2022, as the war in Ukraine, the pandemic, supply chain disruptions (affecting the availability of raw materials, packaging, transportation and other costs), rising energy costs, labor shortages, adverse weather events and conditions and other factors are expected to continue. Although we hedge to mitigate exposures to commodity and other input cost increases, we cannot fully hedge against all cost increases and changes in costs, and our hedging strategies may not protect us from increases in specific raw materials or other costs</w:t>
      </w:r>
      <w:r>
        <w:rPr>
          <w:rFonts w:ascii="Arial" w:cs="Arial" w:eastAsia="Arial" w:hAnsi="Arial"/>
          <w:sz w:val="18"/>
          <w:szCs w:val="18"/>
          <w:i w:val="1"/>
          <w:iCs w:val="1"/>
          <w:color w:val="auto"/>
        </w:rPr>
        <w:t>.</w:t>
      </w:r>
      <w:r>
        <w:rPr>
          <w:rFonts w:ascii="Arial" w:cs="Arial" w:eastAsia="Arial" w:hAnsi="Arial"/>
          <w:sz w:val="18"/>
          <w:szCs w:val="18"/>
          <w:color w:val="auto"/>
        </w:rPr>
        <w:t xml:space="preserve"> Refer also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and Item 3, </w:t>
      </w:r>
      <w:r>
        <w:rPr>
          <w:rFonts w:ascii="Arial" w:cs="Arial" w:eastAsia="Arial" w:hAnsi="Arial"/>
          <w:sz w:val="18"/>
          <w:szCs w:val="18"/>
          <w:i w:val="1"/>
          <w:iCs w:val="1"/>
          <w:color w:val="auto"/>
        </w:rPr>
        <w:t>Quantitative and Qualitative Disclosures about Market Risk.</w:t>
      </w:r>
    </w:p>
    <w:p>
      <w:pPr>
        <w:spacing w:after="0" w:line="6" w:lineRule="exact"/>
        <w:rPr>
          <w:rFonts w:ascii="Arial" w:cs="Arial" w:eastAsia="Arial" w:hAnsi="Arial"/>
          <w:sz w:val="18"/>
          <w:szCs w:val="18"/>
          <w:i w:val="1"/>
          <w:iCs w:val="1"/>
          <w:color w:val="auto"/>
        </w:rPr>
      </w:pPr>
    </w:p>
    <w:p>
      <w:pPr>
        <w:jc w:val="both"/>
        <w:ind w:left="660" w:hanging="328"/>
        <w:spacing w:after="0" w:line="25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War in Ukraine</w:t>
      </w:r>
      <w:r>
        <w:rPr>
          <w:rFonts w:ascii="Arial" w:cs="Arial" w:eastAsia="Arial" w:hAnsi="Arial"/>
          <w:sz w:val="18"/>
          <w:szCs w:val="18"/>
          <w:color w:val="auto"/>
        </w:rPr>
        <w:t>. We expect to experience heightened volatility and higher costs in international supply chains and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energy and other commodities, currencies and capital markets) in connection with the war in Ukraine with related negative impacts to our operating results that we cannot fully predict with certainty. We also expect increased inflationary pressures that will adversely impact our operating costs, particularly as the war continues. Demand for our products may also be negatively impacted, particularly in those markets closest to Ukraine or other markets that are more vulnerable to consumer price increases. We have expanded operations in other European facilities and are adapting to continue supplying the majority of our Ukraine business's customers and consumers across Europe. We continue to take action and evaluate additional ways to mitigate risks, including executing business continuity plans to cover products produced in Ukraine and taking actions to adjust product offerings, package sizes and pricing to help address rising costs. In addition, while our business in Russia has continued to perform well in 2022, we may experience negative impacts to our business in the future due to the war in Ukraine, including challenges to supply products as a result of sanctions or other supply chain challenges, reductions in consumer demand or local government actions that negatively impact our business. Our continued operating presence in Russia may result in negative publicity or consumer actions against our brands, which may have negative impacts on our business. We may also experience increased cyber attacks from state sponsored threat actors with ransomware or other type of malware attacks due to a heightened level of malicious cyber activity as a result of the war in Ukraine. While we are working to mitigate negative effects on our business, we may not be able to fully predict or respond to all of the direct or indirect impacts on our business on a timely basis to prevent adverse impacts to our results. We also continue to monitor the situation in Russia and any risks to our employees, operations or assets. Any ongoing or new developments in the war could have a material negative effect on our business and results in the future.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Clif Bar acquisition</w:t>
      </w:r>
      <w:r>
        <w:rPr>
          <w:rFonts w:ascii="Arial" w:cs="Arial" w:eastAsia="Arial" w:hAnsi="Arial"/>
          <w:sz w:val="18"/>
          <w:szCs w:val="18"/>
          <w:color w:val="auto"/>
        </w:rPr>
        <w:t>. On August 1, 2022, we completed our acquisition of Clif Bar for approximately $2.9 billion. The acquisition of Clif</w:t>
      </w:r>
      <w:r>
        <w:rPr>
          <w:rFonts w:ascii="Arial" w:cs="Arial" w:eastAsia="Arial" w:hAnsi="Arial"/>
          <w:sz w:val="18"/>
          <w:szCs w:val="18"/>
          <w:i w:val="1"/>
          <w:iCs w:val="1"/>
          <w:color w:val="auto"/>
        </w:rPr>
        <w:t xml:space="preserve"> </w:t>
      </w:r>
      <w:r>
        <w:rPr>
          <w:rFonts w:ascii="Arial" w:cs="Arial" w:eastAsia="Arial" w:hAnsi="Arial"/>
          <w:sz w:val="18"/>
          <w:szCs w:val="18"/>
          <w:color w:val="auto"/>
        </w:rPr>
        <w:t>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In connection with this acquisition, we expect to generate a meaningful cash tax benefit over time from the amortization of acquisition-related intangibles. Refer to Note 2, Acquisitions and Divestitures, and Liquidity and Capital Resources for additional details.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Ricolino acquisition. </w:t>
      </w:r>
      <w:r>
        <w:rPr>
          <w:rFonts w:ascii="Arial" w:cs="Arial" w:eastAsia="Arial" w:hAnsi="Arial"/>
          <w:sz w:val="18"/>
          <w:szCs w:val="18"/>
          <w:color w:val="auto"/>
        </w:rPr>
        <w:t>On November 1, 2022, we completed our acquisition of Ricolino, a confectionery business located primarily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Mexico, for a purchase price of approximately $1.3 billion.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for additional details.</w:t>
      </w:r>
    </w:p>
    <w:p>
      <w:pPr>
        <w:spacing w:after="0" w:line="1" w:lineRule="exact"/>
        <w:rPr>
          <w:rFonts w:ascii="Arial" w:cs="Arial" w:eastAsia="Arial" w:hAnsi="Arial"/>
          <w:sz w:val="18"/>
          <w:szCs w:val="18"/>
          <w:i w:val="1"/>
          <w:iCs w:val="1"/>
          <w:color w:val="auto"/>
        </w:rPr>
      </w:pPr>
    </w:p>
    <w:p>
      <w:pPr>
        <w:ind w:left="660" w:hanging="328"/>
        <w:spacing w:after="0" w:line="24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Planned Divestiture of our developed market gum and global Halls businesses. </w:t>
      </w:r>
      <w:r>
        <w:rPr>
          <w:rFonts w:ascii="Arial" w:cs="Arial" w:eastAsia="Arial" w:hAnsi="Arial"/>
          <w:sz w:val="18"/>
          <w:szCs w:val="18"/>
          <w:color w:val="auto"/>
        </w:rPr>
        <w:t>In May 2022, we announced our intention to divest</w:t>
      </w:r>
      <w:r>
        <w:rPr>
          <w:rFonts w:ascii="Arial" w:cs="Arial" w:eastAsia="Arial" w:hAnsi="Arial"/>
          <w:sz w:val="18"/>
          <w:szCs w:val="18"/>
          <w:i w:val="1"/>
          <w:iCs w:val="1"/>
          <w:color w:val="auto"/>
        </w:rPr>
        <w:t xml:space="preserve"> </w:t>
      </w:r>
      <w:r>
        <w:rPr>
          <w:rFonts w:ascii="Arial" w:cs="Arial" w:eastAsia="Arial" w:hAnsi="Arial"/>
          <w:sz w:val="18"/>
          <w:szCs w:val="18"/>
          <w:color w:val="auto"/>
        </w:rPr>
        <w:t>these businesses and in the third quarter of 2022, we began to seek potential buyers for these businesses.</w:t>
      </w:r>
    </w:p>
    <w:p>
      <w:pPr>
        <w:spacing w:after="0" w:line="1" w:lineRule="exact"/>
        <w:rPr>
          <w:rFonts w:ascii="Arial" w:cs="Arial" w:eastAsia="Arial" w:hAnsi="Arial"/>
          <w:sz w:val="18"/>
          <w:szCs w:val="18"/>
          <w:color w:val="auto"/>
        </w:rPr>
      </w:pPr>
    </w:p>
    <w:p>
      <w:pPr>
        <w:jc w:val="both"/>
        <w:ind w:left="660" w:hanging="328"/>
        <w:spacing w:after="0" w:line="233" w:lineRule="auto"/>
        <w:tabs>
          <w:tab w:leader="none" w:pos="653" w:val="left"/>
        </w:tabs>
        <w:numPr>
          <w:ilvl w:val="0"/>
          <w:numId w:val="19"/>
        </w:numPr>
        <w:rPr>
          <w:rFonts w:ascii="Calibri" w:cs="Calibri" w:eastAsia="Calibri" w:hAnsi="Calibri"/>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around the world. On August 16, 2022, the U.S. enacted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Reduction Act of 2022, which, among other things, implements a 15% minimum tax on book income of certain large corporations, a 1% excise tax on net stock repurchases and several tax incentives to promote clean energy. Based on our initial analysis of the provisions, we expect to meet the criteria of a large corporation but we do not believe this legislation will have a material impact on our consolidated financial statements; we will continue to evaluate it as additional guidance and clarification becomes available. In addition, the Organization of Economic Cooperation and Development (OECD) continues to work toward agreement regarding model rules for a global minimum tax. This could have a material effect on us if enacted.</w:t>
      </w:r>
    </w:p>
    <w:p>
      <w:pPr>
        <w:spacing w:after="0" w:line="1" w:lineRule="exact"/>
        <w:rPr>
          <w:rFonts w:ascii="Calibri" w:cs="Calibri" w:eastAsia="Calibri" w:hAnsi="Calibri"/>
          <w:sz w:val="20"/>
          <w:szCs w:val="20"/>
          <w:color w:val="auto"/>
        </w:rPr>
      </w:pPr>
    </w:p>
    <w:p>
      <w:pPr>
        <w:jc w:val="both"/>
        <w:ind w:left="660" w:hanging="328"/>
        <w:spacing w:after="0" w:line="216" w:lineRule="exact"/>
        <w:tabs>
          <w:tab w:leader="none" w:pos="65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rkiye, Argentina and currency volatility</w:t>
      </w:r>
      <w:r>
        <w:rPr>
          <w:rFonts w:ascii="Arial" w:cs="Arial" w:eastAsia="Arial" w:hAnsi="Arial"/>
          <w:sz w:val="17"/>
          <w:szCs w:val="17"/>
          <w:color w:val="auto"/>
        </w:rPr>
        <w:t>. During 2022, currency exchange rate volatility increased, particularly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war in Ukraine, and we continue to monitor Ukraine and Russia and inflationary economic impacts there and in other countries. We discuss historical currency impacts in our </w:t>
      </w:r>
      <w:r>
        <w:rPr>
          <w:rFonts w:ascii="Arial" w:cs="Arial" w:eastAsia="Arial" w:hAnsi="Arial"/>
          <w:sz w:val="17"/>
          <w:szCs w:val="17"/>
          <w:i w:val="1"/>
          <w:iCs w:val="1"/>
          <w:color w:val="auto"/>
        </w:rPr>
        <w:t>Discussion and Analysis of Historical Results</w:t>
      </w:r>
      <w:r>
        <w:rPr>
          <w:rFonts w:ascii="Arial" w:cs="Arial" w:eastAsia="Arial" w:hAnsi="Arial"/>
          <w:sz w:val="17"/>
          <w:szCs w:val="17"/>
          <w:color w:val="auto"/>
        </w:rPr>
        <w:t xml:space="preserve">. As further discussed in Note 1,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 Currency Translation and Highly Inflationary Accounting, </w:t>
      </w:r>
      <w:r>
        <w:rPr>
          <w:rFonts w:ascii="Arial" w:cs="Arial" w:eastAsia="Arial" w:hAnsi="Arial"/>
          <w:sz w:val="17"/>
          <w:szCs w:val="17"/>
          <w:color w:val="auto"/>
        </w:rPr>
        <w:t>during the first quarter of 2022, we concluded that T</w:t>
      </w:r>
      <w:r>
        <w:rPr>
          <w:rFonts w:ascii="MS PGothic" w:cs="MS PGothic" w:eastAsia="MS PGothic" w:hAnsi="MS PGothic"/>
          <w:sz w:val="17"/>
          <w:szCs w:val="17"/>
          <w:color w:val="auto"/>
        </w:rPr>
        <w:t>✔</w:t>
      </w:r>
      <w:r>
        <w:rPr>
          <w:rFonts w:ascii="Arial" w:cs="Arial" w:eastAsia="Arial" w:hAnsi="Arial"/>
          <w:sz w:val="17"/>
          <w:szCs w:val="17"/>
          <w:color w:val="auto"/>
        </w:rPr>
        <w:t>rkiye</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 highly inflationary economy for accounting purposes. As of April 1, 2022, we began to apply highly inflationary accounting for our subsidiaries operating in T</w:t>
      </w:r>
      <w:r>
        <w:rPr>
          <w:rFonts w:ascii="MS PGothic" w:cs="MS PGothic" w:eastAsia="MS PGothic" w:hAnsi="MS PGothic"/>
          <w:sz w:val="17"/>
          <w:szCs w:val="17"/>
          <w:color w:val="auto"/>
        </w:rPr>
        <w:t>✔</w:t>
      </w:r>
      <w:r>
        <w:rPr>
          <w:rFonts w:ascii="Arial" w:cs="Arial" w:eastAsia="Arial" w:hAnsi="Arial"/>
          <w:sz w:val="17"/>
          <w:szCs w:val="17"/>
          <w:color w:val="auto"/>
        </w:rPr>
        <w:t>rkiye and changed their functional currency from the Turkish lira to the U.S. dollar. Our operations in T</w:t>
      </w:r>
      <w:r>
        <w:rPr>
          <w:rFonts w:ascii="MS PGothic" w:cs="MS PGothic" w:eastAsia="MS PGothic" w:hAnsi="MS PGothic"/>
          <w:sz w:val="17"/>
          <w:szCs w:val="17"/>
          <w:color w:val="auto"/>
        </w:rPr>
        <w:t>✔</w:t>
      </w:r>
      <w:r>
        <w:rPr>
          <w:rFonts w:ascii="Arial" w:cs="Arial" w:eastAsia="Arial" w:hAnsi="Arial"/>
          <w:sz w:val="17"/>
          <w:szCs w:val="17"/>
          <w:color w:val="auto"/>
        </w:rPr>
        <w:t>rkiye contributed $141 million or 0.6% of our condensed consolidated net revenues in the nine months ended September 30, 2022. Within selling, general and administrative expenses, we recorded a remeasurement gain of $1 million during the three months and nine months ended September 30, 2022 related to the revaluation of the Turkish lira denominated net monetary position. We also continue to apply highly inflationary accounting for our Argentinean subsidiaries. We recorded a remeasurement gain of $1 million during the three months and $1 million during the nine months ended September 30, 2022 within selling, general and administrative expenses related to the revaluation of our Argentinean peso denominated net monetary position. The mix of monetary assets and liabilities and the exchange rate to convert Turkish lira and Argentinean pesos to U.S. dollars could change over time, so it is difficult to predict the overall impact of T</w:t>
      </w:r>
      <w:r>
        <w:rPr>
          <w:rFonts w:ascii="MS PGothic" w:cs="MS PGothic" w:eastAsia="MS PGothic" w:hAnsi="MS PGothic"/>
          <w:sz w:val="17"/>
          <w:szCs w:val="17"/>
          <w:color w:val="auto"/>
        </w:rPr>
        <w:t>✔</w:t>
      </w:r>
      <w:r>
        <w:rPr>
          <w:rFonts w:ascii="Arial" w:cs="Arial" w:eastAsia="Arial" w:hAnsi="Arial"/>
          <w:sz w:val="17"/>
          <w:szCs w:val="17"/>
          <w:color w:val="auto"/>
        </w:rPr>
        <w:t>rkiye and Argentina highly inflationary accounting on future net earnings.</w:t>
      </w:r>
    </w:p>
    <w:p>
      <w:pPr>
        <w:spacing w:after="0" w:line="2" w:lineRule="exact"/>
        <w:rPr>
          <w:rFonts w:ascii="Arial" w:cs="Arial" w:eastAsia="Arial" w:hAnsi="Arial"/>
          <w:sz w:val="17"/>
          <w:szCs w:val="17"/>
          <w:i w:val="1"/>
          <w:iCs w:val="1"/>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U.K. advertising and promotion ban. </w:t>
      </w:r>
      <w:r>
        <w:rPr>
          <w:rFonts w:ascii="Arial" w:cs="Arial" w:eastAsia="Arial" w:hAnsi="Arial"/>
          <w:sz w:val="18"/>
          <w:szCs w:val="18"/>
          <w:color w:val="auto"/>
        </w:rPr>
        <w:t>In the United Kingdom, a ban on specific types of TV, online advertising and certain promotions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food containing levels of fat, sugar or salt above specified thresholds is expected to go into effect in 2024, and new measures restricting in-store placement of some of those products went into effect in October 2022. Although we are unable to estimate precisely the impact of the restrictions, they could significantly negatively affect our U.K. results of operations in 2022 and thereafter. In the nine months ended September 30, 2022, we generated 7.9% of our consolidated net revenues in the U.K.</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Global cybersecurity risks continue to increase and we continue to be on heightened alert and dedicate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to network security, backup and disaster recovery and to provide ongoing workforce training and employ security measures to protect our systems and data. We also continue to monitor threats in our environment, including but not limited to the manufacturing environment and operational technologies, as well as adjusting information security controls based on updated threats. While we have taken security measures to protect our systems and data, security measures cannot provide absolute certainty or guarantee that we will be successful in preventing or responding to every breach or disruption on a timely basis.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See Note</w:t>
            </w:r>
          </w:p>
        </w:tc>
        <w:tc>
          <w:tcPr>
            <w:tcW w:w="1120" w:type="dxa"/>
            <w:vAlign w:val="bottom"/>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(in millions, except percentages)</w:t>
            </w: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Implementation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5</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(101)</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9</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Acquisition and divestiture-related costs:</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Acquisition integration costs and</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5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80"/>
              <w:spacing w:after="0" w:line="216" w:lineRule="exact"/>
              <w:rPr>
                <w:sz w:val="20"/>
                <w:szCs w:val="20"/>
                <w:color w:val="auto"/>
              </w:rPr>
            </w:pPr>
            <w:r>
              <w:rPr>
                <w:rFonts w:ascii="Arial" w:cs="Arial" w:eastAsia="Arial" w:hAnsi="Arial"/>
                <w:sz w:val="16"/>
                <w:szCs w:val="16"/>
                <w:color w:val="auto"/>
              </w:rPr>
              <w:t xml:space="preserve">contingent consideration adjustments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6"/>
                <w:szCs w:val="16"/>
                <w:color w:val="auto"/>
              </w:rPr>
              <w:t>Inventory step-up</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costs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(318)</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700" w:type="dxa"/>
            <w:vAlign w:val="bottom"/>
          </w:tcPr>
          <w:p>
            <w:pPr>
              <w:ind w:left="140"/>
              <w:spacing w:after="0"/>
              <w:rPr>
                <w:sz w:val="20"/>
                <w:szCs w:val="20"/>
                <w:color w:val="auto"/>
              </w:rPr>
            </w:pPr>
            <w:r>
              <w:rPr>
                <w:rFonts w:ascii="Arial" w:cs="Arial" w:eastAsia="Arial" w:hAnsi="Arial"/>
                <w:sz w:val="16"/>
                <w:szCs w:val="16"/>
                <w:color w:val="auto"/>
              </w:rPr>
              <w:t>Gain on acquisition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Divestiture-related costs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Incremental costs due to war in Ukraine </w:t>
            </w:r>
            <w:r>
              <w:rPr>
                <w:rFonts w:ascii="Arial" w:cs="Arial" w:eastAsia="Arial" w:hAnsi="Arial"/>
                <w:sz w:val="21"/>
                <w:szCs w:val="21"/>
                <w:b w:val="1"/>
                <w:bCs w:val="1"/>
                <w:color w:val="auto"/>
                <w:vertAlign w:val="superscript"/>
              </w:rPr>
              <w:t>(2)</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1</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(121)</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26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1</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color w:val="auto"/>
              </w:rPr>
              <w:t>Note 10</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resolution of tax matters </w:t>
            </w:r>
            <w:r>
              <w:rPr>
                <w:rFonts w:ascii="Arial" w:cs="Arial" w:eastAsia="Arial" w:hAnsi="Arial"/>
                <w:sz w:val="21"/>
                <w:szCs w:val="21"/>
                <w:b w:val="1"/>
                <w:bCs w:val="1"/>
                <w:color w:val="auto"/>
                <w:vertAlign w:val="superscript"/>
              </w:rPr>
              <w:t>(1)</w:t>
            </w:r>
          </w:p>
        </w:tc>
        <w:tc>
          <w:tcPr>
            <w:tcW w:w="12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rPr>
              <w:t>Note 12</w:t>
            </w:r>
          </w:p>
        </w:tc>
        <w:tc>
          <w:tcPr>
            <w:tcW w:w="11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Loss on debt extinguishment and related expenses</w:t>
            </w:r>
          </w:p>
        </w:tc>
        <w:tc>
          <w:tcPr>
            <w:tcW w:w="1260" w:type="dxa"/>
            <w:vAlign w:val="bottom"/>
            <w:gridSpan w:val="3"/>
          </w:tcPr>
          <w:p>
            <w:pPr>
              <w:jc w:val="center"/>
              <w:ind w:right="340"/>
              <w:spacing w:after="0"/>
              <w:rPr>
                <w:sz w:val="20"/>
                <w:szCs w:val="20"/>
                <w:color w:val="auto"/>
              </w:rPr>
            </w:pPr>
            <w:r>
              <w:rPr>
                <w:rFonts w:ascii="Arial" w:cs="Arial" w:eastAsia="Arial" w:hAnsi="Arial"/>
                <w:sz w:val="16"/>
                <w:szCs w:val="16"/>
                <w:color w:val="auto"/>
              </w:rPr>
              <w:t>Note 8</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(129)</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2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rPr>
              <w:t>Note 14</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2"/>
        </w:trPr>
        <w:tc>
          <w:tcPr>
            <w:tcW w:w="47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(Loss)/gain on equity method investment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1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6"/>
        </w:trPr>
        <w:tc>
          <w:tcPr>
            <w:tcW w:w="4700" w:type="dxa"/>
            <w:vAlign w:val="bottom"/>
          </w:tcPr>
          <w:p>
            <w:pPr>
              <w:ind w:left="160"/>
              <w:spacing w:after="0" w:line="216" w:lineRule="exact"/>
              <w:rPr>
                <w:sz w:val="20"/>
                <w:szCs w:val="20"/>
                <w:color w:val="auto"/>
              </w:rPr>
            </w:pPr>
            <w:r>
              <w:rPr>
                <w:rFonts w:ascii="Arial" w:cs="Arial" w:eastAsia="Arial" w:hAnsi="Arial"/>
                <w:sz w:val="16"/>
                <w:szCs w:val="16"/>
                <w:b w:val="1"/>
                <w:bCs w:val="1"/>
                <w:color w:val="auto"/>
              </w:rPr>
              <w:t xml:space="preserve">transactions </w:t>
            </w:r>
            <w:r>
              <w:rPr>
                <w:rFonts w:ascii="Arial" w:cs="Arial" w:eastAsia="Arial" w:hAnsi="Arial"/>
                <w:sz w:val="21"/>
                <w:szCs w:val="21"/>
                <w:b w:val="1"/>
                <w:bCs w:val="1"/>
                <w:color w:val="auto"/>
                <w:vertAlign w:val="superscript"/>
              </w:rPr>
              <w:t>(3)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Equity method investee items </w:t>
            </w:r>
            <w:r>
              <w:rPr>
                <w:rFonts w:ascii="Arial" w:cs="Arial" w:eastAsia="Arial" w:hAnsi="Arial"/>
                <w:sz w:val="21"/>
                <w:szCs w:val="21"/>
                <w:b w:val="1"/>
                <w:bCs w:val="1"/>
                <w:color w:val="auto"/>
                <w:vertAlign w:val="superscript"/>
              </w:rPr>
              <w:t>(4)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color w:val="auto"/>
              </w:rPr>
              <w:t>Note 14</w:t>
            </w:r>
          </w:p>
        </w:tc>
        <w:tc>
          <w:tcPr>
            <w:tcW w:w="1120" w:type="dxa"/>
            <w:vAlign w:val="bottom"/>
          </w:tcPr>
          <w:p>
            <w:pPr>
              <w:jc w:val="right"/>
              <w:spacing w:after="0"/>
              <w:rPr>
                <w:sz w:val="20"/>
                <w:szCs w:val="20"/>
                <w:color w:val="auto"/>
              </w:rPr>
            </w:pPr>
            <w:r>
              <w:rPr>
                <w:rFonts w:ascii="Arial" w:cs="Arial" w:eastAsia="Arial" w:hAnsi="Arial"/>
                <w:sz w:val="16"/>
                <w:szCs w:val="16"/>
                <w:color w:val="auto"/>
              </w:rPr>
              <w:t>28.8 %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24.2 %</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340" w:hanging="332"/>
        <w:spacing w:after="0" w:line="268"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gain on equity method investment transactions on our condensed consolidated statement of earnings.</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Presentation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(Loss)/gain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hanging="332"/>
        <w:spacing w:after="0" w:line="26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7,763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vMerge w:val="restart"/>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vMerge w:val="restart"/>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0.39</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$581 million (8.1%) to $7,763 million in the third quarter of 2022, and Organic Net Revenue</w:t>
      </w:r>
    </w:p>
    <w:p>
      <w:pPr>
        <w:spacing w:after="0" w:line="27" w:lineRule="exact"/>
        <w:rPr>
          <w:sz w:val="20"/>
          <w:szCs w:val="20"/>
          <w:color w:val="auto"/>
        </w:rPr>
      </w:pPr>
    </w:p>
    <w:p>
      <w:pPr>
        <w:jc w:val="both"/>
        <w:ind w:firstLine="8"/>
        <w:spacing w:after="0" w:line="250" w:lineRule="auto"/>
        <w:tabs>
          <w:tab w:leader="none" w:pos="193" w:val="left"/>
        </w:tabs>
        <w:numPr>
          <w:ilvl w:val="0"/>
          <w:numId w:val="21"/>
        </w:numPr>
        <w:rPr>
          <w:rFonts w:ascii="Arial" w:cs="Arial" w:eastAsia="Arial" w:hAnsi="Arial"/>
          <w:sz w:val="11"/>
          <w:szCs w:val="11"/>
          <w:color w:val="auto"/>
        </w:rPr>
      </w:pPr>
      <w:r>
        <w:rPr>
          <w:rFonts w:ascii="Arial" w:cs="Arial" w:eastAsia="Arial" w:hAnsi="Arial"/>
          <w:sz w:val="18"/>
          <w:szCs w:val="18"/>
          <w:color w:val="auto"/>
        </w:rPr>
        <w:t xml:space="preserve">increased $863 million (12.1%) to $8,018 million. Developed markets net revenues increased 1.5% and developed markets Organic Net Revenue increased 5.2% </w:t>
      </w:r>
      <w:r>
        <w:rPr>
          <w:rFonts w:ascii="Arial" w:cs="Arial" w:eastAsia="Arial" w:hAnsi="Arial"/>
          <w:sz w:val="10"/>
          <w:szCs w:val="10"/>
          <w:color w:val="auto"/>
        </w:rPr>
        <w:t>(1)</w:t>
      </w:r>
      <w:r>
        <w:rPr>
          <w:rFonts w:ascii="Arial" w:cs="Arial" w:eastAsia="Arial" w:hAnsi="Arial"/>
          <w:sz w:val="18"/>
          <w:szCs w:val="18"/>
          <w:color w:val="auto"/>
        </w:rPr>
        <w:t>. Emerging markets net revenues increased 19.7% and emerging markets Organic Net Revenue increased</w:t>
      </w:r>
    </w:p>
    <w:p>
      <w:pPr>
        <w:spacing w:after="0"/>
        <w:rPr>
          <w:rFonts w:ascii="Arial" w:cs="Arial" w:eastAsia="Arial" w:hAnsi="Arial"/>
          <w:sz w:val="11"/>
          <w:szCs w:val="11"/>
          <w:color w:val="auto"/>
        </w:rPr>
      </w:pPr>
      <w:r>
        <w:rPr>
          <w:rFonts w:ascii="Arial" w:cs="Arial" w:eastAsia="Arial" w:hAnsi="Arial"/>
          <w:sz w:val="18"/>
          <w:szCs w:val="18"/>
          <w:color w:val="auto"/>
        </w:rPr>
        <w:t xml:space="preserve">24.4%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11"/>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29"/>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8.1 %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Remove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8.2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divestitures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pp</w:t>
            </w:r>
          </w:p>
        </w:tc>
      </w:tr>
      <w:tr>
        <w:trPr>
          <w:trHeight w:val="230"/>
        </w:trPr>
        <w:tc>
          <w:tcPr>
            <w:tcW w:w="9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(4.6)pp</w:t>
            </w:r>
          </w:p>
        </w:tc>
      </w:tr>
      <w:tr>
        <w:trPr>
          <w:trHeight w:val="223"/>
        </w:trPr>
        <w:tc>
          <w:tcPr>
            <w:tcW w:w="9600" w:type="dxa"/>
            <w:vAlign w:val="bottom"/>
            <w:shd w:val="clear" w:color="auto" w:fill="CCEEFF"/>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12.1 %</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11.4 pp</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8.1% was driven by our underlying Organic Net Revenue growth of 12.1% and the impact of acquisitions, partially offset by unfavorable currency translation and the impact of divestitures.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the first nine months of 2022. Favorable volume/mix was driven primarily by volume gains in Latin America and AMEA, partially offset by volume declines in Europe, due to disruptions caused by pricing negotiations, and North America. The August 1, 2022 acquisition of Clif Bar added incremental net revenues of $158 million (constant currency basis) and the January 3, 2022 acquisition of Chipita added incremental net revenues of $176 million (constant currency basis). Unfavorable currency impacts decreased net revenues by $590 million, due primarily to the strength of the U.S. dollar relative to most currencies, including the euro, British pound sterling, Turkish lira, Argentinean peso, Indian rupee, Chinese yuan, Australian dollar and Polish zloty, partially offset by the strength of a few currencies relative to the U.S. dollar, primarily the Russian ruble. The impact of divestitures resulted in a year-over-year reduction in net revenues of $26 million. Refer to Note 2, </w:t>
      </w: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for additional information.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$615 million (47.5%) to $679 million in the third quarter of 2022.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$23 million (1.9%) to $1,253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$118 million (9.6%) to $1,348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4"/>
                <w:szCs w:val="14"/>
                <w:color w:val="auto"/>
              </w:rPr>
            </w:pPr>
          </w:p>
        </w:tc>
        <w:tc>
          <w:tcPr>
            <w:tcW w:w="15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1,230</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Three Months Ended September 30, 2021</w:t>
            </w:r>
          </w:p>
        </w:tc>
        <w:tc>
          <w:tcPr>
            <w:tcW w:w="2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9.6 %</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156"/>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September 30, 2022</w:t>
            </w:r>
          </w:p>
        </w:tc>
        <w:tc>
          <w:tcPr>
            <w:tcW w:w="2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 (8)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jc w:val="both"/>
        <w:ind w:left="340" w:hanging="332"/>
        <w:spacing w:after="0" w:line="254"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August 1, 2022 acquisition of Clif Bar,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20" w:hanging="332"/>
        <w:spacing w:after="0" w:line="169" w:lineRule="exact"/>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spacing w:after="0" w:line="169"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Divestiture-related costs includes costs incurred associated with our publicly-announced processes to divest our developed markets gum and global </w:t>
      </w:r>
      <w:r>
        <w:rPr>
          <w:rFonts w:ascii="Arial" w:cs="Arial" w:eastAsia="Arial" w:hAnsi="Arial"/>
          <w:sz w:val="14"/>
          <w:szCs w:val="14"/>
          <w:i w:val="1"/>
          <w:iCs w:val="1"/>
          <w:color w:val="auto"/>
        </w:rPr>
        <w:t>Halls</w:t>
      </w:r>
      <w:r>
        <w:rPr>
          <w:rFonts w:ascii="Arial" w:cs="Arial" w:eastAsia="Arial" w:hAnsi="Arial"/>
          <w:sz w:val="14"/>
          <w:szCs w:val="14"/>
          <w:color w:val="auto"/>
        </w:rPr>
        <w:t xml:space="preserve"> businesses.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2022, we realized higher net pricing, which was partially offset by increased input costs and unfavorable volume/mix. Higher net pricing, which included the carryover impact of pricing actions taken in the second half of 2021 as well as the effects of input cost-driven pricing actions taken during the first nine months of 2022, was reflected across all regions. The increase in input costs was driven by higher raw material costs as well as increased manufacturing costs. Higher raw material costs were in part due to higher dairy, packaging, edible oils, grains, energy, sugar, nuts and other ingredients costs as well as unfavorable year-over-year currency exchange transaction costs on imported materials, partially offset by lower cocoa costs. Unfavorable volume/mix was driven by Europe, due to disruptions caused by pricing negotiations, and North America, partially offset by favorable volume/mix in AMEA and Latin America.</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increased $448 million from the third quarter of 2021, due to a number of factors noted in the table above, including in part, acquisition-related costs incurred in 2022, the impact of acquisitions, higher acquisition integration costs and contingent consideration adjustments, higher remeasurement of net monetary position, divestiture-related costs incurred in 2022 and higher implementation costs incurred for the Simplify to Grow Program, which were partially offset by a favorable currency impact related to expenses, and a decrease of allowance and other cost reserves associated with incremental costs due to the war in Ukraine. Excluding these factors, selling, general and administrative expenses increased $ 154 million from the third quarter of 2021. The increase was driven primarily by higher overhead costs in part due to increased investments in route-to-market capabilities and higher advertising and consumer promotion costs.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Unfavorable currency changes decreased operating income by $ 95 million due primarily to the strength of the U.S. dollar relative to most currencies, including the euro, British pound sterling, Turkish lira, Indian rupee, Argentinean peso and Chinese yuan, partially offset by the strength of a few currencies relative to the U.S. dollar, primarily the Russian ruble.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decreased from 18.0% in the third quarter of 2021 to 8.7% in the third quarter of 2022. The decrease was driven primarily by unfavorable year-over-year change in mark-to-market gains/(losses) from currency and commodity hedging activities, acquisition-related costs incurred in 2022, lower Adjusted Operating Income margin, higher acquisition integration costs and contingent consideration adjustments, intangible asset impairment charge incurred in 2022, inventory step-up charge incurred in 2022 and higher remeasurement of net monetary position, partially offset by lower Simplify to Grow program costs. Adjusted Operating Income margin decreased from 17.2% for the third quarter of 2021 to 16.1% for the third quarter of 2022. The decrease was driven primarily by higher raw material costs and unfavorable product mix, partially offset by higher net pricing and overhead cost leverage.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$ 532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$726 million (57.7%) in the third quarter of 2022. Diluted EPS attributable to Mondelēz International was $0.39 in the third quarter of 2022, down $0.50 (56.2%) from the third quarter of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$0.74 in the third quarter of 2022, up $0.04 (5.7%) from the third quarter of 2021.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$0.81 in the third quarter of 2022, up $0.11 (15.7%) from the third quarter of 2021.</w:t>
      </w:r>
    </w:p>
    <w:p>
      <w:pPr>
        <w:sectPr>
          <w:pgSz w:w="11900" w:h="16838" w:orient="portrait"/>
          <w:cols w:equalWidth="0" w:num="1">
            <w:col w:w="11240"/>
          </w:cols>
          <w:pgMar w:left="320" w:top="364" w:right="339" w:bottom="1440" w:gutter="0" w:footer="0" w:header="0"/>
        </w:sectPr>
      </w:pPr>
    </w:p>
    <w:p>
      <w:pPr>
        <w:spacing w:after="0" w:line="368"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September 30, 2021</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8"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31"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8"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(3)</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Increase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p>
      <w:pPr>
        <w:ind w:left="800"/>
        <w:spacing w:after="0" w:line="215"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Unfavorable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2022</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9"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ind w:left="800"/>
        <w:spacing w:after="0" w:line="230"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9"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Inventory step-up </w:t>
      </w:r>
      <w:r>
        <w:rPr>
          <w:rFonts w:ascii="Arial" w:cs="Arial" w:eastAsia="Arial" w:hAnsi="Arial"/>
          <w:sz w:val="21"/>
          <w:szCs w:val="21"/>
          <w:color w:val="auto"/>
          <w:vertAlign w:val="superscript"/>
        </w:rPr>
        <w:t>(2)</w:t>
      </w:r>
    </w:p>
    <w:p>
      <w:pPr>
        <w:ind w:left="800"/>
        <w:spacing w:after="0" w:line="230" w:lineRule="auto"/>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Three Months Ended September 30, 2022</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33" w:lineRule="exact"/>
        <w:rPr>
          <w:sz w:val="20"/>
          <w:szCs w:val="20"/>
          <w:color w:val="auto"/>
        </w:rPr>
      </w:pPr>
    </w:p>
    <w:p>
      <w:pPr>
        <w:ind w:left="1040" w:hanging="1034"/>
        <w:spacing w:after="0"/>
        <w:tabs>
          <w:tab w:leader="none" w:pos="10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0.89</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(0.13)</w:t>
      </w:r>
    </w:p>
    <w:p>
      <w:pPr>
        <w:spacing w:after="0" w:line="46" w:lineRule="exact"/>
        <w:rPr>
          <w:sz w:val="20"/>
          <w:szCs w:val="20"/>
          <w:color w:val="auto"/>
        </w:rPr>
      </w:pPr>
    </w:p>
    <w:p>
      <w:pPr>
        <w:ind w:left="1040" w:hanging="1034"/>
        <w:spacing w:after="0"/>
        <w:tabs>
          <w:tab w:leader="none" w:pos="104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0.70</w:t>
      </w:r>
    </w:p>
    <w:p>
      <w:pPr>
        <w:spacing w:after="0" w:line="38"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25"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(0.03)</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0.04</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6" w:lineRule="exact"/>
        <w:rPr>
          <w:sz w:val="20"/>
          <w:szCs w:val="20"/>
          <w:color w:val="auto"/>
        </w:rPr>
      </w:pPr>
    </w:p>
    <w:p>
      <w:pPr>
        <w:ind w:left="1040" w:hanging="1034"/>
        <w:spacing w:after="0"/>
        <w:tabs>
          <w:tab w:leader="none" w:pos="10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0.81</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917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9" w:lineRule="exact"/>
        <w:rPr>
          <w:sz w:val="20"/>
          <w:szCs w:val="20"/>
          <w:color w:val="auto"/>
        </w:rPr>
      </w:pPr>
    </w:p>
    <w:p>
      <w:pPr>
        <w:ind w:left="1040" w:hanging="1034"/>
        <w:spacing w:after="0"/>
        <w:tabs>
          <w:tab w:leader="none" w:pos="10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0.74</w:t>
      </w:r>
    </w:p>
    <w:p>
      <w:pPr>
        <w:spacing w:after="0" w:line="38"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(0.21)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167"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917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9060" w:space="720"/>
            <w:col w:w="1460"/>
          </w:cols>
          <w:pgMar w:left="320" w:top="364" w:right="339" w:bottom="1440" w:gutter="0" w:footer="0" w:header="0"/>
          <w:type w:val="continuous"/>
        </w:sect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gain/loss on equity method investment transactions.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right="20" w:hanging="332"/>
        <w:spacing w:after="0" w:line="284"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300"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22,801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2,700</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2,134</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5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1.54</w:t>
            </w:r>
          </w:p>
        </w:tc>
        <w:tc>
          <w:tcPr>
            <w:tcW w:w="4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$1,739 million (8.3%) to $22,801 million in the first nine months of 2022, and Organic Net Revenue</w:t>
      </w:r>
    </w:p>
    <w:p>
      <w:pPr>
        <w:spacing w:after="0" w:line="17" w:lineRule="exact"/>
        <w:rPr>
          <w:sz w:val="20"/>
          <w:szCs w:val="20"/>
          <w:color w:val="auto"/>
        </w:rPr>
      </w:pPr>
    </w:p>
    <w:p>
      <w:pPr>
        <w:jc w:val="both"/>
        <w:ind w:firstLine="8"/>
        <w:spacing w:after="0" w:line="230" w:lineRule="auto"/>
        <w:tabs>
          <w:tab w:leader="none" w:pos="175"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 xml:space="preserve">increased $2,342 million (11.2%) to $23,346 million. Developed markets net revenues increased 2.3% and developed markets Organic Net Revenue increased 5.7% </w:t>
      </w:r>
      <w:r>
        <w:rPr>
          <w:rFonts w:ascii="Arial" w:cs="Arial" w:eastAsia="Arial" w:hAnsi="Arial"/>
          <w:sz w:val="20"/>
          <w:szCs w:val="20"/>
          <w:color w:val="auto"/>
          <w:vertAlign w:val="superscript"/>
        </w:rPr>
        <w:t>(1)</w:t>
      </w:r>
      <w:r>
        <w:rPr>
          <w:rFonts w:ascii="Arial" w:cs="Arial" w:eastAsia="Arial" w:hAnsi="Arial"/>
          <w:sz w:val="16"/>
          <w:szCs w:val="16"/>
          <w:color w:val="auto"/>
        </w:rPr>
        <w:t>. Emerging markets net revenues increased 19.1% and emerging markets Organic Net Revenue increased</w:t>
      </w:r>
    </w:p>
    <w:p>
      <w:pPr>
        <w:spacing w:after="0" w:line="1"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11"/>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6.2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divestitures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r>
      <w:tr>
        <w:trPr>
          <w:trHeight w:val="229"/>
        </w:trPr>
        <w:tc>
          <w:tcPr>
            <w:tcW w:w="9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(3.5)pp</w:t>
            </w:r>
          </w:p>
        </w:tc>
      </w:tr>
      <w:tr>
        <w:trPr>
          <w:trHeight w:val="223"/>
        </w:trPr>
        <w:tc>
          <w:tcPr>
            <w:tcW w:w="9600" w:type="dxa"/>
            <w:vAlign w:val="bottom"/>
            <w:shd w:val="clear" w:color="auto" w:fill="CCEEFF"/>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11.2 %</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tcPr>
          <w:p>
            <w:pPr>
              <w:jc w:val="right"/>
              <w:spacing w:after="0"/>
              <w:rPr>
                <w:sz w:val="20"/>
                <w:szCs w:val="20"/>
                <w:color w:val="auto"/>
              </w:rPr>
            </w:pPr>
            <w:r>
              <w:rPr>
                <w:rFonts w:ascii="Arial" w:cs="Arial" w:eastAsia="Arial" w:hAnsi="Arial"/>
                <w:sz w:val="18"/>
                <w:szCs w:val="18"/>
                <w:color w:val="auto"/>
              </w:rPr>
              <w:t>8.1 pp</w:t>
            </w:r>
          </w:p>
        </w:tc>
      </w:tr>
      <w:tr>
        <w:trPr>
          <w:trHeight w:val="229"/>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pp</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8.3% was driven by our underlying Organic Net Revenue growth of 11.2% and the impact of acquisitions, partially offset by unfavorable currency translation and the impact of divestitures.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the first nine months of 2022. Favorable volume/mix was driven by AMEA, Latin America and Europe, primarily by strong volume gains across our snack category products, partially offset by unfavorable volume/mix in North America. The August 1, 2022 acquisition of Clif Bar added incremental net revenues of $158 million (constant currency basis), the January 3, 2022 acquisition of Chipita added incremental net revenues of $543 million (constant currency basis), the April 1, 2021 acquisition of Gourmet Food added incremental net revenues of $15 million (constant currency basis) and the March 25, 2021 acquisition of Grenade added incremental net revenues of $22 million (constant currency basis). Unfavorable currency impacts decreased net revenues by $1,305 million, due primarily to the strength of the U.S. dollar relative to most currencies, including the euro, British pound sterling, Turkish lira, Argentinean peso, Australian dollar, Indian rupee, Polish zloty and Swedish krona, partially offset by the strength of a few currencies relative to the U.S. dollar, including the Russian ruble and Brazilian real. The impact of divestitures resulted in a year-over-year reduction in net revenues of $36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$ 749 million (21.7%) to $2,700 million in the first nine months of 2022.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$133 million (3.7%) to $3,727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$382 million (10.6%) to $3,976 million due to the following:</w:t>
      </w:r>
    </w:p>
    <w:tbl>
      <w:tblPr>
        <w:tblLayout w:type="fixed"/>
        <w:tblInd w:w="0" w:type="dxa"/>
        <w:tblCellMar>
          <w:top w:w="0" w:type="dxa"/>
          <w:left w:w="0" w:type="dxa"/>
          <w:bottom w:w="0" w:type="dxa"/>
          <w:right w:w="0" w:type="dxa"/>
        </w:tblCellMar>
      </w:tblPr>
      <w:tr>
        <w:trPr>
          <w:trHeight w:val="153"/>
        </w:trPr>
        <w:tc>
          <w:tcPr>
            <w:tcW w:w="8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Gain from acquisition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3,594</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780"/>
              <w:spacing w:after="0"/>
              <w:rPr>
                <w:sz w:val="20"/>
                <w:szCs w:val="20"/>
                <w:color w:val="auto"/>
              </w:rPr>
            </w:pPr>
            <w:r>
              <w:rPr>
                <w:rFonts w:ascii="Arial" w:cs="Arial" w:eastAsia="Arial" w:hAnsi="Arial"/>
                <w:sz w:val="18"/>
                <w:szCs w:val="18"/>
                <w:b w:val="1"/>
                <w:bCs w:val="1"/>
                <w:color w:val="auto"/>
              </w:rPr>
              <w:t>Nine Months Ended September 30, 2021</w:t>
            </w: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color w:val="auto"/>
              </w:rPr>
              <w:t>Higher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Lower amortization of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Unfavorable currency translation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155"/>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3,727</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Nine Months Ended September 30, 2022</w:t>
            </w:r>
          </w:p>
        </w:tc>
        <w:tc>
          <w:tcPr>
            <w:tcW w:w="2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82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Note 16,</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jc w:val="both"/>
        <w:ind w:left="340" w:hanging="332"/>
        <w:spacing w:after="0" w:line="254"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August 1, 2022 acquisition of Clif Bar, the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20" w:hanging="332"/>
        <w:spacing w:after="0" w:line="176" w:lineRule="exact"/>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Divestiture-related costs includes costs incurred associated with our publicly-announced processes to divest our developed markets gum and global </w:t>
      </w:r>
      <w:r>
        <w:rPr>
          <w:rFonts w:ascii="Arial" w:cs="Arial" w:eastAsia="Arial" w:hAnsi="Arial"/>
          <w:sz w:val="14"/>
          <w:szCs w:val="14"/>
          <w:i w:val="1"/>
          <w:iCs w:val="1"/>
          <w:color w:val="auto"/>
        </w:rPr>
        <w:t>Halls</w:t>
      </w:r>
      <w:r>
        <w:rPr>
          <w:rFonts w:ascii="Arial" w:cs="Arial" w:eastAsia="Arial" w:hAnsi="Arial"/>
          <w:sz w:val="14"/>
          <w:szCs w:val="14"/>
          <w:color w:val="auto"/>
        </w:rPr>
        <w:t xml:space="preserve"> businesses.</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of 2022, we realized higher net pricing and favorable volume/mix, which was partially offset by increased input costs. Higher net pricing, which included the carryover impact of pricing actions taken in 2021 as well as the effects of input cost-driven pricing actions taken during the first nine months of 2022, was reflected in all regions. Favorable volume/mix was driven by AMEA, Latin America and Europe, which was partially offset by unfavorable volume/mix in North America. Overall volume/mix benefited from strong volume growth due to continued increased demand for our snack category products. The increase in input costs was driven by higher raw material costs as well as higher manufacturing costs. Higher raw material costs were in part due to higher packaging, dairy, edible oils, energy, grains, sugar, nuts and other ingredients costs, partially offset by lower cocoa costs and favorable year-over-year currency exchange transaction costs on imported materials.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increased $660 million from the first nine months of 2021, due to a number of factors noted in the table above, including in part, higher acquisition-related costs, higher acquisition integration costs, the impact of acquisitions, incremental costs due to the war in Ukraine, higher remeasurement of net monetary position, divestiture-related costs incurred in 2022 and lapping the prior-year favorable impact from the resolution of a tax matter, which were partially offset by a favorable currency impact related to expenses, lapping the prior-year unfavorable impact from pension participation changes and lower implementation costs incurred for the Simplify to Grow Program. Excluding these factors, selling, general and administrative expenses increased $358 million from the first nine months of 2021. The increase was driven primarily by higher advertising and consumer promotion costs and higher overheads in part due to increased investments in route-to-market capabilities.</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Unfavorable currency changes decreased operating income by $ 249 million due primarily to the strength of the U.S. dollar relative to most currencies, including the euro, British pound sterling, Turkish lira, Argentinian peso, Australian dollar, Indian rupee, Polish zloty and Swedish krona, partially offset by the strength of a few currencies relative to the U.S. dollar, including the Brazilian real.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decreased from 16.4% in the first nine months of 2021 to 11.8% in the first nine months of 2022. The decrease in operating income margin was driven primarily by the year-over-year unfavorable change in mark-to-market gains/(losses) from currency and commodity hedging activities, higher acquisition-related costs, higher acquisition integration costs, lower Adjusted Operating Income margin, incremental costs due to the war in Ukraine, higher intangible asset impairment charges, higher remeasurement of net monetary position, divestiture-related costs incurred in 2022 and inventory step-up charges incurred in 2022, partially offset by lower costs for the Simplify to Grow Program and lapping the prior-year unfavorable impact from pension participation changes. Adjusted Operating Income margin decreased from 17.1% for the first nine months of 2021 to 16.4% for the first nine months of 2022. The decrease was driven primarily by higher raw material costs and unfavorable product mix, partially offset by higher net pricing and overhead cost leverage.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$2,134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$1,163 million (35.3%) in the first nine months of 2022. Diluted EPS attributable to Mondelēz International was $1.54 in the first nine months of 2022, down $0.79 (33.9%) from the first nine months of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$2.22 in the first nine months of 2022, up $0.08 (3.7%) from the first nine months of 2021.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$2.41 in the first nine months of 2022, up $0.27 (12.6%) from the first nine months of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35"/>
        </w:trPr>
        <w:tc>
          <w:tcPr>
            <w:tcW w:w="9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976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center"/>
              <w:ind w:left="679"/>
              <w:spacing w:after="0"/>
              <w:rPr>
                <w:sz w:val="20"/>
                <w:szCs w:val="20"/>
                <w:color w:val="auto"/>
              </w:rPr>
            </w:pPr>
            <w:r>
              <w:rPr>
                <w:rFonts w:ascii="Arial" w:cs="Arial" w:eastAsia="Arial" w:hAnsi="Arial"/>
                <w:sz w:val="16"/>
                <w:szCs w:val="16"/>
                <w:b w:val="1"/>
                <w:bCs w:val="1"/>
                <w:color w:val="auto"/>
              </w:rPr>
              <w:t>2.33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60"/>
              <w:spacing w:after="0"/>
              <w:rPr>
                <w:sz w:val="20"/>
                <w:szCs w:val="20"/>
                <w:color w:val="auto"/>
              </w:rPr>
            </w:pPr>
            <w:r>
              <w:rPr>
                <w:rFonts w:ascii="Arial" w:cs="Arial" w:eastAsia="Arial" w:hAnsi="Arial"/>
                <w:sz w:val="16"/>
                <w:szCs w:val="16"/>
                <w:b w:val="1"/>
                <w:bCs w:val="1"/>
                <w:color w:val="auto"/>
              </w:rPr>
              <w:t>Nine Months Ended September 30, 2021</w:t>
            </w:r>
          </w:p>
        </w:tc>
        <w:tc>
          <w:tcPr>
            <w:tcW w:w="2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Intangible asset impairment charge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9"/>
        </w:trPr>
        <w:tc>
          <w:tcPr>
            <w:tcW w:w="9760" w:type="dxa"/>
            <w:vAlign w:val="bottom"/>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ind w:left="679"/>
              <w:spacing w:after="0"/>
              <w:rPr>
                <w:sz w:val="20"/>
                <w:szCs w:val="20"/>
                <w:color w:val="auto"/>
              </w:rPr>
            </w:pPr>
            <w:r>
              <w:rPr>
                <w:rFonts w:ascii="Arial" w:cs="Arial" w:eastAsia="Arial" w:hAnsi="Arial"/>
                <w:sz w:val="16"/>
                <w:szCs w:val="16"/>
                <w:b w:val="1"/>
                <w:bCs w:val="1"/>
                <w:color w:val="auto"/>
              </w:rPr>
              <w:t>2.14</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Increase in operations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240" w:type="dxa"/>
            <w:vAlign w:val="bottom"/>
          </w:tcPr>
          <w:p>
            <w:pPr>
              <w:jc w:val="center"/>
              <w:ind w:left="67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Changes in benefit plan non-service income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tcPr>
          <w:p>
            <w:pPr>
              <w:ind w:left="800"/>
              <w:spacing w:after="0" w:line="216" w:lineRule="exact"/>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(7)</w:t>
            </w:r>
          </w:p>
        </w:tc>
        <w:tc>
          <w:tcPr>
            <w:tcW w:w="220" w:type="dxa"/>
            <w:vAlign w:val="bottom"/>
          </w:tcPr>
          <w:p>
            <w:pPr>
              <w:spacing w:after="0"/>
              <w:rPr>
                <w:sz w:val="18"/>
                <w:szCs w:val="18"/>
                <w:color w:val="auto"/>
              </w:rPr>
            </w:pPr>
          </w:p>
        </w:tc>
        <w:tc>
          <w:tcPr>
            <w:tcW w:w="1240" w:type="dxa"/>
            <w:vAlign w:val="bottom"/>
          </w:tcPr>
          <w:p>
            <w:pPr>
              <w:jc w:val="center"/>
              <w:ind w:left="65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9760" w:type="dxa"/>
            <w:vAlign w:val="bottom"/>
            <w:tcBorders>
              <w:bottom w:val="single" w:sz="8" w:color="CCEEFF"/>
            </w:tcBorders>
          </w:tcPr>
          <w:p>
            <w:pPr>
              <w:ind w:left="800"/>
              <w:spacing w:after="0" w:line="216" w:lineRule="exact"/>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215"/>
        </w:trPr>
        <w:tc>
          <w:tcPr>
            <w:tcW w:w="97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ind w:left="680"/>
              <w:spacing w:after="0" w:line="210"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2022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center"/>
              <w:ind w:left="679"/>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800"/>
        <w:spacing w:after="0" w:line="227"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jc w:val="right"/>
        <w:ind w:right="3040"/>
        <w:spacing w:after="0" w:line="215"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Inventory step-up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p>
      <w:pPr>
        <w:ind w:left="800"/>
        <w:spacing w:after="0" w:line="214" w:lineRule="auto"/>
        <w:rPr>
          <w:sz w:val="20"/>
          <w:szCs w:val="20"/>
          <w:color w:val="auto"/>
        </w:rPr>
      </w:pPr>
      <w:r>
        <w:rPr>
          <w:rFonts w:ascii="Arial" w:cs="Arial" w:eastAsia="Arial" w:hAnsi="Arial"/>
          <w:sz w:val="16"/>
          <w:szCs w:val="16"/>
          <w:color w:val="auto"/>
        </w:rPr>
        <w:t xml:space="preserve">Incremental costs due to war in Ukraine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Initial impacts from enacted tax law changes </w:t>
      </w:r>
      <w:r>
        <w:rPr>
          <w:rFonts w:ascii="Arial" w:cs="Arial" w:eastAsia="Arial" w:hAnsi="Arial"/>
          <w:sz w:val="21"/>
          <w:szCs w:val="21"/>
          <w:color w:val="auto"/>
          <w:vertAlign w:val="superscript"/>
        </w:rPr>
        <w:t>(4)</w:t>
      </w:r>
    </w:p>
    <w:p>
      <w:pPr>
        <w:ind w:left="800"/>
        <w:spacing w:after="0" w:line="215" w:lineRule="auto"/>
        <w:rPr>
          <w:sz w:val="20"/>
          <w:szCs w:val="20"/>
          <w:color w:val="auto"/>
        </w:rPr>
      </w:pPr>
      <w:r>
        <w:rPr>
          <w:rFonts w:ascii="Arial" w:cs="Arial" w:eastAsia="Arial" w:hAnsi="Arial"/>
          <w:sz w:val="16"/>
          <w:szCs w:val="16"/>
          <w:color w:val="auto"/>
        </w:rPr>
        <w:t xml:space="preserve">Loss on equity method investment transactions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7"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(6)</w:t>
      </w:r>
    </w:p>
    <w:p>
      <w:pPr>
        <w:ind w:left="680"/>
        <w:spacing w:after="0" w:line="212" w:lineRule="auto"/>
        <w:rPr>
          <w:sz w:val="20"/>
          <w:szCs w:val="20"/>
          <w:color w:val="auto"/>
        </w:rPr>
      </w:pPr>
      <w:r>
        <w:rPr>
          <w:rFonts w:ascii="Arial" w:cs="Arial" w:eastAsia="Arial" w:hAnsi="Arial"/>
          <w:sz w:val="16"/>
          <w:szCs w:val="16"/>
          <w:b w:val="1"/>
          <w:bCs w:val="1"/>
          <w:color w:val="auto"/>
        </w:rPr>
        <w:t>Diluted EPS Attributable to Mondelēz International for the</w:t>
      </w:r>
    </w:p>
    <w:p>
      <w:pPr>
        <w:ind w:left="800"/>
        <w:spacing w:after="0"/>
        <w:rPr>
          <w:sz w:val="20"/>
          <w:szCs w:val="20"/>
          <w:color w:val="auto"/>
        </w:rPr>
      </w:pPr>
      <w:r>
        <w:rPr>
          <w:rFonts w:ascii="Arial" w:cs="Arial" w:eastAsia="Arial" w:hAnsi="Arial"/>
          <w:sz w:val="16"/>
          <w:szCs w:val="16"/>
          <w:b w:val="1"/>
          <w:bCs w:val="1"/>
          <w:color w:val="auto"/>
        </w:rPr>
        <w:t>Nine Months Ended September 30, 2022</w:t>
      </w:r>
    </w:p>
    <w:p>
      <w:pPr>
        <w:spacing w:after="0" w:line="12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6"/>
          <w:szCs w:val="16"/>
          <w:color w:val="auto"/>
        </w:rPr>
        <w:t>(0.04)</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(0.13)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(0.23)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47" w:lineRule="exact"/>
        <w:rPr>
          <w:sz w:val="20"/>
          <w:szCs w:val="20"/>
          <w:color w:val="auto"/>
        </w:rPr>
      </w:pPr>
    </w:p>
    <w:p>
      <w:pPr>
        <w:ind w:left="1040" w:hanging="1034"/>
        <w:spacing w:after="0"/>
        <w:tabs>
          <w:tab w:leader="none" w:pos="10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9175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917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9060" w:space="720"/>
            <w:col w:w="1460"/>
          </w:cols>
          <w:pgMar w:left="320" w:top="364" w:right="339" w:bottom="1440" w:gutter="0" w:footer="0" w:header="0"/>
          <w:type w:val="continuous"/>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on the items affecting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gain/(loss) on equity method investment transactions.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ectPr>
          <w:pgSz w:w="11900" w:h="16838" w:orient="portrait"/>
          <w:cols w:equalWidth="0" w:num="1">
            <w:col w:w="11240"/>
          </w:cols>
          <w:pgMar w:left="320" w:top="364" w:right="339" w:bottom="1440" w:gutter="0" w:footer="0" w:header="0"/>
        </w:sectPr>
      </w:pPr>
    </w:p>
    <w:p>
      <w:pPr>
        <w:spacing w:after="0" w:line="142"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For the Three Months Ended</w:t>
      </w:r>
    </w:p>
    <w:p>
      <w:pPr>
        <w:jc w:val="center"/>
        <w:ind w:left="50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1885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ind w:left="5500"/>
        <w:spacing w:after="0"/>
        <w:tabs>
          <w:tab w:leader="none" w:pos="70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23495</wp:posOffset>
            </wp:positionV>
            <wp:extent cx="18859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4"/>
          <w:szCs w:val="14"/>
          <w:b w:val="1"/>
          <w:bCs w:val="1"/>
          <w:color w:val="auto"/>
        </w:rPr>
        <w:t>For the Nine Months Ended</w:t>
      </w:r>
    </w:p>
    <w:p>
      <w:pPr>
        <w:jc w:val="center"/>
        <w:ind w:right="8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14605</wp:posOffset>
            </wp:positionV>
            <wp:extent cx="1885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23495</wp:posOffset>
            </wp:positionV>
            <wp:extent cx="18859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7860" w:space="720"/>
            <w:col w:w="266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Europe</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AMEA</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75"/>
        </w:trPr>
        <w:tc>
          <w:tcPr>
            <w:tcW w:w="4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5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23.1 %</w:t>
            </w:r>
          </w:p>
        </w:tc>
      </w:tr>
      <w:tr>
        <w:trPr>
          <w:trHeight w:val="409"/>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2,615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38.0 %</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revenues increased $162 million (21.6%), due to higher net pricing (25.8 pp) and favorable volume/mix (5.8 pp), partially offset by unfavorable currency (8.4 pp) and the impact of divestitures (1.6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candy, biscuits, gum and chocolate, partially offset by declines in refreshment beverages and cheese &amp; grocery. Unfavorable currency impacts were due primarily to the strength of the U.S. dollar relative to most currencies in the region, primarily the Argentinean peso, slightly offset by the strength of a few currencies relative to the U.S. dollar. The impact of divestitures resulted in a year-over-year reduction in net revenues of $10 million.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$21 million (23.1%), primarily due to higher net pricing, favorable volume/mix and lower manufacturing costs due to productivity. These favorable items were partially offset by higher raw material costs, higher other selling, general and administrative expenses, higher advertising and consumer promotion costs, higher remeasurement loss of net monetary position, acquisition integration costs incurred in 2022 and unfavorable currency.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$526 million (25.2%), due to higher net pricing (21.5 pp) and favorable volume/mix (8.6 pp), partially offset by unfavorable currency (4.3 pp) and the impact of divestitures (0.6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gum, biscuits, chocolate and candy, partially offset by a decline in refreshment beverages and cheese &amp; grocery. Unfavorable currency impacts were due primarily to the strength of the U.S. dollar relative to most currencies in the region, primarily the Argentinean peso, partially offset by the strength of a few currencies relative to the U.S. dollar, primarily the Brazilian real. The impact of divestitures resulted in a year-over-year decline in net revenues of $6 million.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$84 million (38.0%), primarily due to higher net pricing, favorable volume/mix, lower manufacturing costs due to productivity and lower costs incurred for the Simplify to Grow Program. These favorable items were partially offset by higher raw material costs, higher advertising and consumer promotion costs, higher other selling, general and administrative expenses, higher remeasurement loss on net monetary position, acquisition integration costs and lapping a prior-year favorable impact from the resolution of a tax matter.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1,704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2"/>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5,106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$75 million (4.6%), due to favorable volume/mix (8.5 pp) and higher net pricing (6.1 pp), partially offset by unfavorable currency (9.0 pp) and the impact of a divestiture (1.0 pp). Favorable volume/mix reflected overall volume gains from increased demand for our snack category products. Favorable volume/mix was driven by gains in biscuits, chocolate, candy and refreshment beverages, partially offset by declines in gum and cheese &amp; grocery. Higher net pricing was reflected across all categories. Unfavorable currency impacts were due to the strength of the U.S. dollar relative to most currencies in the region, including the Indian rupee, Chinese yuan, Australian dollar, South African rand, Egyptian pound and Philippine peso. The impact of the November 1, 2021 divestiture of the packaged seafood business, which was part of our April 1, 2021 acquisition of Gourmet Food, resulted in a year-over-year reduction in net revenues of $16 million.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$10 million (3.7%), primarily due to higher raw material costs, unfavorable currency, higher advertising and consumer promotion costs, an intangible asset impairment charge in 2022 and higher other selling, general and administrative expenses. These unfavorable items were partially offset by higher net pricing, favorable volume/mix and lower manufacturing costs driven by productivity.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$280 million (5.8%), due to favorable volume/mix (7.8 pp), higher net pricing (4.3 pp) and the impact of an acquisition (0.3 pp), partially offset by unfavorable currency (5.9 pp) and the impact of a divestiture (0.7 pp). Favorable volume/mix reflected overall volume gains from increased demand for our snack category products. Favorable volume/mix was driven by gains in chocolate, biscuits, refreshment beverages and candy, partially offset by declines in cheese &amp; grocery and gum. Higher net pricing was reflected across all categories. The April 1, 2021 acquisition of Gourmet Food added incremental net revenues of $15 million (constant currency basis) in the first quarter of 2022. Unfavorable currency impacts were due to the strength of the U.S. dollar relative to most currencies in the region, including the Australian dollar, Indian rupee, Philippine peso, South African Rand, Chinese yuan, Egyptian pound and Japanese yen. The impact of the November 1, 2021 divestiture of the packaged seafood business, which was part of our April 1, 2021 acquisition of Gourmet Food, resulted in a year-over-year reduction in net revenues of $30 million.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$102 million (12.1%), primarily due to higher raw material costs, intangible asset impairment charges incurred in 2022, higher advertising and consumer promotion costs, unfavorable currency, higher other selling, general and administrative expenses and higher costs incurred for the Simplify to Grow Program. These unfavorable items were partially offset by higher net pricing, favorable volume/mix and lower manufacturing costs driven by productivity.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2,649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598"/>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8,210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1,170</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decreased $ 65 million (2.4%), due to unfavorable currency (13.8 pp) and unfavorable volume/mix (4.6 pp), partially offset by higher net pricing (9.8 pp) and the impact of an acquisition (6.2 pp). Unfavorable currency impact reflected the strength of the U.S. dollar relative to most currencies across the region, including the euro, British pound sterling, Turkish lira, Polish zloty and Swedish krona, partially offset by the strength of a few currencies relative to the U.S. dollar, primarily the Russian ruble. Unfavorable volume/mix reflected volume declines driven by disruptions due to pricing negotiations. Unfavorable volume/mix was driven by declines in biscuits, chocolate, cheese &amp; grocery, gum and refreshment beverages, partially offset by a gain in candy. Higher net pricing was reflected across all categories. The January 3, 2022 acquisition of Chipita added incremental net revenues of $167 million (constant currency basis) in the third quarter of 2022.</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decreased $95 million (18.7%), primarily due to higher raw material costs, unfavorable volume/mix, unfavorable currency, higher other selling, general and administrative expenses and acquisition integration costs incurred in the third quarter of 2022. These unfavorable items were partially offset by higher net pricing, the impact of an acquisition, a decrease in estimated allowances and reserves associated with incremental costs due to the war in Ukraine and lower manufacturing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$175 million (2.2%), due to the impact of acquisitions (6.7 pp), higher net pricing (5.3 pp) and favorable volume/mix (1.5 pp), partially offset by unfavorable currency (11.3 pp). The January 3, 2022 acquisition of Chipita added incremental net revenues of $518 million (constant currency basis) and the March 25, 2021 acquisition of Grenade added incremental net revenues of $ 22 million (constant currency basis) in the first nine months of 2022. Higher net pricing was reflected across all categories. Overall, favorable volume/mix was driven by strong volume growth, despite disruptions in the third quarter due to pricing negotiations, as we experienced increased demand for most of our snack category products and our world travel business grew as global travel continued to improve. Favorable volume/mix was driven by gains in chocolate, candy and gum, partially offset by declines in cheese &amp; grocery, biscuits and refreshment beverages. Unfavorable currency impacts reflected the strength of the U.S. dollar relative to most currencies across the region, including the euro, British pound sterling, Turkish lira, Polish zloty, Swedish krona and Romanian leu, partially offset by the strength of a few currencies relative to the U.S. dollar, primarily the Russian ruble.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$308 million (20.8%), primarily due to higher raw material costs, unfavorable currency, incremental costs incurred due to the war in Ukraine, higher acquisition integration costs, higher other selling, general and administrative expenses and higher advertising and consumer promotion costs. These unfavorable items were partially offset by higher net pricing, lapping the prior-year unfavorable impact of pension participation changes, the impact of acquisitions, favorable volume/mix, lower costs incurred for the Simplify to Grow Program and lower manufacturing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2,497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28.1 %</w:t>
            </w:r>
          </w:p>
        </w:tc>
      </w:tr>
      <w:tr>
        <w:trPr>
          <w:trHeight w:val="598"/>
        </w:trPr>
        <w:tc>
          <w:tcPr>
            <w:tcW w:w="5080" w:type="dxa"/>
            <w:vAlign w:val="bottom"/>
          </w:tcPr>
          <w:p>
            <w:pPr>
              <w:spacing w:after="0"/>
              <w:rPr>
                <w:sz w:val="24"/>
                <w:szCs w:val="24"/>
                <w:color w:val="auto"/>
              </w:rPr>
            </w:pPr>
          </w:p>
        </w:tc>
        <w:tc>
          <w:tcPr>
            <w:tcW w:w="294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8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6,870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3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1,337</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43.5 %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$409 million (19.6%), due to higher net pricing (12.6 pp) and the impact of acquisitions (8.0 pp), partially offset by unfavorable volume/mix (0.6 pp) and unfavorable currency (0.4 pp). Higher net pricing was reflected across all categories except gum, driven by pricing actions taken in the first nine months of 2022. The August 1, 2022 acquisition of Clif Bar added incremental net revenues of $158 million (at constant currency) and the January 3, 2022 acquisition of Chipita added incremental net revenues of $9 million in the third quarter of 2022. Unfavorable volume/mix was driven by a decline in biscuits, chocolate and gum, which primarily reflected the impact of supply chain constraints on volume, partially offset by gains in candy. Unfavorable currency impact was due to the strength of the U.S. dollar relative to the Canadian dollar.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$102 million (28.1%), primarily due to higher net pricing, lower costs incurred for the Simplify to Grow Program and the impact of acquisitions. These favorable items were partially offset by higher raw material costs, lapping the prior-year net benefit from acquisition integration costs and contingent consideration adjustments, higher manufacturing costs, inventory step-up charges incurred in 2022, higher advertising and consumer promotion costs, unfavorable volume/mix and higher other selling, general and administrative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$758 million (12.4%), due to higher net pricing (10.1 pp) and the impact of acquisitions (3.0 pp), partially offset by unfavorable volume/mix (0.4 pp) and unfavorable currency (0.3 pp). Higher net pricing was reflected across all categories driven by pricing actions taken in the first nine months of 2022. The August 1, 2022 acquisition of Clif Bar added incremental net revenues of $158 million (at constant currency) and the January 3, 2022 acquisition of Chipita added incremental net revenues of $ 25 million in the first nine months of 2022. Unfavorable volume/mix was driven by a decline in biscuits which primarily reflected the impact of supply chain constraints on volume, mostly offset by gains in candy, gum and chocolate. Unfavorable currency impact was due to the strength of the U.S. dollar relative to the Canadian dollar.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$405 million (43.5%), primarily due to higher net pricing, lower costs incurred for the Simplify to Grow Program, lapping a prior-year intangible asset impairment charge and the impact of acquisitions. These favorable items were partially offset by higher raw material costs, higher manufacturing costs, lapping the prior-year net benefit from acquisition integration costs and contingent consideration adjustments, unfavorable volume/mix, higher advertising and consumer promotion costs, inventory step-up charges incurred in 2022 and higher other selling, general and administrative expenses.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cash from operations, our revolving credit and term loan facilities, short-term borrowings and our authorized long-term financing will continue to provide sufficient liquidity for our working capital needs, planned capital expenditures, future payments of our contractual, tax and benefit plan obligations and payments for acquisitions, share repurchases and quarterly dividends. We expect to continue to utilize our commercial paper program and available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in connection with the COVID-19 pandemic, war in Ukraine or other circumstances, it could have a material adverse effect on our liquidity, results of operations and financial condition.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and property, plant and equipment.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which is payable through 2026,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our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2021</w:t>
            </w:r>
          </w:p>
        </w:tc>
      </w:tr>
      <w:tr>
        <w:trPr>
          <w:trHeight w:val="256"/>
        </w:trPr>
        <w:tc>
          <w:tcPr>
            <w:tcW w:w="61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5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in)/provided by investing activities</w:t>
            </w:r>
          </w:p>
        </w:tc>
        <w:tc>
          <w:tcPr>
            <w:tcW w:w="2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0"/>
        </w:trPr>
        <w:tc>
          <w:tcPr>
            <w:tcW w:w="618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(2,971)</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decrease in net cash provided by operating activities was due primarily to lower cash basis net earnings driven in part by the compensation expense charge related to the non-vested ESOP shares acquired in the Clif Bar acquisition, partially offset by lower year-over-year working capital requirements and lower payments to benefit plans than in the same prior-year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increase in net cash used in investing activities was largely driven by higher cash payments for acquisitions, including $1.4 billion cash consideration paid for the Chipita acquisition during January 2022 and $2.6 billion cash consideration paid for the Clif Bar acquisition during August 2022 relative to $833 million paid in the prior-year to acquire Gourmet Food, Grenade and Hu (refer to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as well as lower proceeds from sales of equity method investments than in the prior-year period (refer to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partially offset by proceeds from the settlement and replacement of net investment hedge derivative contracts. We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capital expenditures primarily to modernize manufacturing facilities, support new product and productivity initiatives and fund strategic priorities. We expect 2022 capital expenditures to be approximately $0.9 billion, including capital expenditures in connection with our Simplify to Grow Program and for funding our strategic priorities. We expect to continue to fund these expenditures with cash from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decrease in cash used in financing activities was primarily due to lower net debt repayments in 2022 to date as we refinanced debt during the first quarter of 2022 with lower interest rate debt and we lapped higher net long-term debt repayments in the prior-year, partially offset primarily by higher dividends paid in the first nine months of 2022 than in the same prior-year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 -upon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as of September 30, 2022 and September 30, 2021, $2.1 billion and $2.4 billion, respectively, of our outstanding accounts payable relate to suppliers that participate in the SCF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September 30, 2022, we had no material third-party guarantees recorded on our condensed consolidated balance sheet.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nine months of 2022. We fund ongoing debt maturities and other long-term obligations using cash on hand or we may refinance obligations with long-term debt or short-term financing (such as our commercial paper borrowings) depending on financing available, timing considerations, flexibility to raise funding and the cost of financing.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At its July 2022 meeting, the Board of Directors approved a new $2 billion long-term financing authorization that replaced the prior long-term financing authorization of $7 billion. As of September 30, 2022, $1.5 billion of the long-term financing authorization remained available.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debt was $ 21.7 billion at September 30, 2022 and $19.5 billion at December 31, 2021. Our debt-to-capitalization ratio was 0.45 at September 30, 2022 and 0.41 at December 31, 2021. At September 30, 2022, the weighted-average term of our outstanding long-term debt was 8.4 years. Our average daily commercial paper borrowings outstanding were $1.4 billion in the first nine months of 2022 and $0.5 billion in the first nine months of 2021. We had commercial paper outstanding totaling $1.7 billion as of September 30, 2022 and $0.2 billion as of December 31, 2021. We expect to continue to use cash or commercial paper to finance various short-term financing needs. Through September 30, 2022, we continue to comply with our debt covenants.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72.4% (or $16.5 billion) of the $22.8 billion of consolidated net revenue in the nine months ended September 30, 2022. The operations held by MIHN represented approximately 82.0% (or $21.9 billion) of the $26.7 billion of net assets as of September 30, 2022 and 79.2% (or $22.4 billion) of the $28.3 billion of net assets as of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more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2022, the primary drivers of the increase in our aggregate commodity costs were higher packaging, dairy, edible oils, energy, grains, sugar, nuts and other ingredient costs, partially offset by lower cocoa costs and favorable year-over-year currency exchange transaction costs on imported materials.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external factors such as the COVID-19 global pandemic,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international supply chain, transportation and labor market disruptions and generally higher commodity, transportation and labor costs in the first nine months of 2022, we expect price volatility and a higher aggregate cost environment to continue in the remainder of 2022. While the costs of our principal raw materials fluctuate, we believe there will continue to be an adequate supply of the raw materials we use and that they will generally remain available.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Proceeds</w:t>
      </w:r>
      <w:r>
        <w:rPr>
          <w:rFonts w:ascii="Arial" w:cs="Arial" w:eastAsia="Arial" w:hAnsi="Arial"/>
          <w:sz w:val="18"/>
          <w:szCs w:val="18"/>
          <w:color w:val="auto"/>
        </w:rPr>
        <w:t>, for more information on our stock plans, grant activity and share repurchase program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2022, our Board of Directors has authorized share repurchases up to $23.7 billion through December 31, 2023. Under this program, we have repurchased approximately $21.9 billion of shares through September 30, 2022. Of which, we repurchased $1.8 billion in the first nine months of 2022, $2.1 billion in 2021, $1.4 billion in 2020 and a total of $16.5 billion in the years 2013 through 2019, at a weighted-average cost per share.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of Directors and management discretion. Additionally, our share repurchase activity during any particular period may fluctuate. We may accelerate, suspend, delay or discontinue our share repurchase program at any time, without notice.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$1,457 million in the first nine months of 2022 and $1,337 million in the first nine months of 2021. The third quarter 2022 dividend of $0.385 per share, declared on July 26, 2022 for shareholders of record as of September 30, 2022, was paid on October 14, 2022.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the 2022 distributions will be characterized as dividends under U.S. federal income tax rules. The final determination will be made on an IRS Form 1099–DIV issued in early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2021.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2021.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also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report contains a number of forward-looking statements. Words, and variations of words, such as “will,” “may,” “expect,” “would,” “could,” “might,” “intend,” “plan,” “believe,” “likely,” “estimate,” “anticipate,” “objective,” “predict,” “project,” “seek,” “aim,” "target," “potential,” “outlook” and similar expressions are intended to identify our forward-looking statements, including but not limited to statements about: the impact on our business of the war in Ukraine and current and future sanctions imposed by governments or other authorities, including the impact on matters such as costs, markets, the global economic environment, availability of commodities, demand, supplying our Ukraine business's customers and consumers, impairments, continuation of and our ability to control our operating activities and businesses in Russia and Ukraine, and our operating results; the impact of the COVID-19 pandemic and related disruptions on our business including consumer demand, costs, product mix, our strategic initiatives, our and our partners’ global supply chains, operations, technology and assets, and our financial performance; price volatility, inflation and pricing actions; our strategic priorities and growth strategy; our future performance, including our future revenue and earnings growth; plans to reshape our portfolio and extend our leadership positions in chocolate and biscuits as well as baked snacks; plans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businesses; our strategic transactions and initiatives; our leadership position in snacking; political, business and economic conditions and volatility; volatility in global consumer, commodity, supply, transportation, labor and currency; the cost environment, including higher labor, customer service, commodity, operating, transportation and other costs; volatility in the natural gas and electricity markets in Europe; consumer behavior, consumption and demand trends and our business in developed and emerging markets, our channels, our brands and our categories; our tax rate, tax positions, tax proceedings, tax liabilities, valuation allowances and the impact on us of potential U.S. and global tax reform; advertising and promotion bans and restrictions in the U.K.; the costs of, timing of expenditures under and completion of our restructuring program; commodity prices, supply and availability; our investments and our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ownership interests in those investments, including JDE Peet's and KDP; innovation; currency exchange rates, controls and restrictions, volatility in foreign currencies and the effect of currency translation on our results of operations; the application of highly inflationary accounting for our subsidiaries in Argentina and T</w:t>
      </w:r>
      <w:r>
        <w:rPr>
          <w:rFonts w:ascii="MS PGothic" w:cs="MS PGothic" w:eastAsia="MS PGothic" w:hAnsi="MS PGothic"/>
          <w:sz w:val="18"/>
          <w:szCs w:val="18"/>
          <w:color w:val="auto"/>
        </w:rPr>
        <w:t>✔</w:t>
      </w:r>
      <w:r>
        <w:rPr>
          <w:rFonts w:ascii="Arial" w:cs="Arial" w:eastAsia="Arial" w:hAnsi="Arial"/>
          <w:sz w:val="18"/>
          <w:szCs w:val="18"/>
          <w:color w:val="auto"/>
        </w:rPr>
        <w:t>rkiye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ability to prevent and respond to cybersecurity breaches and disruptions; our liquidity, funding sources and uses of funding, including debt issuances and our use of commercial paper and international credit lines; our capital structure, credit availability and our ability to raise capital, and the impact of market disruptions on us, our counterparties and our business partners; the planned phase out of London Interbank Offered Rates and transition to other interest rate benchmarks; our risk management program, including the use of financial instruments and the impacts and effectiveness of our hedging activities; working capital; capital expenditures and funding; funding of debt maturities, acquisitions and other obligations; share repurchases; dividends; long-term value for our shareholders; guarantees; the characterization of 2022 distributions as dividends; compliance with our debt covenants; and our contractual and other obligations.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and many of these risks and uncertainties are currently amplified by and may continue to be amplified by the COVID-19 pandemic, including the spread of new variants of COVID-19. Important factors that could cause our actual results to differ materially from those described in our forward-looking statements include, but are not limited to, the impact of ongoing or new developments in the war in Ukraine, related current and future sanctions imposed by governments and other authorities, and related impacts on our business, growth, employees, reputation, prospects, financial condition, operating results (including components of our financial results), cash flows and liquidity; global or regional health pandemics or epidemics, including COVID-19; risks from operating globally including in emerging markets, including political, economic and regulatory risks; changes in currency exchange rates, controls and restrictions; volatility of commodity and other input costs and availability of commodities; weakness in economic conditions; weakness in consumer spending; inflation (and related monetary policy actions by governments in response to inflation); pricing actions; tax matters including changes in tax laws and rates, disagreements with taxing authorities and imposition of new taxes; use of information technology and third-party service providers; unanticipated disruptions to our business, such as malware incidents, cyberattacks or other security breaches, and our compliance with privacy and data security laws; competition and our response to channel shifts and pricing and other competitive pressures; promotion and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and shifts in labor availability; consolidation of retail customers and competition with retailer and other economy brands; changes in our relationships with customers, suppliers or distributors; compliance with legal, regulatory, tax and benefit laws and related changes, claims or actions; the impact of climate change on our supply chain and operations; our ability to identify, complete, manage and realize the full extent of the benefits, cost savings or synergies presented by strategic transactions, including our recently completed acquisitions of Chipita, Gourmet Food, Grenade, Clif Bar and Ricolino; significant changes in valuation factors that may adversely affect our impairment testing of goodwill and intangible assets; perceived or actual product quality issues or product recalls; failure to maintain effective internal control over financial reporting or disclosure controls and procedures; volatility of and access to capital or other markets, the effectiveness of our cash management programs and our liquidity; pension costs; the expected discontinuance of London Interbank Offered Rates and transition to any other interest rate benchmark; our ability to protect our intellectual property and intangible assets; and the risks and uncertainties, as they may be amended from time to time, set forth in our filings with the U.S. Securities and Exchange Commission, including our most recently filed Annual Report on Form 10-K and subsequent Quarterly Reports on Form 10-Q. 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U.S. GAAP and non-GAAP financial measures below, and we also discuss our underlying U.S.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1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jc w:val="both"/>
        <w:ind w:left="980" w:hanging="324"/>
        <w:spacing w:after="0" w:line="216" w:lineRule="exact"/>
        <w:tabs>
          <w:tab w:leader="none" w:pos="9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w:t>
      </w:r>
      <w:r>
        <w:rPr>
          <w:rFonts w:ascii="MS PGothic" w:cs="MS PGothic" w:eastAsia="MS PGothic" w:hAnsi="MS PGothic"/>
          <w:sz w:val="18"/>
          <w:szCs w:val="18"/>
          <w:color w:val="auto"/>
        </w:rPr>
        <w:t>✔</w:t>
      </w:r>
      <w:r>
        <w:rPr>
          <w:rFonts w:ascii="Arial" w:cs="Arial" w:eastAsia="Arial" w:hAnsi="Arial"/>
          <w:sz w:val="18"/>
          <w:szCs w:val="18"/>
          <w:color w:val="auto"/>
        </w:rPr>
        <w:t>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5" w:lineRule="exact"/>
        <w:rPr>
          <w:rFonts w:ascii="Arial" w:cs="Arial" w:eastAsia="Arial" w:hAnsi="Arial"/>
          <w:sz w:val="18"/>
          <w:szCs w:val="18"/>
          <w:color w:val="auto"/>
        </w:rPr>
      </w:pPr>
    </w:p>
    <w:p>
      <w:pPr>
        <w:jc w:val="both"/>
        <w:ind w:left="660" w:hanging="328"/>
        <w:spacing w:after="0" w:line="20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acquisition-related costs </w:t>
      </w:r>
      <w:r>
        <w:rPr>
          <w:rFonts w:ascii="Arial" w:cs="Arial" w:eastAsia="Arial" w:hAnsi="Arial"/>
          <w:sz w:val="23"/>
          <w:szCs w:val="23"/>
          <w:color w:val="auto"/>
          <w:vertAlign w:val="superscript"/>
        </w:rPr>
        <w:t>(6)</w:t>
      </w:r>
      <w:r>
        <w:rPr>
          <w:rFonts w:ascii="Arial" w:cs="Arial" w:eastAsia="Arial" w:hAnsi="Arial"/>
          <w:sz w:val="18"/>
          <w:szCs w:val="18"/>
          <w:color w:val="auto"/>
        </w:rPr>
        <w:t>, and acquisition integration costs and contingent consideration adjustments</w:t>
      </w:r>
    </w:p>
    <w:p>
      <w:pPr>
        <w:jc w:val="both"/>
        <w:ind w:left="660"/>
        <w:spacing w:after="0" w:line="207" w:lineRule="auto"/>
        <w:rPr>
          <w:rFonts w:ascii="Arial" w:cs="Arial" w:eastAsia="Arial" w:hAnsi="Arial"/>
          <w:sz w:val="18"/>
          <w:szCs w:val="18"/>
          <w:color w:val="auto"/>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inventory step-up charges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incremental costs due to the war in Ukraine </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(13)</w:t>
      </w:r>
      <w:r>
        <w:rPr>
          <w:rFonts w:ascii="Arial" w:cs="Arial" w:eastAsia="Arial" w:hAnsi="Arial"/>
          <w:sz w:val="18"/>
          <w:szCs w:val="18"/>
          <w:color w:val="auto"/>
        </w:rPr>
        <w:t>; and costs associated with the JDE Peet's transaction. We also present “Adjusted Operating Income margin,” which is subject to the same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adjustments as Adjusted Operating Income. We also evaluate growth in our Adjusted Operating Income on a constant currency basis</w:t>
      </w:r>
    </w:p>
    <w:p>
      <w:pPr>
        <w:ind w:left="660"/>
        <w:spacing w:after="0" w:line="186" w:lineRule="auto"/>
        <w:rPr>
          <w:sz w:val="20"/>
          <w:szCs w:val="20"/>
          <w:color w:val="auto"/>
        </w:rPr>
      </w:pPr>
      <w:r>
        <w:rPr>
          <w:rFonts w:ascii="Arial" w:cs="Arial" w:eastAsia="Arial" w:hAnsi="Arial"/>
          <w:sz w:val="10"/>
          <w:szCs w:val="10"/>
          <w:color w:val="auto"/>
        </w:rPr>
        <w:t>(3)</w:t>
      </w:r>
      <w:r>
        <w:rPr>
          <w:rFonts w:ascii="Arial" w:cs="Arial" w:eastAsia="Arial" w:hAnsi="Arial"/>
          <w:sz w:val="27"/>
          <w:szCs w:val="27"/>
          <w:color w:val="auto"/>
          <w:vertAlign w:val="subscript"/>
        </w:rPr>
        <w:t>.</w:t>
      </w:r>
    </w:p>
    <w:p>
      <w:pPr>
        <w:spacing w:after="0" w:line="221" w:lineRule="exact"/>
        <w:rPr>
          <w:sz w:val="20"/>
          <w:szCs w:val="20"/>
          <w:color w:val="auto"/>
        </w:rPr>
      </w:pPr>
    </w:p>
    <w:p>
      <w:pPr>
        <w:jc w:val="both"/>
        <w:ind w:left="660" w:hanging="328"/>
        <w:spacing w:after="0" w:line="23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jc w:val="both"/>
        <w:ind w:left="980" w:hanging="324"/>
        <w:spacing w:after="0" w:line="261" w:lineRule="auto"/>
        <w:tabs>
          <w:tab w:leader="none" w:pos="967" w:val="left"/>
        </w:tabs>
        <w:numPr>
          <w:ilvl w:val="1"/>
          <w:numId w:val="37"/>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2022, we added to the non-GAAP definitions the exclusion of incremental costs due to the war in Ukraine (refer to footnote (12) below), in the second quarter of 2022, we added to the non-GAAP definitions the exclusion of costs incurred associated with our publicly-announced processes to sell businesses (refer to footnote (5) below) and in the third quarter of 2022, we added to the non-GAAP definitions the exclusion of inventory step-up charges associated with acquisitions (refer to footnote (8) below).</w:t>
      </w:r>
    </w:p>
    <w:p>
      <w:pPr>
        <w:spacing w:after="0" w:line="2" w:lineRule="exact"/>
        <w:rPr>
          <w:rFonts w:ascii="Arial" w:cs="Arial" w:eastAsia="Arial" w:hAnsi="Arial"/>
          <w:sz w:val="14"/>
          <w:szCs w:val="14"/>
          <w:color w:val="auto"/>
        </w:rPr>
      </w:pPr>
    </w:p>
    <w:p>
      <w:pPr>
        <w:jc w:val="both"/>
        <w:ind w:left="980" w:hanging="324"/>
        <w:spacing w:after="0" w:line="254" w:lineRule="auto"/>
        <w:tabs>
          <w:tab w:leader="none" w:pos="967" w:val="left"/>
        </w:tabs>
        <w:numPr>
          <w:ilvl w:val="1"/>
          <w:numId w:val="37"/>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exits of major product lines upon completion of a sale or licensing agreement and the partial or full sale of an equity method investment such as KDP or JDE Peet's. As we record our share of KDP and JDE Peet’s ongoing earnings on a one-quarter lag basis, any KDP or JDE Peet’s ownership reductions are reflected as divestitures within our non-GAAP results the following quarter.</w:t>
      </w:r>
    </w:p>
    <w:p>
      <w:pPr>
        <w:spacing w:after="0" w:line="1" w:lineRule="exact"/>
        <w:rPr>
          <w:rFonts w:ascii="Arial" w:cs="Arial" w:eastAsia="Arial" w:hAnsi="Arial"/>
          <w:sz w:val="14"/>
          <w:szCs w:val="14"/>
          <w:color w:val="auto"/>
        </w:rPr>
      </w:pPr>
    </w:p>
    <w:p>
      <w:pPr>
        <w:jc w:val="both"/>
        <w:ind w:left="980" w:hanging="324"/>
        <w:spacing w:after="0" w:line="261" w:lineRule="auto"/>
        <w:tabs>
          <w:tab w:leader="none" w:pos="967" w:val="left"/>
        </w:tabs>
        <w:numPr>
          <w:ilvl w:val="1"/>
          <w:numId w:val="37"/>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hanging="324"/>
        <w:spacing w:after="0" w:line="284" w:lineRule="auto"/>
        <w:tabs>
          <w:tab w:leader="none" w:pos="967" w:val="left"/>
        </w:tabs>
        <w:numPr>
          <w:ilvl w:val="1"/>
          <w:numId w:val="37"/>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jc w:val="both"/>
        <w:ind w:left="980" w:hanging="324"/>
        <w:spacing w:after="0" w:line="261" w:lineRule="auto"/>
        <w:tabs>
          <w:tab w:leader="none" w:pos="9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of our divestitures as defined in footnote (2), also includes costs incurred associated with our publicly-announced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61" w:lineRule="auto"/>
        <w:tabs>
          <w:tab w:leader="none" w:pos="9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Acquisition-related costs, which includes transaction costs such as third party advisor, investment banking and legal fees, also includes one-time compensation expense related to the buyout of non-vested ESOP shares.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9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hanging="324"/>
        <w:spacing w:after="0" w:line="261" w:lineRule="auto"/>
        <w:tabs>
          <w:tab w:leader="none" w:pos="9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980" w:hanging="324"/>
        <w:spacing w:after="0" w:line="172" w:lineRule="exact"/>
        <w:tabs>
          <w:tab w:leader="none" w:pos="9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Argentina (beginning in the third quarter of 2018) and T</w:t>
      </w:r>
      <w:r>
        <w:rPr>
          <w:rFonts w:ascii="MS PGothic" w:cs="MS PGothic" w:eastAsia="MS PGothic" w:hAnsi="MS PGothic"/>
          <w:sz w:val="14"/>
          <w:szCs w:val="14"/>
          <w:color w:val="auto"/>
        </w:rPr>
        <w:t>✔</w:t>
      </w:r>
      <w:r>
        <w:rPr>
          <w:rFonts w:ascii="Arial" w:cs="Arial" w:eastAsia="Arial" w:hAnsi="Arial"/>
          <w:sz w:val="14"/>
          <w:szCs w:val="14"/>
          <w:color w:val="auto"/>
        </w:rPr>
        <w:t>rkiye (beginning in the second quarter of 2022), we exclude the related remeasurement gains or losses related to remeasuring net monetary assets or liabilities denominated in the local currency to the U.S. dollar during the periods presented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jc w:val="both"/>
        <w:ind w:left="980" w:hanging="324"/>
        <w:spacing w:after="0" w:line="258" w:lineRule="auto"/>
        <w:tabs>
          <w:tab w:leader="none" w:pos="9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1" w:lineRule="exact"/>
        <w:rPr>
          <w:rFonts w:ascii="Arial" w:cs="Arial" w:eastAsia="Arial" w:hAnsi="Arial"/>
          <w:sz w:val="14"/>
          <w:szCs w:val="14"/>
          <w:color w:val="auto"/>
        </w:rPr>
      </w:pPr>
    </w:p>
    <w:p>
      <w:pPr>
        <w:ind w:left="980" w:hanging="324"/>
        <w:spacing w:after="0" w:line="251" w:lineRule="auto"/>
        <w:tabs>
          <w:tab w:leader="none" w:pos="96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 –Tax Matters</w:t>
      </w:r>
      <w:r>
        <w:rPr>
          <w:rFonts w:ascii="Arial" w:cs="Arial" w:eastAsia="Arial" w:hAnsi="Arial"/>
          <w:sz w:val="14"/>
          <w:szCs w:val="14"/>
          <w:color w:val="auto"/>
        </w:rPr>
        <w:t>, in our Annual Report on Form 10-K for the year ended December 31, 2021.</w:t>
      </w:r>
    </w:p>
    <w:p>
      <w:pPr>
        <w:jc w:val="both"/>
        <w:ind w:left="980" w:hanging="324"/>
        <w:spacing w:after="0" w:line="261" w:lineRule="auto"/>
        <w:tabs>
          <w:tab w:leader="none" w:pos="9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from our operating results to facilitate evaluation and comparisons of our ongoing results. Incremental costs related to increasing operations in other primarily European facilities are not included with these costs.</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9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jc w:val="both"/>
        <w:ind w:left="980" w:hanging="324"/>
        <w:spacing w:after="0" w:line="256" w:lineRule="auto"/>
        <w:tabs>
          <w:tab w:leader="none" w:pos="9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Refer to our Annual Report on Form 10-K for the year ended December 31, 2021 for more information on the impact of Swiss and U.S. tax reform.</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979"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U.S. GAAP “diluted EPS attributable to Mondelēz International from continuing operations” includes all of the investees’ significant operating and non-operating items.</w:t>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ectPr>
          <w:pgSz w:w="11900" w:h="16838" w:orient="portrait"/>
          <w:cols w:equalWidth="0" w:num="1">
            <w:col w:w="11240"/>
          </w:cols>
          <w:pgMar w:left="320" w:top="364" w:right="339" w:bottom="1440" w:gutter="0" w:footer="0" w:header="0"/>
        </w:sectPr>
      </w:pPr>
    </w:p>
    <w:p>
      <w:pPr>
        <w:spacing w:after="0" w:line="111"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For the Three Months Ended September 30, 2022</w:t>
      </w:r>
    </w:p>
    <w:p>
      <w:pPr>
        <w:spacing w:after="0" w:line="35" w:lineRule="exact"/>
        <w:rPr>
          <w:sz w:val="20"/>
          <w:szCs w:val="20"/>
          <w:color w:val="auto"/>
        </w:rPr>
      </w:pPr>
    </w:p>
    <w:tbl>
      <w:tblPr>
        <w:tblLayout w:type="fixed"/>
        <w:tblInd w:w="2160" w:type="dxa"/>
        <w:tblCellMar>
          <w:top w:w="0" w:type="dxa"/>
          <w:left w:w="0" w:type="dxa"/>
          <w:bottom w:w="0" w:type="dxa"/>
          <w:right w:w="0" w:type="dxa"/>
        </w:tblCellMar>
      </w:tblPr>
      <w:tr>
        <w:trPr>
          <w:trHeight w:val="144"/>
        </w:trPr>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4"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For the Three Months Ended September 30,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4"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50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4,669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7,763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7,182</w:t>
            </w: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divestitures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398"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23495</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 w:lineRule="exact"/>
        <w:rPr>
          <w:sz w:val="20"/>
          <w:szCs w:val="20"/>
          <w:color w:val="auto"/>
        </w:rPr>
      </w:pPr>
    </w:p>
    <w:p>
      <w:pPr>
        <w:ind w:left="2540"/>
        <w:spacing w:after="0"/>
        <w:tabs>
          <w:tab w:leader="none" w:pos="4020" w:val="left"/>
        </w:tabs>
        <w:rPr>
          <w:sz w:val="20"/>
          <w:szCs w:val="20"/>
          <w:color w:val="auto"/>
        </w:rPr>
      </w:pPr>
      <w:r>
        <w:rPr>
          <w:rFonts w:ascii="Arial" w:cs="Arial" w:eastAsia="Arial" w:hAnsi="Arial"/>
          <w:sz w:val="14"/>
          <w:szCs w:val="14"/>
          <w:b w:val="1"/>
          <w:bCs w:val="1"/>
          <w:color w:val="auto"/>
        </w:rPr>
        <w:t>Emerging</w:t>
      </w:r>
      <w:r>
        <w:rPr>
          <w:sz w:val="20"/>
          <w:szCs w:val="20"/>
          <w:color w:val="auto"/>
        </w:rPr>
        <w:tab/>
      </w:r>
      <w:r>
        <w:rPr>
          <w:rFonts w:ascii="Arial" w:cs="Arial" w:eastAsia="Arial" w:hAnsi="Arial"/>
          <w:sz w:val="14"/>
          <w:szCs w:val="14"/>
          <w:b w:val="1"/>
          <w:bCs w:val="1"/>
          <w:color w:val="auto"/>
        </w:rPr>
        <w:t>Developed</w:t>
      </w:r>
    </w:p>
    <w:p>
      <w:pPr>
        <w:ind w:left="2600"/>
        <w:spacing w:after="0"/>
        <w:tabs>
          <w:tab w:leader="none" w:pos="4120" w:val="left"/>
          <w:tab w:leader="none" w:pos="5740" w:val="left"/>
        </w:tabs>
        <w:rPr>
          <w:sz w:val="20"/>
          <w:szCs w:val="20"/>
          <w:color w:val="auto"/>
        </w:rPr>
      </w:pPr>
      <w:r>
        <w:rPr>
          <w:rFonts w:ascii="Arial" w:cs="Arial" w:eastAsia="Arial" w:hAnsi="Arial"/>
          <w:sz w:val="14"/>
          <w:szCs w:val="14"/>
          <w:b w:val="1"/>
          <w:bCs w:val="1"/>
          <w:color w:val="auto"/>
        </w:rPr>
        <w:t>Markets</w:t>
      </w:r>
      <w:r>
        <w:rPr>
          <w:sz w:val="20"/>
          <w:szCs w:val="20"/>
          <w:color w:val="auto"/>
        </w:rPr>
        <w:tab/>
      </w:r>
      <w:r>
        <w:rPr>
          <w:rFonts w:ascii="Arial" w:cs="Arial" w:eastAsia="Arial" w:hAnsi="Arial"/>
          <w:sz w:val="14"/>
          <w:szCs w:val="14"/>
          <w:b w:val="1"/>
          <w:bCs w:val="1"/>
          <w:color w:val="auto"/>
        </w:rPr>
        <w:t>Markets</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14605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23495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Emerging</w:t>
      </w:r>
      <w:r>
        <w:rPr>
          <w:sz w:val="20"/>
          <w:szCs w:val="20"/>
          <w:color w:val="auto"/>
        </w:rPr>
        <w:tab/>
      </w:r>
      <w:r>
        <w:rPr>
          <w:rFonts w:ascii="Arial" w:cs="Arial" w:eastAsia="Arial" w:hAnsi="Arial"/>
          <w:sz w:val="14"/>
          <w:szCs w:val="14"/>
          <w:b w:val="1"/>
          <w:bCs w:val="1"/>
          <w:color w:val="auto"/>
        </w:rPr>
        <w:t>Developed</w:t>
      </w:r>
    </w:p>
    <w:p>
      <w:pPr>
        <w:ind w:left="60"/>
        <w:spacing w:after="0"/>
        <w:tabs>
          <w:tab w:leader="none" w:pos="1560" w:val="left"/>
          <w:tab w:leader="none" w:pos="3200" w:val="left"/>
        </w:tabs>
        <w:rPr>
          <w:sz w:val="20"/>
          <w:szCs w:val="20"/>
          <w:color w:val="auto"/>
        </w:rPr>
      </w:pPr>
      <w:r>
        <w:rPr>
          <w:rFonts w:ascii="Arial" w:cs="Arial" w:eastAsia="Arial" w:hAnsi="Arial"/>
          <w:sz w:val="14"/>
          <w:szCs w:val="14"/>
          <w:b w:val="1"/>
          <w:bCs w:val="1"/>
          <w:color w:val="auto"/>
        </w:rPr>
        <w:t>Markets</w:t>
      </w:r>
      <w:r>
        <w:rPr>
          <w:sz w:val="20"/>
          <w:szCs w:val="20"/>
          <w:color w:val="auto"/>
        </w:rPr>
        <w:tab/>
      </w:r>
      <w:r>
        <w:rPr>
          <w:rFonts w:ascii="Arial" w:cs="Arial" w:eastAsia="Arial" w:hAnsi="Arial"/>
          <w:sz w:val="14"/>
          <w:szCs w:val="14"/>
          <w:b w:val="1"/>
          <w:bCs w:val="1"/>
          <w:color w:val="auto"/>
        </w:rPr>
        <w:t>Markets</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14605</wp:posOffset>
            </wp:positionV>
            <wp:extent cx="28460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p>
      <w:pPr>
        <w:sectPr>
          <w:pgSz w:w="11900" w:h="16838" w:orient="portrait"/>
          <w:cols w:equalWidth="0" w:num="2">
            <w:col w:w="6420" w:space="720"/>
            <w:col w:w="410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22,801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21,062</w:t>
            </w: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160" w:type="dxa"/>
            <w:vAlign w:val="bottom"/>
          </w:tcPr>
          <w:p>
            <w:pPr>
              <w:ind w:left="140"/>
              <w:spacing w:after="0"/>
              <w:rPr>
                <w:sz w:val="20"/>
                <w:szCs w:val="20"/>
                <w:color w:val="auto"/>
              </w:rPr>
            </w:pPr>
            <w:r>
              <w:rPr>
                <w:rFonts w:ascii="Arial" w:cs="Arial" w:eastAsia="Arial" w:hAnsi="Arial"/>
                <w:sz w:val="16"/>
                <w:szCs w:val="16"/>
                <w:color w:val="auto"/>
              </w:rPr>
              <w:t>Impact of divestitures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5"/>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21,004</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forecasted currency and equity method investment transaction derivative contracts; acquisition integration costs and contingent consideration adjustments; inventory step-up charges: acquisition-related costs; divestiture-related costs; operating income from divestitures, gain on an acquisition; incremental costs due to the war in Ukraine; the remeasurement of net monetary position; impact from pension participation changes; and impact from resolution of tax matters. We also evaluate Adjusted Operating Income on a constant currency basis. We believe these measures provide improved comparability of underlying operating results.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Inventory step-up</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(4)</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8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jc w:val="center"/>
        <w:ind w:left="334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left="3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17316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8" w:lineRule="exact"/>
        <w:rPr>
          <w:sz w:val="20"/>
          <w:szCs w:val="20"/>
          <w:color w:val="auto"/>
        </w:rPr>
      </w:pPr>
    </w:p>
    <w:p>
      <w:pPr>
        <w:jc w:val="both"/>
        <w:ind w:left="6420"/>
        <w:spacing w:after="0"/>
        <w:tabs>
          <w:tab w:leader="none" w:pos="7820" w:val="left"/>
          <w:tab w:leader="none" w:pos="8980" w:val="left"/>
          <w:tab w:leader="none" w:pos="102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23495</wp:posOffset>
            </wp:positionV>
            <wp:extent cx="3368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240"/>
          </w:cols>
          <w:pgMar w:left="320" w:top="364" w:right="339" w:bottom="1440" w:gutter="0" w:footer="0" w:header="0"/>
        </w:sectPr>
      </w:pP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2,700</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(749)</w:t>
            </w: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2"/>
        </w:trPr>
        <w:tc>
          <w:tcPr>
            <w:tcW w:w="5920" w:type="dxa"/>
            <w:vAlign w:val="bottom"/>
          </w:tcPr>
          <w:p>
            <w:pPr>
              <w:ind w:left="160"/>
              <w:spacing w:after="0" w:line="232"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81"/>
        </w:trPr>
        <w:tc>
          <w:tcPr>
            <w:tcW w:w="5920" w:type="dxa"/>
            <w:vAlign w:val="bottom"/>
          </w:tcPr>
          <w:p>
            <w:pPr>
              <w:ind w:left="160"/>
              <w:spacing w:after="0" w:line="181" w:lineRule="exact"/>
              <w:rPr>
                <w:sz w:val="20"/>
                <w:szCs w:val="20"/>
                <w:color w:val="auto"/>
              </w:rPr>
            </w:pPr>
            <w:r>
              <w:rPr>
                <w:rFonts w:ascii="Arial" w:cs="Arial" w:eastAsia="Arial" w:hAnsi="Arial"/>
                <w:sz w:val="18"/>
                <w:szCs w:val="18"/>
                <w:color w:val="auto"/>
              </w:rPr>
              <w:t>Acquisition integration costs and</w:t>
            </w: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5"/>
        </w:trPr>
        <w:tc>
          <w:tcPr>
            <w:tcW w:w="5920" w:type="dxa"/>
            <w:vAlign w:val="bottom"/>
          </w:tcPr>
          <w:p>
            <w:pPr>
              <w:ind w:left="320"/>
              <w:spacing w:after="0" w:line="235"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4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9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5920" w:type="dxa"/>
            <w:vAlign w:val="bottom"/>
          </w:tcPr>
          <w:p>
            <w:pPr>
              <w:ind w:left="160"/>
              <w:spacing w:after="0" w:line="237"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(7)</w:t>
            </w:r>
          </w:p>
        </w:tc>
        <w:tc>
          <w:tcPr>
            <w:tcW w:w="4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5920" w:type="dxa"/>
            <w:vAlign w:val="bottom"/>
          </w:tcPr>
          <w:p>
            <w:pPr>
              <w:spacing w:after="0"/>
              <w:rPr>
                <w:sz w:val="20"/>
                <w:szCs w:val="20"/>
                <w:color w:val="auto"/>
              </w:rPr>
            </w:pPr>
            <w:r>
              <w:rPr>
                <w:rFonts w:ascii="Arial" w:cs="Arial" w:eastAsia="Arial" w:hAnsi="Arial"/>
                <w:sz w:val="18"/>
                <w:szCs w:val="18"/>
                <w:b w:val="1"/>
                <w:bCs w:val="1"/>
                <w:color w:val="auto"/>
              </w:rPr>
              <w:t>Adjusted Operating Income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3,727</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35"/>
        </w:trPr>
        <w:tc>
          <w:tcPr>
            <w:tcW w:w="5920" w:type="dxa"/>
            <w:vAlign w:val="bottom"/>
          </w:tcPr>
          <w:p>
            <w:pPr>
              <w:ind w:left="160"/>
              <w:spacing w:after="0"/>
              <w:rPr>
                <w:sz w:val="20"/>
                <w:szCs w:val="20"/>
                <w:color w:val="auto"/>
              </w:rPr>
            </w:pPr>
            <w:r>
              <w:rPr>
                <w:rFonts w:ascii="Arial" w:cs="Arial" w:eastAsia="Arial" w:hAnsi="Arial"/>
                <w:sz w:val="18"/>
                <w:szCs w:val="18"/>
                <w:color w:val="auto"/>
              </w:rPr>
              <w:t>Unfavorable currency translation</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Adjusted Operating Income (constant currency)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8"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3.7 %</w:t>
      </w:r>
    </w:p>
    <w:p>
      <w:pPr>
        <w:spacing w:after="0" w:line="29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10.6 %</w:t>
      </w:r>
    </w:p>
    <w:p>
      <w:pPr>
        <w:spacing w:after="0" w:line="735" w:lineRule="exact"/>
        <w:rPr>
          <w:sz w:val="20"/>
          <w:szCs w:val="20"/>
          <w:color w:val="auto"/>
        </w:rPr>
      </w:pPr>
    </w:p>
    <w:p>
      <w:pPr>
        <w:sectPr>
          <w:pgSz w:w="11900" w:h="16838" w:orient="portrait"/>
          <w:cols w:equalWidth="0" w:num="2">
            <w:col w:w="9880" w:space="700"/>
            <w:col w:w="660"/>
          </w:cols>
          <w:pgMar w:left="320" w:top="364" w:right="339" w:bottom="1440" w:gutter="0" w:footer="0" w:header="0"/>
          <w:type w:val="continuous"/>
        </w:sectPr>
      </w:pPr>
    </w:p>
    <w:p>
      <w:pPr>
        <w:ind w:left="340" w:hanging="332"/>
        <w:spacing w:after="0" w:line="261"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forecasted currency and equity method investment transaction derivatives.</w:t>
      </w:r>
    </w:p>
    <w:p>
      <w:pPr>
        <w:jc w:val="both"/>
        <w:ind w:left="340" w:hanging="332"/>
        <w:spacing w:after="0" w:line="254"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August 1, 2022 acquisition of Clif Bar, the January 3, 2022 acquisition of Chipita, the November 1, 2021 sale of MaxFoods Pty Ltd, the April 1, 2021 acquisition of Gourmet Food Holdings Pty Ltd, the March 25, 2021 acquisition of a majority interest in Grenade and the January 4, 2021 acquisition of the remaining 93% of equity in Hu Master Holdings.</w:t>
      </w:r>
    </w:p>
    <w:p>
      <w:pPr>
        <w:spacing w:after="0" w:line="1" w:lineRule="exact"/>
        <w:rPr>
          <w:rFonts w:ascii="Arial" w:cs="Arial" w:eastAsia="Arial" w:hAnsi="Arial"/>
          <w:sz w:val="14"/>
          <w:szCs w:val="14"/>
          <w:color w:val="auto"/>
        </w:rPr>
      </w:pPr>
    </w:p>
    <w:p>
      <w:pPr>
        <w:ind w:left="340" w:right="20" w:hanging="332"/>
        <w:spacing w:after="0" w:line="176" w:lineRule="exact"/>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xml:space="preserve"> for information on our accounting for the war in Ukraine and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losses on debt extinguishment and related expenses; initial impacts from enacted tax law changes;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2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8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Inventory step-up</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(3)</w:t>
            </w:r>
          </w:p>
        </w:tc>
        <w:tc>
          <w:tcPr>
            <w:tcW w:w="8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Loss/(gain) on equity method investment transactions </w:t>
            </w:r>
            <w:r>
              <w:rPr>
                <w:rFonts w:ascii="Arial" w:cs="Arial" w:eastAsia="Arial" w:hAnsi="Arial"/>
                <w:sz w:val="23"/>
                <w:szCs w:val="23"/>
                <w:color w:val="auto"/>
                <w:vertAlign w:val="superscript"/>
              </w:rPr>
              <w:t>(5)</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84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0.74</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5.7 %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Nine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10"/>
                <w:szCs w:val="10"/>
                <w:color w:val="auto"/>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0"/>
                <w:szCs w:val="10"/>
                <w:color w:val="auto"/>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0"/>
                <w:szCs w:val="10"/>
                <w:color w:val="auto"/>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(6)</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Loss/(gain) on equity method investment transactions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3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20" w:hanging="332"/>
        <w:spacing w:after="0" w:line="26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56"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three months ended September 30, 2022, taxes for the: Simplify to Grow Program were $(3) million, intangible asset impairment charges were $(6) million, mark-to-market losses from derivatives were $(22) million, acquisition integration costs and contingent consideration adjustments were $(6) million, inventory step-up charges were $(5) million, acquisition-related costs were zero, remeasurement of net monetary position were zero and initial impacts from enacted tax law changes were $13 million.</w:t>
      </w:r>
    </w:p>
    <w:p>
      <w:pPr>
        <w:spacing w:after="0" w:line="1" w:lineRule="exact"/>
        <w:rPr>
          <w:rFonts w:ascii="Arial" w:cs="Arial" w:eastAsia="Arial" w:hAnsi="Arial"/>
          <w:sz w:val="14"/>
          <w:szCs w:val="14"/>
          <w:color w:val="auto"/>
        </w:rPr>
      </w:pPr>
    </w:p>
    <w:p>
      <w:pPr>
        <w:jc w:val="both"/>
        <w:ind w:left="660" w:hanging="328"/>
        <w:spacing w:after="0" w:line="261"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three months ended September 30, 2021, taxes for the: Simplify to Grow Program were $(32) million, mark-to-market gains from derivatives were $24 million, acquisition integration costs and contingent consideration adjustments were $15 million, net earnings from divestitures were $4 million and gain on equity method transactions were $59 million.</w:t>
      </w:r>
    </w:p>
    <w:p>
      <w:pPr>
        <w:spacing w:after="0" w:line="1" w:lineRule="exact"/>
        <w:rPr>
          <w:rFonts w:ascii="Arial" w:cs="Arial" w:eastAsia="Arial" w:hAnsi="Arial"/>
          <w:sz w:val="14"/>
          <w:szCs w:val="14"/>
          <w:color w:val="auto"/>
        </w:rPr>
      </w:pPr>
    </w:p>
    <w:p>
      <w:pPr>
        <w:jc w:val="both"/>
        <w:ind w:left="660" w:hanging="328"/>
        <w:spacing w:after="0" w:line="257"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nine months ended September 30, 2022, taxes for the: Simplify to Grow Program were $(16) million, intangible asset impairment charge was $(25) million, mark-to-market losses from derivatives were $(41) million, acquisition integration costs and contingent consideration adjustments were $(57) million, inventory step-up charges were $(5) million, acquisition-related costs were $(3) million, divestiture-related costs were $(3) million, remeasurement of net monetary position were zero, incremental costs due to the war in Ukraine were $4 million, loss on debt extinguishment and related expenses were $(31) million, initial impacts from enacted tax law changes were $22 million, loss on equity method investment transactions were $1 million and equity method investee items were $1 million.</w:t>
      </w:r>
    </w:p>
    <w:p>
      <w:pPr>
        <w:spacing w:after="0" w:line="2" w:lineRule="exact"/>
        <w:rPr>
          <w:rFonts w:ascii="Arial" w:cs="Arial" w:eastAsia="Arial" w:hAnsi="Arial"/>
          <w:sz w:val="14"/>
          <w:szCs w:val="14"/>
          <w:color w:val="auto"/>
        </w:rPr>
      </w:pPr>
    </w:p>
    <w:p>
      <w:pPr>
        <w:jc w:val="both"/>
        <w:ind w:left="660" w:hanging="328"/>
        <w:spacing w:after="0" w:line="257" w:lineRule="auto"/>
        <w:tabs>
          <w:tab w:leader="none" w:pos="6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For the nine months ended September 30, 2021, taxes for the: Simplify to Grow Program were $(98) million, intangible asset impairment charges were $(8) million, mark-to-market gains from derivatives were $42 million, acquisition-related costs were $(4) million, acquisition integration costs and contingent consideration adjustments were $14 million, net earnings from divestitures were $11 million, remeasurement of net monetary position were zero, impact from pension participation changes were $(8) million, loss on debt extinguishment were $(34) million, initial impacts from enacted tax law changes were $95 million, gain on equity method investment transactions were $184 million and equity method investee items were $(3) million.</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impact from 2021 sales of a portion of our equity method investment in KDP and our second quarter 2022 sale of a portion of our equity method investment in JDE Peet's as if the sales occurred at the beginning of all periods presented.</w:t>
      </w: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impact.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4" w:lineRule="exact"/>
        <w:rPr>
          <w:rFonts w:ascii="Arial" w:cs="Arial" w:eastAsia="Arial" w:hAnsi="Arial"/>
          <w:sz w:val="14"/>
          <w:szCs w:val="14"/>
          <w:color w:val="auto"/>
        </w:rPr>
      </w:pPr>
    </w:p>
    <w:p>
      <w:pPr>
        <w:ind w:left="340" w:right="20" w:hanging="332"/>
        <w:spacing w:after="0" w:line="264"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as well as the war in Ukraine has had a material unfavorable impact on global and local markets, including commodity, currency and capital markets. These markets are likely to continue to remain volatile while these situations continue.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nine months ended September 30, 2022.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including our discussion of T</w:t>
      </w:r>
      <w:r>
        <w:rPr>
          <w:rFonts w:ascii="MS PGothic" w:cs="MS PGothic" w:eastAsia="MS PGothic" w:hAnsi="MS PGothic"/>
          <w:sz w:val="18"/>
          <w:szCs w:val="18"/>
          <w:color w:val="auto"/>
        </w:rPr>
        <w:t>✔</w:t>
      </w:r>
      <w:r>
        <w:rPr>
          <w:rFonts w:ascii="Arial" w:cs="Arial" w:eastAsia="Arial" w:hAnsi="Arial"/>
          <w:sz w:val="18"/>
          <w:szCs w:val="18"/>
          <w:color w:val="auto"/>
        </w:rPr>
        <w:t>rkiye becoming a highly inflationary economy on April 1, 2022 and the related currency remeasurement impacts.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unforeseen conditions such as the current COVID-19 global pandemic and war in Ukraine.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2022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2022 derivative activity. For additional information on our hedging strategies, policies and practices on an ongoing basis, also refer to our Annual Report on Form 10-K for the year ended December 31, 2021.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2022. Based on this evaluation, the CEO and CFO concluded that our disclosure controls and procedures were effective as of September 30,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2022. There were no material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2021 and our Quarterly Report on Form 10-Q for the quarterly period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2022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Purchased </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August 1-31, 2022</w:t>
            </w:r>
          </w:p>
        </w:tc>
        <w:tc>
          <w:tcPr>
            <w:tcW w:w="1520" w:type="dxa"/>
            <w:vAlign w:val="bottom"/>
          </w:tcPr>
          <w:p>
            <w:pPr>
              <w:jc w:val="right"/>
              <w:spacing w:after="0"/>
              <w:rPr>
                <w:sz w:val="20"/>
                <w:szCs w:val="20"/>
                <w:color w:val="auto"/>
              </w:rPr>
            </w:pPr>
            <w:r>
              <w:rPr>
                <w:rFonts w:ascii="Arial" w:cs="Arial" w:eastAsia="Arial" w:hAnsi="Arial"/>
                <w:sz w:val="18"/>
                <w:szCs w:val="18"/>
                <w:color w:val="auto"/>
              </w:rPr>
              <w:t>1,053,061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1,049,976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September 30,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5,523,118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2,994 shares, 3,085 shares and 4,128 shares for the fiscal months of July, August and September 2022, respectively.</w:t>
      </w:r>
    </w:p>
    <w:p>
      <w:pPr>
        <w:spacing w:after="0" w:line="1"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As of September 30, 2022, our Board of Directors has authorized the repurchase up to $23.7 billion of our Common Stock through December 31, 2023. Since the program inception on March 12, 2013 through September 30, 2022, we have repurchased $21.9 billion, and as of September 30, 2202, we had approximately $1.8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20"/>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0" w:type="dxa"/>
            <w:vAlign w:val="bottom"/>
            <w:gridSpan w:val="14"/>
            <w:vMerge w:val="restart"/>
          </w:tcPr>
          <w:p>
            <w:pPr>
              <w:ind w:left="17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43"/>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600" w:type="dxa"/>
            <w:vAlign w:val="bottom"/>
            <w:gridSpan w:val="1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10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8460" w:type="dxa"/>
            <w:vAlign w:val="bottom"/>
            <w:tcBorders>
              <w:bottom w:val="single" w:sz="8" w:color="0000FF"/>
            </w:tcBorders>
            <w:gridSpan w:val="8"/>
          </w:tcPr>
          <w:p>
            <w:pPr>
              <w:spacing w:after="0" w:line="149" w:lineRule="exact"/>
              <w:rPr>
                <w:rFonts w:ascii="Arial" w:cs="Arial" w:eastAsia="Arial" w:hAnsi="Arial"/>
                <w:sz w:val="17"/>
                <w:szCs w:val="17"/>
                <w:color w:val="0000FF"/>
              </w:rPr>
            </w:pPr>
            <w:hyperlink r:id="rId130">
              <w:r>
                <w:rPr>
                  <w:rFonts w:ascii="Arial" w:cs="Arial" w:eastAsia="Arial" w:hAnsi="Arial"/>
                  <w:sz w:val="17"/>
                  <w:szCs w:val="17"/>
                  <w:color w:val="0000FF"/>
                </w:rPr>
                <w:t>Amended and Restated By-Laws of the Registrant, effective as of October 19, 2022 (incorporated by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6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reference to Exhibit 3.1 to the Registrant’s Current Report on Form 8-K filed with the SEC on October 24,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2022).</w:t>
              </w:r>
            </w:hyperlink>
          </w:p>
        </w:tc>
        <w:tc>
          <w:tcPr>
            <w:tcW w:w="15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w:t>
            </w: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40" w:type="dxa"/>
            <w:vAlign w:val="bottom"/>
            <w:gridSpan w:val="16"/>
          </w:tcPr>
          <w:p>
            <w:pPr>
              <w:spacing w:after="0" w:line="183" w:lineRule="exact"/>
              <w:rPr>
                <w:sz w:val="20"/>
                <w:szCs w:val="20"/>
                <w:color w:val="auto"/>
              </w:rPr>
            </w:pPr>
            <w:r>
              <w:rPr>
                <w:rFonts w:ascii="Arial" w:cs="Arial" w:eastAsia="Arial" w:hAnsi="Arial"/>
                <w:sz w:val="18"/>
                <w:szCs w:val="18"/>
                <w:color w:val="auto"/>
              </w:rPr>
              <w:t>holders of long-term debt of the Registrant and its consolidated subsidiaries that does not exceed 10</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auto"/>
              </w:rPr>
              <w:t>percent of the total assets of the Registrant and its consolidated subsidiaries.</w:t>
            </w:r>
          </w:p>
        </w:tc>
        <w:tc>
          <w:tcPr>
            <w:tcW w:w="0" w:type="dxa"/>
            <w:vAlign w:val="bottom"/>
          </w:tcPr>
          <w:p>
            <w:pPr>
              <w:spacing w:after="0"/>
              <w:rPr>
                <w:sz w:val="1"/>
                <w:szCs w:val="1"/>
                <w:color w:val="auto"/>
              </w:rPr>
            </w:pPr>
          </w:p>
        </w:tc>
      </w:tr>
      <w:tr>
        <w:trPr>
          <w:trHeight w:val="194"/>
        </w:trPr>
        <w:tc>
          <w:tcPr>
            <w:tcW w:w="1100" w:type="dxa"/>
            <w:vAlign w:val="bottom"/>
          </w:tcPr>
          <w:p>
            <w:pPr>
              <w:ind w:left="20"/>
              <w:spacing w:after="0" w:line="195"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8640" w:type="dxa"/>
            <w:vAlign w:val="bottom"/>
            <w:gridSpan w:val="16"/>
          </w:tcPr>
          <w:p>
            <w:pPr>
              <w:spacing w:after="0" w:line="195" w:lineRule="exact"/>
              <w:rPr>
                <w:rFonts w:ascii="Arial" w:cs="Arial" w:eastAsia="Arial" w:hAnsi="Arial"/>
                <w:sz w:val="18"/>
                <w:szCs w:val="18"/>
                <w:color w:val="0000FF"/>
              </w:rPr>
            </w:pPr>
            <w:hyperlink r:id="rId131">
              <w:r>
                <w:rPr>
                  <w:rFonts w:ascii="Arial" w:cs="Arial" w:eastAsia="Arial" w:hAnsi="Arial"/>
                  <w:sz w:val="18"/>
                  <w:szCs w:val="18"/>
                  <w:color w:val="0000FF"/>
                </w:rPr>
                <w:t>Sixth Supplemental Indenture, dated as of September 15, 2022, by and among Mondelez International</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Company Americas, as trustee (incorporated by reference to Exhibit 4.2 to the Registrant’s Current Report</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on Form 8-K filed with the SEC on September 16, 2022)</w:t>
              </w:r>
              <w:r>
                <w:rPr>
                  <w:rFonts w:ascii="Arial" w:cs="Arial" w:eastAsia="Arial" w:hAnsi="Arial"/>
                  <w:sz w:val="18"/>
                  <w:szCs w:val="18"/>
                  <w:u w:val="single" w:color="auto"/>
                  <w:color w:val="0000FF"/>
                </w:rPr>
                <w:t>.</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8640" w:type="dxa"/>
            <w:vAlign w:val="bottom"/>
            <w:gridSpan w:val="1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Term Credit Agreement, dated July 11, 2022, by and among Mondelēz International, Inc., the lenders</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 xml:space="preserve">named therein and Mizuho Bank, Ltd., as Administrative Agent </w:t>
              </w:r>
              <w:r>
                <w:rPr>
                  <w:rFonts w:ascii="Arial" w:cs="Arial" w:eastAsia="Arial" w:hAnsi="Arial"/>
                  <w:sz w:val="18"/>
                  <w:szCs w:val="18"/>
                  <w:u w:val="single" w:color="auto"/>
                  <w:color w:val="0000FF"/>
                </w:rPr>
                <w:t>(incorporated</w:t>
              </w:r>
              <w:r>
                <w:rPr>
                  <w:rFonts w:ascii="Arial" w:cs="Arial" w:eastAsia="Arial" w:hAnsi="Arial"/>
                  <w:sz w:val="18"/>
                  <w:szCs w:val="18"/>
                  <w:color w:val="0000FF"/>
                </w:rPr>
                <w:t xml:space="preserve"> by reference to Exhibit 10.1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1200" w:type="dxa"/>
            <w:vAlign w:val="bottom"/>
            <w:tcBorders>
              <w:bottom w:val="single" w:sz="8" w:color="0000FF"/>
            </w:tcBorders>
            <w:shd w:val="clear" w:color="auto" w:fill="0000FF"/>
          </w:tcPr>
          <w:p>
            <w:pPr>
              <w:spacing w:after="0" w:line="20" w:lineRule="exact"/>
              <w:rPr>
                <w:sz w:val="1"/>
                <w:szCs w:val="1"/>
                <w:color w:val="auto"/>
              </w:rPr>
            </w:pPr>
          </w:p>
        </w:tc>
        <w:tc>
          <w:tcPr>
            <w:tcW w:w="1840" w:type="dxa"/>
            <w:vAlign w:val="bottom"/>
            <w:tcBorders>
              <w:bottom w:val="single" w:sz="8" w:color="0000FF"/>
            </w:tcBorders>
            <w:gridSpan w:val="2"/>
            <w:shd w:val="clear" w:color="auto" w:fill="0000FF"/>
          </w:tcPr>
          <w:p>
            <w:pPr>
              <w:spacing w:after="0" w:line="20" w:lineRule="exact"/>
              <w:rPr>
                <w:sz w:val="1"/>
                <w:szCs w:val="1"/>
                <w:color w:val="auto"/>
              </w:rPr>
            </w:pPr>
          </w:p>
        </w:tc>
        <w:tc>
          <w:tcPr>
            <w:tcW w:w="40" w:type="dxa"/>
            <w:vAlign w:val="bottom"/>
            <w:tcBorders>
              <w:bottom w:val="single" w:sz="8" w:color="0000FF"/>
            </w:tcBorders>
            <w:gridSpan w:val="2"/>
            <w:shd w:val="clear" w:color="auto" w:fill="0000FF"/>
          </w:tcPr>
          <w:p>
            <w:pPr>
              <w:spacing w:after="0" w:line="20" w:lineRule="exact"/>
              <w:rPr>
                <w:sz w:val="1"/>
                <w:szCs w:val="1"/>
                <w:color w:val="auto"/>
              </w:rPr>
            </w:pPr>
          </w:p>
        </w:tc>
        <w:tc>
          <w:tcPr>
            <w:tcW w:w="6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gridSpan w:val="5"/>
          </w:tcPr>
          <w:p>
            <w:pPr>
              <w:spacing w:after="0" w:line="149" w:lineRule="exact"/>
              <w:rPr>
                <w:rFonts w:ascii="Arial" w:cs="Arial" w:eastAsia="Arial" w:hAnsi="Arial"/>
                <w:sz w:val="17"/>
                <w:szCs w:val="17"/>
                <w:color w:val="0000FF"/>
              </w:rPr>
            </w:pPr>
            <w:hyperlink r:id="rId132">
              <w:r>
                <w:rPr>
                  <w:rFonts w:ascii="Arial" w:cs="Arial" w:eastAsia="Arial" w:hAnsi="Arial"/>
                  <w:sz w:val="17"/>
                  <w:szCs w:val="17"/>
                  <w:color w:val="0000FF"/>
                </w:rPr>
                <w:t>to the Registrant’s Current Report on Form 8-K filed with the SEC</w:t>
              </w:r>
            </w:hyperlink>
          </w:p>
        </w:tc>
        <w:tc>
          <w:tcPr>
            <w:tcW w:w="3420" w:type="dxa"/>
            <w:vAlign w:val="bottom"/>
            <w:gridSpan w:val="8"/>
          </w:tcPr>
          <w:p>
            <w:pPr>
              <w:ind w:left="100"/>
              <w:spacing w:after="0" w:line="149" w:lineRule="exact"/>
              <w:rPr>
                <w:rFonts w:ascii="Arial" w:cs="Arial" w:eastAsia="Arial" w:hAnsi="Arial"/>
                <w:sz w:val="17"/>
                <w:szCs w:val="17"/>
                <w:color w:val="0000FF"/>
              </w:rPr>
            </w:pPr>
            <w:hyperlink r:id="rId132">
              <w:r>
                <w:rPr>
                  <w:rFonts w:ascii="Arial" w:cs="Arial" w:eastAsia="Arial" w:hAnsi="Arial"/>
                  <w:sz w:val="17"/>
                  <w:szCs w:val="17"/>
                  <w:color w:val="0000FF"/>
                </w:rPr>
                <w:t>on July 12, 2022)</w:t>
              </w:r>
              <w:r>
                <w:rPr>
                  <w:rFonts w:ascii="Arial" w:cs="Arial" w:eastAsia="Arial" w:hAnsi="Arial"/>
                  <w:sz w:val="17"/>
                  <w:szCs w:val="17"/>
                  <w:u w:val="single" w:color="auto"/>
                  <w:color w:val="0000FF"/>
                </w:rPr>
                <w:t>.</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Certification of Chief Executive Officer pursuant to Rule 13a-14(a)/15d-14(a) of the Securities Exchange</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Act of 1934, as amended.</w:t>
            </w: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Certification of Chief Financial Officer pursuant to Rule 13a-14(a)/15d-14(a) of the Securities Exchange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8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Act of 1934, as amended.</w:t>
            </w: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8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-934085</wp:posOffset>
            </wp:positionV>
            <wp:extent cx="381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5" w:lineRule="exact"/>
        <w:rPr>
          <w:sz w:val="20"/>
          <w:szCs w:val="20"/>
          <w:color w:val="auto"/>
        </w:rPr>
      </w:pPr>
    </w:p>
    <w:p>
      <w:pPr>
        <w:jc w:val="both"/>
        <w:ind w:left="1220" w:right="439" w:hanging="1194"/>
        <w:spacing w:after="0" w:line="221"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2022 are formatted in iXBRL (Inline eXtensible Business Reporting Language):</w:t>
      </w:r>
    </w:p>
    <w:p>
      <w:pPr>
        <w:spacing w:after="0" w:line="1" w:lineRule="exact"/>
        <w:rPr>
          <w:rFonts w:ascii="Arial" w:cs="Arial" w:eastAsia="Arial" w:hAnsi="Arial"/>
          <w:sz w:val="18"/>
          <w:szCs w:val="18"/>
          <w:color w:val="auto"/>
        </w:rPr>
      </w:pPr>
    </w:p>
    <w:p>
      <w:pPr>
        <w:jc w:val="both"/>
        <w:ind w:left="1220" w:right="439" w:hanging="6"/>
        <w:spacing w:after="0" w:line="203" w:lineRule="auto"/>
        <w:tabs>
          <w:tab w:leader="none" w:pos="144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Condensed Consolidated Statements of Earnings, (ii) the Condensed Consolidated Statements of Comprehensive Earnings, (iii) the Condensed Consolidated Balance Sheets, (iv) the Condensed Consolidated Statements of Equity, (v) the Condensed Consolidated Statements of Cash Flows and</w:t>
      </w:r>
    </w:p>
    <w:p>
      <w:pPr>
        <w:spacing w:after="0" w:line="1" w:lineRule="exact"/>
        <w:rPr>
          <w:rFonts w:ascii="Arial" w:cs="Arial" w:eastAsia="Arial" w:hAnsi="Arial"/>
          <w:sz w:val="18"/>
          <w:szCs w:val="18"/>
          <w:color w:val="auto"/>
        </w:rPr>
      </w:pPr>
    </w:p>
    <w:p>
      <w:pPr>
        <w:ind w:left="1520" w:hanging="306"/>
        <w:spacing w:after="0"/>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8" w:lineRule="exact"/>
        <w:rPr>
          <w:sz w:val="20"/>
          <w:szCs w:val="20"/>
          <w:color w:val="auto"/>
        </w:rPr>
      </w:pPr>
    </w:p>
    <w:p>
      <w:pPr>
        <w:ind w:left="1220" w:right="439" w:hanging="119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2022, formatted in Inline XBRL (included as Exhibit 101).</w:t>
      </w:r>
    </w:p>
    <w:p>
      <w:pPr>
        <w:spacing w:after="0" w:line="4"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364"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2022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2022 (the "Report"), fully complies with the requirements of</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Section 13(a) or 15(d) of the Securities Exchange Act of 1934 and that the information contained in the Report fairly presents, in all material respects, Mondelēz International’s financial condition and results of operations.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lvl w:ilvl="1">
      <w:lvlJc w:val="left"/>
      <w:lvlText w:val="\endash "/>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8"/>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lvl w:ilvl="1">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2)"/>
      <w:numFmt w:val="decimal"/>
      <w:start w:val="1"/>
    </w:lvl>
  </w:abstractNum>
  <w:abstractNum w:abstractNumId="37">
    <w:nsid w:val="6A2342EC"/>
    <w:multiLevelType w:val="hybridMultilevel"/>
    <w:lvl w:ilvl="0">
      <w:lvlJc w:val="left"/>
      <w:lvlText w:val="(%1)"/>
      <w:numFmt w:val="decimal"/>
      <w:start w:val="5"/>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3"/>
    </w:lvl>
  </w:abstractNum>
  <w:abstractNum w:abstractNumId="40">
    <w:nsid w:val="725A06FB"/>
    <w:multiLevelType w:val="hybridMultilevel"/>
    <w:lvl w:ilvl="0">
      <w:lvlJc w:val="left"/>
      <w:lvlText w:val="(%1)"/>
      <w:numFmt w:val="decimal"/>
      <w:start w:val="1"/>
    </w:lvl>
    <w:lvl w:ilvl="1">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01"/>
    </w:lvl>
    <w:lvl w:ilvl="1">
      <w:lvlJc w:val="left"/>
      <w:lvlText w:val="(%2)"/>
      <w:numFmt w:val="lowerRoman"/>
      <w:start w:val="1"/>
    </w:lvl>
  </w:abstractNum>
  <w:abstractNum w:abstractNumId="43">
    <w:nsid w:val="7A6D8D3C"/>
    <w:multiLevelType w:val="hybridMultilevel"/>
    <w:lvl w:ilvl="0">
      <w:lvlJc w:val="left"/>
      <w:lvlText w:val="%1"/>
      <w:numFmt w:val="decimal"/>
      <w:start w:val="1"/>
    </w:lvl>
    <w:lvl w:ilvl="1">
      <w:lvlJc w:val="left"/>
      <w:lvlText w:val="(%2)"/>
      <w:numFmt w:val="lowerRoman"/>
      <w:start w:val="6"/>
    </w:lvl>
  </w:abstractNum>
  <w:abstractNum w:abstractNumId="44">
    <w:nsid w:val="4B588F54"/>
    <w:multiLevelType w:val="hybridMultilevel"/>
    <w:lvl w:ilvl="0">
      <w:lvlJc w:val="left"/>
      <w:lvlText w:val="%1"/>
      <w:numFmt w:val="decimal"/>
      <w:start w:val="104"/>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30" Type="http://schemas.openxmlformats.org/officeDocument/2006/relationships/hyperlink" Target="https://www.sec.gov/Archives/edgar/data/1103982/000119312522267587/d320978dex31.htm" TargetMode="External"/><Relationship Id="rId131" Type="http://schemas.openxmlformats.org/officeDocument/2006/relationships/hyperlink" Target="https://www.sec.gov/Archives/edgar/data/1103982/000119312522246483/d364250dex42.htm" TargetMode="External"/><Relationship Id="rId132" Type="http://schemas.openxmlformats.org/officeDocument/2006/relationships/hyperlink" Target="https://www.sec.gov/Archives/edgar/data/1103982/000119312522191997/d37045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2022-11-01T15:59:03Z</dcterms:created>
  <dcterms:modified xsi:type="dcterms:W3CDTF">2022-11-01T15:59:03Z</dcterms:modified>
</cp:coreProperties>
</file>