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color w:val="0000EE"/>
        </w:rPr>
      </w:pPr>
      <w:hyperlink w:anchor="page13">
        <w:r>
          <w:rPr>
            <w:rFonts w:ascii="Arial" w:cs="Arial" w:eastAsia="Arial" w:hAnsi="Arial"/>
            <w:sz w:val="18"/>
            <w:szCs w:val="18"/>
            <w:u w:val="single" w:color="auto"/>
            <w:color w:val="0000EE"/>
          </w:rPr>
          <w:t>QuickLinks</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64135</wp:posOffset>
            </wp:positionV>
            <wp:extent cx="7274560" cy="19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4560" cy="196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135890</wp:posOffset>
            </wp:positionV>
            <wp:extent cx="7274560" cy="19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pacing w:after="0" w:line="380"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UNITED STATES</w:t>
      </w:r>
    </w:p>
    <w:p>
      <w:pPr>
        <w:spacing w:after="0" w:line="29"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SECURITIES AND EXCHANGE COMMISSION</w:t>
      </w:r>
    </w:p>
    <w:p>
      <w:pPr>
        <w:spacing w:after="0" w:line="11" w:lineRule="exact"/>
        <w:rPr>
          <w:sz w:val="24"/>
          <w:szCs w:val="24"/>
          <w:color w:val="auto"/>
        </w:rPr>
      </w:pPr>
    </w:p>
    <w:p>
      <w:pPr>
        <w:jc w:val="center"/>
        <w:ind w:right="-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3326765</wp:posOffset>
            </wp:positionH>
            <wp:positionV relativeFrom="paragraph">
              <wp:posOffset>114935</wp:posOffset>
            </wp:positionV>
            <wp:extent cx="622935" cy="19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2935" cy="19685"/>
                    </a:xfrm>
                    <a:prstGeom prst="rect">
                      <a:avLst/>
                    </a:prstGeom>
                    <a:noFill/>
                  </pic:spPr>
                </pic:pic>
              </a:graphicData>
            </a:graphic>
          </wp:anchor>
        </w:drawing>
      </w:r>
    </w:p>
    <w:p>
      <w:pPr>
        <w:spacing w:after="0" w:line="335" w:lineRule="exact"/>
        <w:rPr>
          <w:sz w:val="24"/>
          <w:szCs w:val="24"/>
          <w:color w:val="auto"/>
        </w:rPr>
      </w:pPr>
    </w:p>
    <w:p>
      <w:pPr>
        <w:jc w:val="center"/>
        <w:ind w:right="-9"/>
        <w:spacing w:after="0"/>
        <w:rPr>
          <w:sz w:val="20"/>
          <w:szCs w:val="20"/>
          <w:color w:val="auto"/>
        </w:rPr>
      </w:pPr>
      <w:r>
        <w:rPr>
          <w:rFonts w:ascii="Arial" w:cs="Arial" w:eastAsia="Arial" w:hAnsi="Arial"/>
          <w:sz w:val="27"/>
          <w:szCs w:val="27"/>
          <w:b w:val="1"/>
          <w:bCs w:val="1"/>
          <w:color w:val="auto"/>
        </w:rPr>
        <w:t>FORM 10-K</w:t>
      </w:r>
    </w:p>
    <w:p>
      <w:pPr>
        <w:spacing w:after="0" w:line="187"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ANNUAL REPORT PURSUANT TO SECTION 13 OR 15(d) OF THE</w:t>
      </w:r>
    </w:p>
    <w:p>
      <w:pPr>
        <w:spacing w:after="0" w:line="16"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SECURITIES EXCHANGE ACT OF 1934</w:t>
      </w:r>
    </w:p>
    <w:p>
      <w:pPr>
        <w:spacing w:after="0" w:line="169" w:lineRule="exact"/>
        <w:rPr>
          <w:sz w:val="24"/>
          <w:szCs w:val="24"/>
          <w:color w:val="auto"/>
        </w:rPr>
      </w:pPr>
    </w:p>
    <w:tbl>
      <w:tblPr>
        <w:tblLayout w:type="fixed"/>
        <w:tblInd w:w="10" w:type="dxa"/>
        <w:tblCellMar>
          <w:top w:w="0" w:type="dxa"/>
          <w:left w:w="0" w:type="dxa"/>
          <w:bottom w:w="0" w:type="dxa"/>
          <w:right w:w="0" w:type="dxa"/>
        </w:tblCellMar>
      </w:tblPr>
      <w:tr>
        <w:trPr>
          <w:trHeight w:val="191"/>
        </w:trPr>
        <w:tc>
          <w:tcPr>
            <w:tcW w:w="7840" w:type="dxa"/>
            <w:vAlign w:val="bottom"/>
            <w:gridSpan w:val="5"/>
          </w:tcPr>
          <w:p>
            <w:pPr>
              <w:jc w:val="center"/>
              <w:ind w:left="3505"/>
              <w:spacing w:after="0"/>
              <w:rPr>
                <w:sz w:val="20"/>
                <w:szCs w:val="20"/>
                <w:color w:val="auto"/>
              </w:rPr>
            </w:pPr>
            <w:r>
              <w:rPr>
                <w:rFonts w:ascii="Arial" w:cs="Arial" w:eastAsia="Arial" w:hAnsi="Arial"/>
                <w:sz w:val="15"/>
                <w:szCs w:val="15"/>
                <w:b w:val="1"/>
                <w:bCs w:val="1"/>
                <w:color w:val="auto"/>
                <w:w w:val="88"/>
              </w:rPr>
              <w:t>For The Fiscal Year Ended December 31, 2002</w:t>
            </w:r>
          </w:p>
        </w:tc>
        <w:tc>
          <w:tcPr>
            <w:tcW w:w="3600" w:type="dxa"/>
            <w:vAlign w:val="bottom"/>
          </w:tcPr>
          <w:p>
            <w:pPr>
              <w:spacing w:after="0"/>
              <w:rPr>
                <w:sz w:val="16"/>
                <w:szCs w:val="16"/>
                <w:color w:val="auto"/>
              </w:rPr>
            </w:pPr>
          </w:p>
        </w:tc>
      </w:tr>
      <w:tr>
        <w:trPr>
          <w:trHeight w:val="362"/>
        </w:trPr>
        <w:tc>
          <w:tcPr>
            <w:tcW w:w="7840" w:type="dxa"/>
            <w:vAlign w:val="bottom"/>
            <w:gridSpan w:val="5"/>
          </w:tcPr>
          <w:p>
            <w:pPr>
              <w:jc w:val="center"/>
              <w:ind w:left="3505"/>
              <w:spacing w:after="0"/>
              <w:rPr>
                <w:sz w:val="20"/>
                <w:szCs w:val="20"/>
                <w:color w:val="auto"/>
              </w:rPr>
            </w:pPr>
            <w:r>
              <w:rPr>
                <w:rFonts w:ascii="Arial" w:cs="Arial" w:eastAsia="Arial" w:hAnsi="Arial"/>
                <w:sz w:val="15"/>
                <w:szCs w:val="15"/>
                <w:b w:val="1"/>
                <w:bCs w:val="1"/>
                <w:color w:val="auto"/>
                <w:w w:val="97"/>
              </w:rPr>
              <w:t>COMMISSION FILE NUMBER 1-16483</w:t>
            </w:r>
          </w:p>
        </w:tc>
        <w:tc>
          <w:tcPr>
            <w:tcW w:w="3600" w:type="dxa"/>
            <w:vAlign w:val="bottom"/>
          </w:tcPr>
          <w:p>
            <w:pPr>
              <w:spacing w:after="0"/>
              <w:rPr>
                <w:sz w:val="24"/>
                <w:szCs w:val="24"/>
                <w:color w:val="auto"/>
              </w:rPr>
            </w:pPr>
          </w:p>
        </w:tc>
      </w:tr>
      <w:tr>
        <w:trPr>
          <w:trHeight w:val="189"/>
        </w:trPr>
        <w:tc>
          <w:tcPr>
            <w:tcW w:w="5240" w:type="dxa"/>
            <w:vAlign w:val="bottom"/>
          </w:tcPr>
          <w:p>
            <w:pPr>
              <w:spacing w:after="0"/>
              <w:rPr>
                <w:sz w:val="16"/>
                <w:szCs w:val="16"/>
                <w:color w:val="auto"/>
              </w:rPr>
            </w:pPr>
          </w:p>
        </w:tc>
        <w:tc>
          <w:tcPr>
            <w:tcW w:w="36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164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586"/>
        </w:trPr>
        <w:tc>
          <w:tcPr>
            <w:tcW w:w="7840" w:type="dxa"/>
            <w:vAlign w:val="bottom"/>
            <w:gridSpan w:val="5"/>
          </w:tcPr>
          <w:p>
            <w:pPr>
              <w:jc w:val="center"/>
              <w:ind w:left="3525"/>
              <w:spacing w:after="0"/>
              <w:rPr>
                <w:sz w:val="20"/>
                <w:szCs w:val="20"/>
                <w:color w:val="auto"/>
              </w:rPr>
            </w:pPr>
            <w:r>
              <w:rPr>
                <w:rFonts w:ascii="Arial" w:cs="Arial" w:eastAsia="Arial" w:hAnsi="Arial"/>
                <w:sz w:val="36"/>
                <w:szCs w:val="36"/>
                <w:b w:val="1"/>
                <w:bCs w:val="1"/>
                <w:color w:val="auto"/>
              </w:rPr>
              <w:t>KRAFT FOODS INC.</w:t>
            </w:r>
          </w:p>
        </w:tc>
        <w:tc>
          <w:tcPr>
            <w:tcW w:w="3600" w:type="dxa"/>
            <w:vAlign w:val="bottom"/>
          </w:tcPr>
          <w:p>
            <w:pPr>
              <w:spacing w:after="0"/>
              <w:rPr>
                <w:sz w:val="24"/>
                <w:szCs w:val="24"/>
                <w:color w:val="auto"/>
              </w:rPr>
            </w:pPr>
          </w:p>
        </w:tc>
      </w:tr>
      <w:tr>
        <w:trPr>
          <w:trHeight w:val="145"/>
        </w:trPr>
        <w:tc>
          <w:tcPr>
            <w:tcW w:w="7840" w:type="dxa"/>
            <w:vAlign w:val="bottom"/>
            <w:gridSpan w:val="5"/>
          </w:tcPr>
          <w:p>
            <w:pPr>
              <w:jc w:val="center"/>
              <w:ind w:left="3505"/>
              <w:spacing w:after="0"/>
              <w:rPr>
                <w:sz w:val="20"/>
                <w:szCs w:val="20"/>
                <w:color w:val="auto"/>
              </w:rPr>
            </w:pPr>
            <w:r>
              <w:rPr>
                <w:rFonts w:ascii="Arial" w:cs="Arial" w:eastAsia="Arial" w:hAnsi="Arial"/>
                <w:sz w:val="11"/>
                <w:szCs w:val="11"/>
                <w:b w:val="1"/>
                <w:bCs w:val="1"/>
                <w:i w:val="1"/>
                <w:iCs w:val="1"/>
                <w:color w:val="auto"/>
                <w:w w:val="89"/>
              </w:rPr>
              <w:t>(Exact name of registrant as specified in its charter)</w:t>
            </w:r>
          </w:p>
        </w:tc>
        <w:tc>
          <w:tcPr>
            <w:tcW w:w="3600" w:type="dxa"/>
            <w:vAlign w:val="bottom"/>
          </w:tcPr>
          <w:p>
            <w:pPr>
              <w:spacing w:after="0"/>
              <w:rPr>
                <w:sz w:val="12"/>
                <w:szCs w:val="12"/>
                <w:color w:val="auto"/>
              </w:rPr>
            </w:pPr>
          </w:p>
        </w:tc>
      </w:tr>
      <w:tr>
        <w:trPr>
          <w:trHeight w:val="176"/>
        </w:trPr>
        <w:tc>
          <w:tcPr>
            <w:tcW w:w="5240" w:type="dxa"/>
            <w:vAlign w:val="bottom"/>
          </w:tcPr>
          <w:p>
            <w:pPr>
              <w:spacing w:after="0"/>
              <w:rPr>
                <w:sz w:val="15"/>
                <w:szCs w:val="15"/>
                <w:color w:val="auto"/>
              </w:rPr>
            </w:pPr>
          </w:p>
        </w:tc>
        <w:tc>
          <w:tcPr>
            <w:tcW w:w="360" w:type="dxa"/>
            <w:vAlign w:val="bottom"/>
            <w:tcBorders>
              <w:bottom w:val="single" w:sz="8" w:color="808080"/>
            </w:tcBorders>
          </w:tcPr>
          <w:p>
            <w:pPr>
              <w:spacing w:after="0"/>
              <w:rPr>
                <w:sz w:val="15"/>
                <w:szCs w:val="15"/>
                <w:color w:val="auto"/>
              </w:rPr>
            </w:pPr>
          </w:p>
        </w:tc>
        <w:tc>
          <w:tcPr>
            <w:tcW w:w="34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1640" w:type="dxa"/>
            <w:vAlign w:val="bottom"/>
          </w:tcPr>
          <w:p>
            <w:pPr>
              <w:spacing w:after="0"/>
              <w:rPr>
                <w:sz w:val="15"/>
                <w:szCs w:val="15"/>
                <w:color w:val="auto"/>
              </w:rPr>
            </w:pPr>
          </w:p>
        </w:tc>
        <w:tc>
          <w:tcPr>
            <w:tcW w:w="3600" w:type="dxa"/>
            <w:vAlign w:val="bottom"/>
          </w:tcPr>
          <w:p>
            <w:pPr>
              <w:spacing w:after="0"/>
              <w:rPr>
                <w:sz w:val="15"/>
                <w:szCs w:val="15"/>
                <w:color w:val="auto"/>
              </w:rPr>
            </w:pPr>
          </w:p>
        </w:tc>
      </w:tr>
      <w:tr>
        <w:trPr>
          <w:trHeight w:val="258"/>
        </w:trPr>
        <w:tc>
          <w:tcPr>
            <w:tcW w:w="7840" w:type="dxa"/>
            <w:vAlign w:val="bottom"/>
            <w:gridSpan w:val="5"/>
          </w:tcPr>
          <w:p>
            <w:pPr>
              <w:jc w:val="center"/>
              <w:ind w:right="2240"/>
              <w:spacing w:after="0"/>
              <w:rPr>
                <w:sz w:val="20"/>
                <w:szCs w:val="20"/>
                <w:color w:val="auto"/>
              </w:rPr>
            </w:pPr>
            <w:r>
              <w:rPr>
                <w:rFonts w:ascii="Arial" w:cs="Arial" w:eastAsia="Arial" w:hAnsi="Arial"/>
                <w:sz w:val="15"/>
                <w:szCs w:val="15"/>
                <w:b w:val="1"/>
                <w:bCs w:val="1"/>
                <w:color w:val="auto"/>
                <w:w w:val="94"/>
              </w:rPr>
              <w:t>Virginia</w:t>
            </w:r>
          </w:p>
        </w:tc>
        <w:tc>
          <w:tcPr>
            <w:tcW w:w="3600" w:type="dxa"/>
            <w:vAlign w:val="bottom"/>
          </w:tcPr>
          <w:p>
            <w:pPr>
              <w:jc w:val="right"/>
              <w:ind w:right="2337"/>
              <w:spacing w:after="0"/>
              <w:rPr>
                <w:sz w:val="20"/>
                <w:szCs w:val="20"/>
                <w:color w:val="auto"/>
              </w:rPr>
            </w:pPr>
            <w:r>
              <w:rPr>
                <w:rFonts w:ascii="Arial" w:cs="Arial" w:eastAsia="Arial" w:hAnsi="Arial"/>
                <w:sz w:val="15"/>
                <w:szCs w:val="15"/>
                <w:b w:val="1"/>
                <w:bCs w:val="1"/>
                <w:color w:val="auto"/>
              </w:rPr>
              <w:t>52-2284372</w:t>
            </w:r>
          </w:p>
        </w:tc>
      </w:tr>
      <w:tr>
        <w:trPr>
          <w:trHeight w:val="124"/>
        </w:trPr>
        <w:tc>
          <w:tcPr>
            <w:tcW w:w="7840" w:type="dxa"/>
            <w:vAlign w:val="bottom"/>
            <w:gridSpan w:val="5"/>
          </w:tcPr>
          <w:p>
            <w:pPr>
              <w:jc w:val="center"/>
              <w:ind w:right="2240"/>
              <w:spacing w:after="0" w:line="124" w:lineRule="exact"/>
              <w:rPr>
                <w:sz w:val="20"/>
                <w:szCs w:val="20"/>
                <w:color w:val="auto"/>
              </w:rPr>
            </w:pPr>
            <w:r>
              <w:rPr>
                <w:rFonts w:ascii="Arial" w:cs="Arial" w:eastAsia="Arial" w:hAnsi="Arial"/>
                <w:sz w:val="11"/>
                <w:szCs w:val="11"/>
                <w:i w:val="1"/>
                <w:iCs w:val="1"/>
                <w:color w:val="auto"/>
                <w:w w:val="95"/>
              </w:rPr>
              <w:t>(State or other jurisdiction of</w:t>
            </w:r>
          </w:p>
        </w:tc>
        <w:tc>
          <w:tcPr>
            <w:tcW w:w="3600" w:type="dxa"/>
            <w:vAlign w:val="bottom"/>
          </w:tcPr>
          <w:p>
            <w:pPr>
              <w:jc w:val="center"/>
              <w:ind w:right="1837"/>
              <w:spacing w:after="0" w:line="124" w:lineRule="exact"/>
              <w:rPr>
                <w:sz w:val="20"/>
                <w:szCs w:val="20"/>
                <w:color w:val="auto"/>
              </w:rPr>
            </w:pPr>
            <w:r>
              <w:rPr>
                <w:rFonts w:ascii="Arial" w:cs="Arial" w:eastAsia="Arial" w:hAnsi="Arial"/>
                <w:sz w:val="11"/>
                <w:szCs w:val="11"/>
                <w:i w:val="1"/>
                <w:iCs w:val="1"/>
                <w:color w:val="auto"/>
                <w:w w:val="91"/>
              </w:rPr>
              <w:t>(I.R.S. Employer</w:t>
            </w:r>
          </w:p>
        </w:tc>
      </w:tr>
      <w:tr>
        <w:trPr>
          <w:trHeight w:val="145"/>
        </w:trPr>
        <w:tc>
          <w:tcPr>
            <w:tcW w:w="7840" w:type="dxa"/>
            <w:vAlign w:val="bottom"/>
            <w:gridSpan w:val="5"/>
          </w:tcPr>
          <w:p>
            <w:pPr>
              <w:jc w:val="center"/>
              <w:ind w:right="2240"/>
              <w:spacing w:after="0"/>
              <w:rPr>
                <w:sz w:val="20"/>
                <w:szCs w:val="20"/>
                <w:color w:val="auto"/>
              </w:rPr>
            </w:pPr>
            <w:r>
              <w:rPr>
                <w:rFonts w:ascii="Arial" w:cs="Arial" w:eastAsia="Arial" w:hAnsi="Arial"/>
                <w:sz w:val="11"/>
                <w:szCs w:val="11"/>
                <w:i w:val="1"/>
                <w:iCs w:val="1"/>
                <w:color w:val="auto"/>
                <w:w w:val="97"/>
              </w:rPr>
              <w:t>incorporation or organization)</w:t>
            </w:r>
          </w:p>
        </w:tc>
        <w:tc>
          <w:tcPr>
            <w:tcW w:w="3600" w:type="dxa"/>
            <w:vAlign w:val="bottom"/>
          </w:tcPr>
          <w:p>
            <w:pPr>
              <w:jc w:val="center"/>
              <w:ind w:right="1837"/>
              <w:spacing w:after="0"/>
              <w:rPr>
                <w:sz w:val="20"/>
                <w:szCs w:val="20"/>
                <w:color w:val="auto"/>
              </w:rPr>
            </w:pPr>
            <w:r>
              <w:rPr>
                <w:rFonts w:ascii="Arial" w:cs="Arial" w:eastAsia="Arial" w:hAnsi="Arial"/>
                <w:sz w:val="11"/>
                <w:szCs w:val="11"/>
                <w:i w:val="1"/>
                <w:iCs w:val="1"/>
                <w:color w:val="auto"/>
                <w:w w:val="95"/>
              </w:rPr>
              <w:t>Identification No.)</w:t>
            </w:r>
          </w:p>
        </w:tc>
      </w:tr>
      <w:tr>
        <w:trPr>
          <w:trHeight w:val="339"/>
        </w:trPr>
        <w:tc>
          <w:tcPr>
            <w:tcW w:w="7840" w:type="dxa"/>
            <w:vAlign w:val="bottom"/>
            <w:gridSpan w:val="5"/>
          </w:tcPr>
          <w:p>
            <w:pPr>
              <w:jc w:val="center"/>
              <w:ind w:right="2240"/>
              <w:spacing w:after="0"/>
              <w:rPr>
                <w:sz w:val="20"/>
                <w:szCs w:val="20"/>
                <w:color w:val="auto"/>
              </w:rPr>
            </w:pPr>
            <w:r>
              <w:rPr>
                <w:rFonts w:ascii="Arial" w:cs="Arial" w:eastAsia="Arial" w:hAnsi="Arial"/>
                <w:sz w:val="15"/>
                <w:szCs w:val="15"/>
                <w:b w:val="1"/>
                <w:bCs w:val="1"/>
                <w:color w:val="auto"/>
                <w:w w:val="89"/>
              </w:rPr>
              <w:t>Three Lakes Drive,</w:t>
            </w:r>
          </w:p>
        </w:tc>
        <w:tc>
          <w:tcPr>
            <w:tcW w:w="3600" w:type="dxa"/>
            <w:vAlign w:val="bottom"/>
          </w:tcPr>
          <w:p>
            <w:pPr>
              <w:spacing w:after="0"/>
              <w:rPr>
                <w:sz w:val="24"/>
                <w:szCs w:val="24"/>
                <w:color w:val="auto"/>
              </w:rPr>
            </w:pPr>
          </w:p>
        </w:tc>
      </w:tr>
      <w:tr>
        <w:trPr>
          <w:trHeight w:val="183"/>
        </w:trPr>
        <w:tc>
          <w:tcPr>
            <w:tcW w:w="7840" w:type="dxa"/>
            <w:vAlign w:val="bottom"/>
            <w:gridSpan w:val="5"/>
          </w:tcPr>
          <w:p>
            <w:pPr>
              <w:jc w:val="center"/>
              <w:ind w:right="2240"/>
              <w:spacing w:after="0"/>
              <w:rPr>
                <w:sz w:val="20"/>
                <w:szCs w:val="20"/>
                <w:color w:val="auto"/>
              </w:rPr>
            </w:pPr>
            <w:r>
              <w:rPr>
                <w:rFonts w:ascii="Arial" w:cs="Arial" w:eastAsia="Arial" w:hAnsi="Arial"/>
                <w:sz w:val="15"/>
                <w:szCs w:val="15"/>
                <w:b w:val="1"/>
                <w:bCs w:val="1"/>
                <w:color w:val="auto"/>
                <w:w w:val="91"/>
              </w:rPr>
              <w:t>Northfield, Illinois</w:t>
            </w:r>
          </w:p>
        </w:tc>
        <w:tc>
          <w:tcPr>
            <w:tcW w:w="3600" w:type="dxa"/>
            <w:vAlign w:val="bottom"/>
          </w:tcPr>
          <w:p>
            <w:pPr>
              <w:jc w:val="right"/>
              <w:ind w:right="2497"/>
              <w:spacing w:after="0"/>
              <w:rPr>
                <w:sz w:val="20"/>
                <w:szCs w:val="20"/>
                <w:color w:val="auto"/>
              </w:rPr>
            </w:pPr>
            <w:r>
              <w:rPr>
                <w:rFonts w:ascii="Arial" w:cs="Arial" w:eastAsia="Arial" w:hAnsi="Arial"/>
                <w:sz w:val="15"/>
                <w:szCs w:val="15"/>
                <w:b w:val="1"/>
                <w:bCs w:val="1"/>
                <w:color w:val="auto"/>
              </w:rPr>
              <w:t>60093</w:t>
            </w:r>
          </w:p>
        </w:tc>
      </w:tr>
      <w:tr>
        <w:trPr>
          <w:trHeight w:val="145"/>
        </w:trPr>
        <w:tc>
          <w:tcPr>
            <w:tcW w:w="7840" w:type="dxa"/>
            <w:vAlign w:val="bottom"/>
            <w:gridSpan w:val="5"/>
          </w:tcPr>
          <w:p>
            <w:pPr>
              <w:jc w:val="center"/>
              <w:ind w:right="2240"/>
              <w:spacing w:after="0"/>
              <w:rPr>
                <w:sz w:val="20"/>
                <w:szCs w:val="20"/>
                <w:color w:val="auto"/>
              </w:rPr>
            </w:pPr>
            <w:r>
              <w:rPr>
                <w:rFonts w:ascii="Arial" w:cs="Arial" w:eastAsia="Arial" w:hAnsi="Arial"/>
                <w:sz w:val="11"/>
                <w:szCs w:val="11"/>
                <w:i w:val="1"/>
                <w:iCs w:val="1"/>
                <w:color w:val="auto"/>
                <w:w w:val="93"/>
              </w:rPr>
              <w:t>(Address of principal executive offices)</w:t>
            </w:r>
          </w:p>
        </w:tc>
        <w:tc>
          <w:tcPr>
            <w:tcW w:w="3600" w:type="dxa"/>
            <w:vAlign w:val="bottom"/>
          </w:tcPr>
          <w:p>
            <w:pPr>
              <w:jc w:val="center"/>
              <w:ind w:right="1837"/>
              <w:spacing w:after="0"/>
              <w:rPr>
                <w:sz w:val="20"/>
                <w:szCs w:val="20"/>
                <w:color w:val="auto"/>
              </w:rPr>
            </w:pPr>
            <w:r>
              <w:rPr>
                <w:rFonts w:ascii="Arial" w:cs="Arial" w:eastAsia="Arial" w:hAnsi="Arial"/>
                <w:sz w:val="11"/>
                <w:szCs w:val="11"/>
                <w:i w:val="1"/>
                <w:iCs w:val="1"/>
                <w:color w:val="auto"/>
                <w:w w:val="96"/>
              </w:rPr>
              <w:t>(Zip Code)</w:t>
            </w:r>
          </w:p>
        </w:tc>
      </w:tr>
      <w:tr>
        <w:trPr>
          <w:trHeight w:val="86"/>
        </w:trPr>
        <w:tc>
          <w:tcPr>
            <w:tcW w:w="524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640" w:type="dxa"/>
            <w:vAlign w:val="bottom"/>
          </w:tcPr>
          <w:p>
            <w:pPr>
              <w:spacing w:after="0"/>
              <w:rPr>
                <w:sz w:val="7"/>
                <w:szCs w:val="7"/>
                <w:color w:val="auto"/>
              </w:rPr>
            </w:pPr>
          </w:p>
        </w:tc>
        <w:tc>
          <w:tcPr>
            <w:tcW w:w="3600" w:type="dxa"/>
            <w:vAlign w:val="bottom"/>
          </w:tcPr>
          <w:p>
            <w:pPr>
              <w:spacing w:after="0"/>
              <w:rPr>
                <w:sz w:val="7"/>
                <w:szCs w:val="7"/>
                <w:color w:val="auto"/>
              </w:rPr>
            </w:pPr>
          </w:p>
        </w:tc>
      </w:tr>
      <w:tr>
        <w:trPr>
          <w:trHeight w:val="346"/>
        </w:trPr>
        <w:tc>
          <w:tcPr>
            <w:tcW w:w="7840" w:type="dxa"/>
            <w:vAlign w:val="bottom"/>
            <w:gridSpan w:val="5"/>
          </w:tcPr>
          <w:p>
            <w:pPr>
              <w:jc w:val="center"/>
              <w:ind w:left="3505"/>
              <w:spacing w:after="0"/>
              <w:rPr>
                <w:sz w:val="20"/>
                <w:szCs w:val="20"/>
                <w:color w:val="auto"/>
              </w:rPr>
            </w:pPr>
            <w:r>
              <w:rPr>
                <w:rFonts w:ascii="Arial" w:cs="Arial" w:eastAsia="Arial" w:hAnsi="Arial"/>
                <w:sz w:val="15"/>
                <w:szCs w:val="15"/>
                <w:b w:val="1"/>
                <w:bCs w:val="1"/>
                <w:color w:val="auto"/>
                <w:w w:val="87"/>
              </w:rPr>
              <w:t>Registrant's telephone number, including area code: 847-646-2000</w:t>
            </w:r>
          </w:p>
        </w:tc>
        <w:tc>
          <w:tcPr>
            <w:tcW w:w="3600" w:type="dxa"/>
            <w:vAlign w:val="bottom"/>
          </w:tcPr>
          <w:p>
            <w:pPr>
              <w:spacing w:after="0"/>
              <w:rPr>
                <w:sz w:val="24"/>
                <w:szCs w:val="24"/>
                <w:color w:val="auto"/>
              </w:rPr>
            </w:pPr>
          </w:p>
        </w:tc>
      </w:tr>
      <w:tr>
        <w:trPr>
          <w:trHeight w:val="191"/>
        </w:trPr>
        <w:tc>
          <w:tcPr>
            <w:tcW w:w="7840" w:type="dxa"/>
            <w:vAlign w:val="bottom"/>
            <w:gridSpan w:val="5"/>
          </w:tcPr>
          <w:p>
            <w:pPr>
              <w:jc w:val="center"/>
              <w:ind w:left="3525"/>
              <w:spacing w:after="0"/>
              <w:rPr>
                <w:sz w:val="20"/>
                <w:szCs w:val="20"/>
                <w:color w:val="auto"/>
              </w:rPr>
            </w:pPr>
            <w:r>
              <w:rPr>
                <w:rFonts w:ascii="Arial" w:cs="Arial" w:eastAsia="Arial" w:hAnsi="Arial"/>
                <w:sz w:val="15"/>
                <w:szCs w:val="15"/>
                <w:b w:val="1"/>
                <w:bCs w:val="1"/>
                <w:color w:val="auto"/>
                <w:w w:val="87"/>
              </w:rPr>
              <w:t>Securities registered pursuant to Section 12(b) of the Act:</w:t>
            </w:r>
          </w:p>
        </w:tc>
        <w:tc>
          <w:tcPr>
            <w:tcW w:w="3600" w:type="dxa"/>
            <w:vAlign w:val="bottom"/>
          </w:tcPr>
          <w:p>
            <w:pPr>
              <w:spacing w:after="0"/>
              <w:rPr>
                <w:sz w:val="16"/>
                <w:szCs w:val="16"/>
                <w:color w:val="auto"/>
              </w:rPr>
            </w:pPr>
          </w:p>
        </w:tc>
      </w:tr>
      <w:tr>
        <w:trPr>
          <w:trHeight w:val="295"/>
        </w:trPr>
        <w:tc>
          <w:tcPr>
            <w:tcW w:w="5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600" w:type="dxa"/>
            <w:vAlign w:val="bottom"/>
          </w:tcPr>
          <w:p>
            <w:pPr>
              <w:jc w:val="center"/>
              <w:ind w:right="1837"/>
              <w:spacing w:after="0"/>
              <w:rPr>
                <w:sz w:val="20"/>
                <w:szCs w:val="20"/>
                <w:color w:val="auto"/>
              </w:rPr>
            </w:pPr>
            <w:r>
              <w:rPr>
                <w:rFonts w:ascii="Arial" w:cs="Arial" w:eastAsia="Arial" w:hAnsi="Arial"/>
                <w:sz w:val="11"/>
                <w:szCs w:val="11"/>
                <w:b w:val="1"/>
                <w:bCs w:val="1"/>
                <w:color w:val="auto"/>
                <w:w w:val="90"/>
              </w:rPr>
              <w:t>Name of each exchange</w:t>
            </w:r>
          </w:p>
        </w:tc>
      </w:tr>
      <w:tr>
        <w:trPr>
          <w:trHeight w:val="147"/>
        </w:trPr>
        <w:tc>
          <w:tcPr>
            <w:tcW w:w="7840" w:type="dxa"/>
            <w:vAlign w:val="bottom"/>
            <w:gridSpan w:val="5"/>
          </w:tcPr>
          <w:p>
            <w:pPr>
              <w:jc w:val="center"/>
              <w:ind w:right="2240"/>
              <w:spacing w:after="0"/>
              <w:rPr>
                <w:sz w:val="20"/>
                <w:szCs w:val="20"/>
                <w:color w:val="auto"/>
              </w:rPr>
            </w:pPr>
            <w:r>
              <w:rPr>
                <w:rFonts w:ascii="Arial" w:cs="Arial" w:eastAsia="Arial" w:hAnsi="Arial"/>
                <w:sz w:val="11"/>
                <w:szCs w:val="11"/>
                <w:b w:val="1"/>
                <w:bCs w:val="1"/>
                <w:color w:val="auto"/>
                <w:w w:val="88"/>
              </w:rPr>
              <w:t>Title of each class</w:t>
            </w:r>
          </w:p>
        </w:tc>
        <w:tc>
          <w:tcPr>
            <w:tcW w:w="3600" w:type="dxa"/>
            <w:vAlign w:val="bottom"/>
          </w:tcPr>
          <w:p>
            <w:pPr>
              <w:jc w:val="center"/>
              <w:ind w:right="1837"/>
              <w:spacing w:after="0"/>
              <w:rPr>
                <w:sz w:val="20"/>
                <w:szCs w:val="20"/>
                <w:color w:val="auto"/>
              </w:rPr>
            </w:pPr>
            <w:r>
              <w:rPr>
                <w:rFonts w:ascii="Arial" w:cs="Arial" w:eastAsia="Arial" w:hAnsi="Arial"/>
                <w:sz w:val="11"/>
                <w:szCs w:val="11"/>
                <w:b w:val="1"/>
                <w:bCs w:val="1"/>
                <w:color w:val="auto"/>
                <w:w w:val="90"/>
              </w:rPr>
              <w:t>on which registered</w:t>
            </w:r>
          </w:p>
        </w:tc>
      </w:tr>
      <w:tr>
        <w:trPr>
          <w:trHeight w:val="86"/>
        </w:trPr>
        <w:tc>
          <w:tcPr>
            <w:tcW w:w="5600" w:type="dxa"/>
            <w:vAlign w:val="bottom"/>
            <w:tcBorders>
              <w:bottom w:val="single" w:sz="8" w:color="808080"/>
            </w:tcBorders>
            <w:gridSpan w:val="2"/>
          </w:tcPr>
          <w:p>
            <w:pPr>
              <w:spacing w:after="0"/>
              <w:rPr>
                <w:sz w:val="7"/>
                <w:szCs w:val="7"/>
                <w:color w:val="auto"/>
              </w:rPr>
            </w:pPr>
          </w:p>
        </w:tc>
        <w:tc>
          <w:tcPr>
            <w:tcW w:w="340" w:type="dxa"/>
            <w:vAlign w:val="bottom"/>
          </w:tcPr>
          <w:p>
            <w:pPr>
              <w:spacing w:after="0"/>
              <w:rPr>
                <w:sz w:val="7"/>
                <w:szCs w:val="7"/>
                <w:color w:val="auto"/>
              </w:rPr>
            </w:pPr>
          </w:p>
        </w:tc>
        <w:tc>
          <w:tcPr>
            <w:tcW w:w="1900" w:type="dxa"/>
            <w:vAlign w:val="bottom"/>
            <w:tcBorders>
              <w:bottom w:val="single" w:sz="8" w:color="808080"/>
            </w:tcBorders>
            <w:gridSpan w:val="2"/>
          </w:tcPr>
          <w:p>
            <w:pPr>
              <w:spacing w:after="0"/>
              <w:rPr>
                <w:sz w:val="7"/>
                <w:szCs w:val="7"/>
                <w:color w:val="auto"/>
              </w:rPr>
            </w:pPr>
          </w:p>
        </w:tc>
        <w:tc>
          <w:tcPr>
            <w:tcW w:w="3600" w:type="dxa"/>
            <w:vAlign w:val="bottom"/>
            <w:tcBorders>
              <w:bottom w:val="single" w:sz="8" w:color="808080"/>
            </w:tcBorders>
          </w:tcPr>
          <w:p>
            <w:pPr>
              <w:spacing w:after="0"/>
              <w:rPr>
                <w:sz w:val="7"/>
                <w:szCs w:val="7"/>
                <w:color w:val="auto"/>
              </w:rPr>
            </w:pPr>
          </w:p>
        </w:tc>
      </w:tr>
      <w:tr>
        <w:trPr>
          <w:trHeight w:val="266"/>
        </w:trPr>
        <w:tc>
          <w:tcPr>
            <w:tcW w:w="7840" w:type="dxa"/>
            <w:vAlign w:val="bottom"/>
            <w:gridSpan w:val="5"/>
          </w:tcPr>
          <w:p>
            <w:pPr>
              <w:jc w:val="center"/>
              <w:ind w:right="2240"/>
              <w:spacing w:after="0"/>
              <w:rPr>
                <w:sz w:val="20"/>
                <w:szCs w:val="20"/>
                <w:color w:val="auto"/>
              </w:rPr>
            </w:pPr>
            <w:r>
              <w:rPr>
                <w:rFonts w:ascii="Arial" w:cs="Arial" w:eastAsia="Arial" w:hAnsi="Arial"/>
                <w:sz w:val="15"/>
                <w:szCs w:val="15"/>
                <w:color w:val="auto"/>
                <w:w w:val="88"/>
              </w:rPr>
              <w:t>Class A Common Stock, no par value</w:t>
            </w:r>
          </w:p>
        </w:tc>
        <w:tc>
          <w:tcPr>
            <w:tcW w:w="3600" w:type="dxa"/>
            <w:vAlign w:val="bottom"/>
          </w:tcPr>
          <w:p>
            <w:pPr>
              <w:jc w:val="center"/>
              <w:ind w:right="1837"/>
              <w:spacing w:after="0"/>
              <w:rPr>
                <w:sz w:val="20"/>
                <w:szCs w:val="20"/>
                <w:color w:val="auto"/>
              </w:rPr>
            </w:pPr>
            <w:r>
              <w:rPr>
                <w:rFonts w:ascii="Arial" w:cs="Arial" w:eastAsia="Arial" w:hAnsi="Arial"/>
                <w:sz w:val="15"/>
                <w:szCs w:val="15"/>
                <w:color w:val="auto"/>
                <w:w w:val="88"/>
              </w:rPr>
              <w:t>New York Stock Exchange</w:t>
            </w:r>
          </w:p>
        </w:tc>
      </w:tr>
      <w:tr>
        <w:trPr>
          <w:trHeight w:val="99"/>
        </w:trPr>
        <w:tc>
          <w:tcPr>
            <w:tcW w:w="52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40" w:type="dxa"/>
            <w:vAlign w:val="bottom"/>
          </w:tcPr>
          <w:p>
            <w:pPr>
              <w:spacing w:after="0"/>
              <w:rPr>
                <w:sz w:val="8"/>
                <w:szCs w:val="8"/>
                <w:color w:val="auto"/>
              </w:rPr>
            </w:pPr>
          </w:p>
        </w:tc>
        <w:tc>
          <w:tcPr>
            <w:tcW w:w="3600" w:type="dxa"/>
            <w:vAlign w:val="bottom"/>
          </w:tcPr>
          <w:p>
            <w:pPr>
              <w:spacing w:after="0"/>
              <w:rPr>
                <w:sz w:val="8"/>
                <w:szCs w:val="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3937000</wp:posOffset>
            </wp:positionH>
            <wp:positionV relativeFrom="paragraph">
              <wp:posOffset>-2359025</wp:posOffset>
            </wp:positionV>
            <wp:extent cx="1270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3326765</wp:posOffset>
            </wp:positionH>
            <wp:positionV relativeFrom="paragraph">
              <wp:posOffset>-2359025</wp:posOffset>
            </wp:positionV>
            <wp:extent cx="1270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-1771015</wp:posOffset>
            </wp:positionV>
            <wp:extent cx="1270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3326765</wp:posOffset>
            </wp:positionH>
            <wp:positionV relativeFrom="paragraph">
              <wp:posOffset>-1771015</wp:posOffset>
            </wp:positionV>
            <wp:extent cx="1270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-945515</wp:posOffset>
            </wp:positionV>
            <wp:extent cx="1270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3326765</wp:posOffset>
            </wp:positionH>
            <wp:positionV relativeFrom="paragraph">
              <wp:posOffset>-945515</wp:posOffset>
            </wp:positionV>
            <wp:extent cx="127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3556635</wp:posOffset>
            </wp:positionH>
            <wp:positionV relativeFrom="paragraph">
              <wp:posOffset>-257175</wp:posOffset>
            </wp:positionV>
            <wp:extent cx="1270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-257175</wp:posOffset>
            </wp:positionV>
            <wp:extent cx="1270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7259320</wp:posOffset>
            </wp:positionH>
            <wp:positionV relativeFrom="paragraph">
              <wp:posOffset>-257175</wp:posOffset>
            </wp:positionV>
            <wp:extent cx="1270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-257175</wp:posOffset>
            </wp:positionV>
            <wp:extent cx="1270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-12700</wp:posOffset>
            </wp:positionV>
            <wp:extent cx="1270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3326765</wp:posOffset>
            </wp:positionH>
            <wp:positionV relativeFrom="paragraph">
              <wp:posOffset>-12700</wp:posOffset>
            </wp:positionV>
            <wp:extent cx="1270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pacing w:after="0" w:line="149" w:lineRule="exact"/>
        <w:rPr>
          <w:sz w:val="24"/>
          <w:szCs w:val="24"/>
          <w:color w:val="auto"/>
        </w:rPr>
      </w:pPr>
    </w:p>
    <w:p>
      <w:pPr>
        <w:ind w:left="10" w:right="120" w:firstLine="294"/>
        <w:spacing w:after="0" w:line="19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60" w:lineRule="exact"/>
        <w:rPr>
          <w:sz w:val="24"/>
          <w:szCs w:val="24"/>
          <w:color w:val="auto"/>
        </w:rPr>
      </w:pPr>
    </w:p>
    <w:p>
      <w:pPr>
        <w:ind w:left="10" w:right="180" w:firstLine="294"/>
        <w:spacing w:after="0" w:line="192"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133" w:lineRule="exact"/>
        <w:rPr>
          <w:sz w:val="24"/>
          <w:szCs w:val="24"/>
          <w:color w:val="auto"/>
        </w:rPr>
      </w:pPr>
    </w:p>
    <w:p>
      <w:pPr>
        <w:ind w:left="290"/>
        <w:spacing w:after="0" w:line="173" w:lineRule="exact"/>
        <w:rPr>
          <w:sz w:val="20"/>
          <w:szCs w:val="20"/>
          <w:color w:val="auto"/>
        </w:rPr>
      </w:pPr>
      <w:r>
        <w:rPr>
          <w:rFonts w:ascii="Arial" w:cs="Arial" w:eastAsia="Arial" w:hAnsi="Arial"/>
          <w:sz w:val="15"/>
          <w:szCs w:val="15"/>
          <w:color w:val="auto"/>
        </w:rPr>
        <w:t xml:space="preserve">Indicate by check mark whether the registrant is an accelerated filer (as defined in Exchange Act Rule 12b-2).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3326765</wp:posOffset>
            </wp:positionH>
            <wp:positionV relativeFrom="paragraph">
              <wp:posOffset>139065</wp:posOffset>
            </wp:positionV>
            <wp:extent cx="622935"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2935" cy="19685"/>
                    </a:xfrm>
                    <a:prstGeom prst="rect">
                      <a:avLst/>
                    </a:prstGeom>
                    <a:noFill/>
                  </pic:spPr>
                </pic:pic>
              </a:graphicData>
            </a:graphic>
          </wp:anchor>
        </w:drawing>
      </w:r>
    </w:p>
    <w:p>
      <w:pPr>
        <w:spacing w:after="0" w:line="400" w:lineRule="exact"/>
        <w:rPr>
          <w:sz w:val="24"/>
          <w:szCs w:val="24"/>
          <w:color w:val="auto"/>
        </w:rPr>
      </w:pPr>
    </w:p>
    <w:p>
      <w:pPr>
        <w:ind w:left="10" w:right="140" w:firstLine="291"/>
        <w:spacing w:after="0" w:line="261" w:lineRule="auto"/>
        <w:rPr>
          <w:sz w:val="20"/>
          <w:szCs w:val="20"/>
          <w:color w:val="auto"/>
        </w:rPr>
      </w:pPr>
      <w:r>
        <w:rPr>
          <w:rFonts w:ascii="Arial" w:cs="Arial" w:eastAsia="Arial" w:hAnsi="Arial"/>
          <w:sz w:val="15"/>
          <w:szCs w:val="15"/>
          <w:color w:val="auto"/>
        </w:rPr>
        <w:t>The aggregate market value of the shares of Class A Common Stock held by non-affiliates of the registrant, computed by reference to the closing price of such stock on June 28, 2002, was approximately $11.5 billion. At February 28, 2003, there were 552,354,056 shares of the registrant's Class A Common Stock outstanding, and 1,180,000,000 shares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3326765</wp:posOffset>
            </wp:positionH>
            <wp:positionV relativeFrom="paragraph">
              <wp:posOffset>103505</wp:posOffset>
            </wp:positionV>
            <wp:extent cx="622935"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2935" cy="19685"/>
                    </a:xfrm>
                    <a:prstGeom prst="rect">
                      <a:avLst/>
                    </a:prstGeom>
                    <a:noFill/>
                  </pic:spPr>
                </pic:pic>
              </a:graphicData>
            </a:graphic>
          </wp:anchor>
        </w:drawing>
      </w:r>
    </w:p>
    <w:p>
      <w:pPr>
        <w:spacing w:after="0" w:line="340" w:lineRule="exact"/>
        <w:rPr>
          <w:sz w:val="24"/>
          <w:szCs w:val="24"/>
          <w:color w:val="auto"/>
        </w:rPr>
      </w:pPr>
    </w:p>
    <w:p>
      <w:pPr>
        <w:jc w:val="center"/>
        <w:ind w:right="-9"/>
        <w:spacing w:after="0"/>
        <w:rPr>
          <w:sz w:val="20"/>
          <w:szCs w:val="20"/>
          <w:color w:val="auto"/>
        </w:rPr>
      </w:pPr>
      <w:r>
        <w:rPr>
          <w:rFonts w:ascii="Arial" w:cs="Arial" w:eastAsia="Arial" w:hAnsi="Arial"/>
          <w:sz w:val="15"/>
          <w:szCs w:val="15"/>
          <w:b w:val="1"/>
          <w:bCs w:val="1"/>
          <w:color w:val="auto"/>
        </w:rPr>
        <w:t>Documents Incorporated by Reference</w:t>
      </w:r>
    </w:p>
    <w:p>
      <w:pPr>
        <w:spacing w:after="0" w:line="193" w:lineRule="exact"/>
        <w:rPr>
          <w:sz w:val="24"/>
          <w:szCs w:val="24"/>
          <w:color w:val="auto"/>
        </w:rPr>
      </w:pPr>
    </w:p>
    <w:p>
      <w:pPr>
        <w:ind w:left="10" w:right="120" w:firstLine="294"/>
        <w:spacing w:after="0" w:line="261" w:lineRule="auto"/>
        <w:rPr>
          <w:sz w:val="20"/>
          <w:szCs w:val="20"/>
          <w:color w:val="auto"/>
        </w:rPr>
      </w:pPr>
      <w:r>
        <w:rPr>
          <w:rFonts w:ascii="Arial" w:cs="Arial" w:eastAsia="Arial" w:hAnsi="Arial"/>
          <w:sz w:val="15"/>
          <w:szCs w:val="15"/>
          <w:color w:val="auto"/>
        </w:rPr>
        <w:t>Portions of the registrant's annual report to shareholders for the year ended December 31, 2002 (the "2002 Annual Report") are incorporated in Part I, Part II and Part IV hereof and made a part hereof. The registrant's definitive proxy statement for use in connection with its annual meeting of shareholders to be held on April 22, 2003, filed with the Securities and Exchange Commission (the "SEC") on March 7, 2003, is incorporated in Part III hereof and made a part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103505</wp:posOffset>
            </wp:positionV>
            <wp:extent cx="7274560"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4560" cy="196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175260</wp:posOffset>
            </wp:positionV>
            <wp:extent cx="7274560"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4560" cy="196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247015</wp:posOffset>
            </wp:positionV>
            <wp:extent cx="7274560"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30"/>
        <w:spacing w:after="0"/>
        <w:rPr>
          <w:sz w:val="20"/>
          <w:szCs w:val="20"/>
          <w:color w:val="auto"/>
        </w:rPr>
      </w:pPr>
      <w:r>
        <w:rPr>
          <w:rFonts w:ascii="Arial" w:cs="Arial" w:eastAsia="Arial" w:hAnsi="Arial"/>
          <w:sz w:val="15"/>
          <w:szCs w:val="15"/>
          <w:b w:val="1"/>
          <w:bCs w:val="1"/>
          <w:color w:val="auto"/>
        </w:rPr>
        <w:t>PART I</w:t>
      </w:r>
    </w:p>
    <w:p>
      <w:pPr>
        <w:spacing w:after="0" w:line="370" w:lineRule="exact"/>
        <w:rPr>
          <w:sz w:val="24"/>
          <w:szCs w:val="24"/>
          <w:color w:val="auto"/>
        </w:rPr>
      </w:pPr>
    </w:p>
    <w:p>
      <w:pPr>
        <w:ind w:left="10"/>
        <w:spacing w:after="0"/>
        <w:rPr>
          <w:sz w:val="20"/>
          <w:szCs w:val="20"/>
          <w:color w:val="auto"/>
        </w:rPr>
      </w:pPr>
      <w:r>
        <w:rPr>
          <w:rFonts w:ascii="Arial" w:cs="Arial" w:eastAsia="Arial" w:hAnsi="Arial"/>
          <w:sz w:val="15"/>
          <w:szCs w:val="15"/>
          <w:b w:val="1"/>
          <w:bCs w:val="1"/>
          <w:color w:val="auto"/>
        </w:rPr>
        <w:t xml:space="preserve">Item 1. </w:t>
      </w:r>
      <w:r>
        <w:rPr>
          <w:rFonts w:ascii="Arial" w:cs="Arial" w:eastAsia="Arial" w:hAnsi="Arial"/>
          <w:sz w:val="15"/>
          <w:szCs w:val="15"/>
          <w:b w:val="1"/>
          <w:bCs w:val="1"/>
          <w:i w:val="1"/>
          <w:iCs w:val="1"/>
          <w:color w:val="auto"/>
        </w:rPr>
        <w:t>Business.</w:t>
      </w:r>
    </w:p>
    <w:p>
      <w:pPr>
        <w:spacing w:after="0" w:line="193" w:lineRule="exact"/>
        <w:rPr>
          <w:sz w:val="24"/>
          <w:szCs w:val="24"/>
          <w:color w:val="auto"/>
        </w:rPr>
      </w:pPr>
    </w:p>
    <w:p>
      <w:pPr>
        <w:ind w:left="310" w:hanging="310"/>
        <w:spacing w:after="0"/>
        <w:tabs>
          <w:tab w:leader="none" w:pos="310" w:val="left"/>
        </w:tabs>
        <w:numPr>
          <w:ilvl w:val="0"/>
          <w:numId w:val="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General Development of Business</w:t>
      </w:r>
    </w:p>
    <w:p>
      <w:pPr>
        <w:spacing w:after="0" w:line="185" w:lineRule="exact"/>
        <w:rPr>
          <w:sz w:val="24"/>
          <w:szCs w:val="24"/>
          <w:color w:val="auto"/>
        </w:rPr>
      </w:pPr>
    </w:p>
    <w:p>
      <w:pPr>
        <w:jc w:val="center"/>
        <w:ind w:right="-9"/>
        <w:spacing w:after="0"/>
        <w:rPr>
          <w:sz w:val="20"/>
          <w:szCs w:val="20"/>
          <w:color w:val="auto"/>
        </w:rPr>
      </w:pPr>
      <w:r>
        <w:rPr>
          <w:rFonts w:ascii="Arial" w:cs="Arial" w:eastAsia="Arial" w:hAnsi="Arial"/>
          <w:sz w:val="15"/>
          <w:szCs w:val="15"/>
          <w:b w:val="1"/>
          <w:bCs w:val="1"/>
          <w:color w:val="auto"/>
        </w:rPr>
        <w:t>General</w:t>
      </w:r>
    </w:p>
    <w:p>
      <w:pPr>
        <w:spacing w:after="0" w:line="193" w:lineRule="exact"/>
        <w:rPr>
          <w:sz w:val="24"/>
          <w:szCs w:val="24"/>
          <w:color w:val="auto"/>
        </w:rPr>
      </w:pPr>
    </w:p>
    <w:p>
      <w:pPr>
        <w:ind w:left="290"/>
        <w:spacing w:after="0"/>
        <w:rPr>
          <w:sz w:val="20"/>
          <w:szCs w:val="20"/>
          <w:color w:val="auto"/>
        </w:rPr>
      </w:pPr>
      <w:r>
        <w:rPr>
          <w:rFonts w:ascii="Arial" w:cs="Arial" w:eastAsia="Arial" w:hAnsi="Arial"/>
          <w:sz w:val="13"/>
          <w:szCs w:val="13"/>
          <w:color w:val="auto"/>
        </w:rPr>
        <w:t>Kraft Foods Inc. ("Kraft") was incorporated in 2000 in the Commonwealth of Virginia. Following Kraft's formation, Altria Group, Inc. (formerly Philip Morris Companies Inc.) transferred</w:t>
      </w:r>
    </w:p>
    <w:p>
      <w:pPr>
        <w:spacing w:after="0" w:line="37" w:lineRule="exact"/>
        <w:rPr>
          <w:sz w:val="24"/>
          <w:szCs w:val="24"/>
          <w:color w:val="auto"/>
        </w:rPr>
      </w:pPr>
    </w:p>
    <w:p>
      <w:pPr>
        <w:ind w:left="10"/>
        <w:spacing w:after="0"/>
        <w:rPr>
          <w:sz w:val="20"/>
          <w:szCs w:val="20"/>
          <w:color w:val="auto"/>
        </w:rPr>
      </w:pPr>
      <w:r>
        <w:rPr>
          <w:rFonts w:ascii="Arial" w:cs="Arial" w:eastAsia="Arial" w:hAnsi="Arial"/>
          <w:sz w:val="13"/>
          <w:szCs w:val="13"/>
          <w:color w:val="auto"/>
        </w:rPr>
        <w:t>to Kraft its ownership interest in Kraft Foods North America, Inc. ("Kraft Foods North America"), a Delaware corporation, through a capital contribution. In addition, during 2000, a subsidiary</w:t>
      </w:r>
    </w:p>
    <w:p>
      <w:pPr>
        <w:spacing w:after="0" w:line="31" w:lineRule="exact"/>
        <w:rPr>
          <w:sz w:val="24"/>
          <w:szCs w:val="24"/>
          <w:color w:val="auto"/>
        </w:rPr>
      </w:pPr>
    </w:p>
    <w:p>
      <w:pPr>
        <w:ind w:left="10"/>
        <w:spacing w:after="0"/>
        <w:rPr>
          <w:sz w:val="20"/>
          <w:szCs w:val="20"/>
          <w:color w:val="auto"/>
        </w:rPr>
      </w:pPr>
      <w:r>
        <w:rPr>
          <w:rFonts w:ascii="Arial" w:cs="Arial" w:eastAsia="Arial" w:hAnsi="Arial"/>
          <w:sz w:val="14"/>
          <w:szCs w:val="14"/>
          <w:color w:val="auto"/>
        </w:rPr>
        <w:t>of Altria Group, Inc. transferred management responsibility for its food businesses in Latin America to Kraft Foods North America and its wholly owned subsidiary, Kraft Foods</w:t>
      </w:r>
    </w:p>
    <w:p>
      <w:pPr>
        <w:spacing w:after="0" w:line="20" w:lineRule="exact"/>
        <w:rPr>
          <w:sz w:val="24"/>
          <w:szCs w:val="24"/>
          <w:color w:val="auto"/>
        </w:rPr>
      </w:pPr>
    </w:p>
    <w:p>
      <w:pPr>
        <w:ind w:left="10"/>
        <w:spacing w:after="0"/>
        <w:rPr>
          <w:sz w:val="20"/>
          <w:szCs w:val="20"/>
          <w:color w:val="auto"/>
        </w:rPr>
      </w:pPr>
      <w:r>
        <w:rPr>
          <w:rFonts w:ascii="Arial" w:cs="Arial" w:eastAsia="Arial" w:hAnsi="Arial"/>
          <w:sz w:val="13"/>
          <w:szCs w:val="13"/>
          <w:color w:val="auto"/>
        </w:rPr>
        <w:t>International, Inc. ("Kraft Foods International"). On December 11, 2000, Kraft acquired all of the outstanding shares of Nabisco Holdings Corp. ("Nabisco"). Kraft, through its subsidiaries (Kraft</w:t>
      </w:r>
    </w:p>
    <w:p>
      <w:pPr>
        <w:spacing w:after="0" w:line="31" w:lineRule="exact"/>
        <w:rPr>
          <w:sz w:val="24"/>
          <w:szCs w:val="24"/>
          <w:color w:val="auto"/>
        </w:rPr>
      </w:pPr>
    </w:p>
    <w:p>
      <w:pPr>
        <w:ind w:left="10"/>
        <w:spacing w:after="0"/>
        <w:rPr>
          <w:sz w:val="20"/>
          <w:szCs w:val="20"/>
          <w:color w:val="auto"/>
        </w:rPr>
      </w:pPr>
      <w:r>
        <w:rPr>
          <w:rFonts w:ascii="Arial" w:cs="Arial" w:eastAsia="Arial" w:hAnsi="Arial"/>
          <w:sz w:val="13"/>
          <w:szCs w:val="13"/>
          <w:color w:val="auto"/>
        </w:rPr>
        <w:t>and its subsidiaries are hereinafter referred to as the "Company"), is engaged in the manufacture and sale of branded foods and beverages in the United States, Canada, Europe, Latin America,</w:t>
      </w:r>
    </w:p>
    <w:p>
      <w:pPr>
        <w:spacing w:after="0" w:line="31" w:lineRule="exact"/>
        <w:rPr>
          <w:sz w:val="24"/>
          <w:szCs w:val="24"/>
          <w:color w:val="auto"/>
        </w:rPr>
      </w:pPr>
    </w:p>
    <w:p>
      <w:pPr>
        <w:ind w:left="10"/>
        <w:spacing w:after="0"/>
        <w:rPr>
          <w:sz w:val="20"/>
          <w:szCs w:val="20"/>
          <w:color w:val="auto"/>
        </w:rPr>
      </w:pPr>
      <w:r>
        <w:rPr>
          <w:rFonts w:ascii="Arial" w:cs="Arial" w:eastAsia="Arial" w:hAnsi="Arial"/>
          <w:sz w:val="15"/>
          <w:szCs w:val="15"/>
          <w:color w:val="auto"/>
        </w:rPr>
        <w:t>Asia Pacific, the Middle East and Africa.</w:t>
      </w:r>
    </w:p>
    <w:p>
      <w:pPr>
        <w:spacing w:after="0" w:line="183" w:lineRule="exact"/>
        <w:rPr>
          <w:sz w:val="24"/>
          <w:szCs w:val="24"/>
          <w:color w:val="auto"/>
        </w:rPr>
      </w:pPr>
    </w:p>
    <w:p>
      <w:pPr>
        <w:ind w:left="10" w:right="40" w:firstLine="294"/>
        <w:spacing w:after="0" w:line="277" w:lineRule="auto"/>
        <w:rPr>
          <w:sz w:val="20"/>
          <w:szCs w:val="20"/>
          <w:color w:val="auto"/>
        </w:rPr>
      </w:pPr>
      <w:r>
        <w:rPr>
          <w:rFonts w:ascii="Arial" w:cs="Arial" w:eastAsia="Arial" w:hAnsi="Arial"/>
          <w:sz w:val="14"/>
          <w:szCs w:val="14"/>
          <w:color w:val="auto"/>
        </w:rPr>
        <w:t>Prior to June 13, 2001, the Company was a wholly owned subsidiary of Altria Group, Inc. On June 13, 2001, the Company completed an initial public offering ("IPO") of 280,000,000 shares of its Class A common stock at a price of $31.00 per share. The IPO proceeds, net of the underwriting discount and expenses, of $8.4 billion were used to retire a portion of an $11.0 billion long-term note payable to Altria Group, Inc., incurred in connection with the acquisition of Nabisco. After the IPO, Altria Group, Inc. owned approximately 83.9% of the outstanding shares of the Company's capital stock through its ownership of 49.5% of the Company's Class A common stock and 100% of the Company's Class B common stock. The Company's Class A common stock has one vote per share, while the Company's Class B common stock has ten votes per share. At December 31, 2002, Altria Group, Inc. held 97.8% of the combined voting power of the Company's outstanding capital stock and owned approximately 84.2% of the outstanding shares of the Company's capital stock.</w:t>
      </w:r>
    </w:p>
    <w:p>
      <w:pPr>
        <w:spacing w:after="0" w:line="147" w:lineRule="exact"/>
        <w:rPr>
          <w:sz w:val="24"/>
          <w:szCs w:val="24"/>
          <w:color w:val="auto"/>
        </w:rPr>
      </w:pPr>
    </w:p>
    <w:p>
      <w:pPr>
        <w:jc w:val="center"/>
        <w:ind w:right="-9"/>
        <w:spacing w:after="0"/>
        <w:rPr>
          <w:sz w:val="20"/>
          <w:szCs w:val="20"/>
          <w:color w:val="auto"/>
        </w:rPr>
      </w:pPr>
      <w:r>
        <w:rPr>
          <w:rFonts w:ascii="Arial" w:cs="Arial" w:eastAsia="Arial" w:hAnsi="Arial"/>
          <w:sz w:val="15"/>
          <w:szCs w:val="15"/>
          <w:b w:val="1"/>
          <w:bCs w:val="1"/>
          <w:color w:val="auto"/>
        </w:rPr>
        <w:t>Source of Funds—Dividends</w:t>
      </w:r>
    </w:p>
    <w:p>
      <w:pPr>
        <w:sectPr>
          <w:pgSz w:w="11900" w:h="16838" w:orient="portrait"/>
          <w:cols w:equalWidth="0" w:num="1">
            <w:col w:w="11450"/>
          </w:cols>
          <w:pgMar w:left="230" w:top="414" w:right="219" w:bottom="0" w:gutter="0" w:footer="0" w:header="0"/>
        </w:sectPr>
      </w:pPr>
    </w:p>
    <w:bookmarkStart w:id="1" w:name="page2"/>
    <w:bookmarkEnd w:id="1"/>
    <w:p>
      <w:pPr>
        <w:spacing w:after="0" w:line="35" w:lineRule="exact"/>
        <w:rPr>
          <w:sz w:val="20"/>
          <w:szCs w:val="20"/>
          <w:color w:val="auto"/>
        </w:rPr>
      </w:pPr>
    </w:p>
    <w:p>
      <w:pPr>
        <w:ind w:left="10" w:right="40" w:firstLine="294"/>
        <w:spacing w:after="0" w:line="271" w:lineRule="auto"/>
        <w:rPr>
          <w:sz w:val="20"/>
          <w:szCs w:val="20"/>
          <w:color w:val="auto"/>
        </w:rPr>
      </w:pPr>
      <w:r>
        <w:rPr>
          <w:rFonts w:ascii="Arial" w:cs="Arial" w:eastAsia="Arial" w:hAnsi="Arial"/>
          <w:sz w:val="15"/>
          <w:szCs w:val="15"/>
          <w:color w:val="auto"/>
        </w:rPr>
        <w:t>Because the Company is a holding company, its principal source of funds is dividends from its subsidiaries. The Company's principal wholly owned subsidiaries currently are not limited by long-term debt or other agreements in their ability to pay cash dividends or make other distributions with respect to their common stock.</w:t>
      </w:r>
    </w:p>
    <w:p>
      <w:pPr>
        <w:spacing w:after="0" w:line="153" w:lineRule="exact"/>
        <w:rPr>
          <w:sz w:val="20"/>
          <w:szCs w:val="20"/>
          <w:color w:val="auto"/>
        </w:rPr>
      </w:pPr>
    </w:p>
    <w:p>
      <w:pPr>
        <w:ind w:left="310" w:hanging="310"/>
        <w:spacing w:after="0"/>
        <w:tabs>
          <w:tab w:leader="none" w:pos="310" w:val="left"/>
        </w:tabs>
        <w:numPr>
          <w:ilvl w:val="0"/>
          <w:numId w:val="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Financial Information About Industry Segments</w:t>
      </w:r>
    </w:p>
    <w:p>
      <w:pPr>
        <w:spacing w:after="0" w:line="189" w:lineRule="exact"/>
        <w:rPr>
          <w:sz w:val="20"/>
          <w:szCs w:val="20"/>
          <w:color w:val="auto"/>
        </w:rPr>
      </w:pPr>
    </w:p>
    <w:p>
      <w:pPr>
        <w:ind w:left="10" w:right="80" w:firstLine="291"/>
        <w:spacing w:after="0" w:line="305" w:lineRule="auto"/>
        <w:rPr>
          <w:sz w:val="20"/>
          <w:szCs w:val="20"/>
          <w:color w:val="auto"/>
        </w:rPr>
      </w:pPr>
      <w:r>
        <w:rPr>
          <w:rFonts w:ascii="Arial" w:cs="Arial" w:eastAsia="Arial" w:hAnsi="Arial"/>
          <w:sz w:val="13"/>
          <w:szCs w:val="13"/>
          <w:color w:val="auto"/>
        </w:rPr>
        <w:t>The Company conducts its global business through its subsidiaries: Kraft Foods North America and Kraft Foods International. The Company has operations in 68 countries and sells its products in more than 150 countries. Kraft Foods North America operates in the United States, Canada and Mexico, and manages its operations by product category, while Kraft Foods International manages its operations by geographic region. Kraft Foods North America's reportable segments are Cheese, Meals and Enhancers; Biscuits, Snacks and Confectionery; Beverages, Desserts and Cereals; and Oscar Mayer and Pizza. Kraft Foods North America's food service business within the United States and its businesses in Canada and Mexico are reported through the Cheese, Meals and Enhancers segment. Kraft Foods International's reportable segments are Europe, Middle East and Africa; and Latin America and Asia Pacific.</w:t>
      </w:r>
    </w:p>
    <w:p>
      <w:pPr>
        <w:spacing w:after="0" w:line="135"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4560"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pacing w:after="0" w:line="373" w:lineRule="exact"/>
        <w:rPr>
          <w:sz w:val="20"/>
          <w:szCs w:val="20"/>
          <w:color w:val="auto"/>
        </w:rPr>
      </w:pPr>
    </w:p>
    <w:p>
      <w:pPr>
        <w:ind w:left="10" w:right="240" w:firstLine="294"/>
        <w:spacing w:after="0" w:line="271" w:lineRule="auto"/>
        <w:rPr>
          <w:sz w:val="20"/>
          <w:szCs w:val="20"/>
          <w:color w:val="auto"/>
        </w:rPr>
      </w:pPr>
      <w:r>
        <w:rPr>
          <w:rFonts w:ascii="Arial" w:cs="Arial" w:eastAsia="Arial" w:hAnsi="Arial"/>
          <w:sz w:val="15"/>
          <w:szCs w:val="15"/>
          <w:color w:val="auto"/>
        </w:rPr>
        <w:t>Net revenues and operating companies income* attributable to each such segment (together with a reconciliation to consolidated operating income) for each of the last three years are set forth in Note 13 to the Company's consolidated financial statements and are incorporated herein by reference to the 2002 Annual Report.</w:t>
      </w:r>
    </w:p>
    <w:p>
      <w:pPr>
        <w:spacing w:after="0" w:line="153" w:lineRule="exact"/>
        <w:rPr>
          <w:sz w:val="20"/>
          <w:szCs w:val="20"/>
          <w:color w:val="auto"/>
        </w:rPr>
      </w:pPr>
    </w:p>
    <w:p>
      <w:pPr>
        <w:ind w:left="290"/>
        <w:spacing w:after="0"/>
        <w:rPr>
          <w:sz w:val="20"/>
          <w:szCs w:val="20"/>
          <w:color w:val="auto"/>
        </w:rPr>
      </w:pPr>
      <w:r>
        <w:rPr>
          <w:rFonts w:ascii="Arial" w:cs="Arial" w:eastAsia="Arial" w:hAnsi="Arial"/>
          <w:sz w:val="15"/>
          <w:szCs w:val="15"/>
          <w:color w:val="auto"/>
        </w:rPr>
        <w:t>The relative percentages of operating companies income attributable to each reportable segment were as follows:</w:t>
      </w:r>
    </w:p>
    <w:p>
      <w:pPr>
        <w:spacing w:after="0" w:line="185" w:lineRule="exact"/>
        <w:rPr>
          <w:sz w:val="20"/>
          <w:szCs w:val="20"/>
          <w:color w:val="auto"/>
        </w:rPr>
      </w:pPr>
    </w:p>
    <w:p>
      <w:pPr>
        <w:jc w:val="center"/>
        <w:ind w:left="3880"/>
        <w:spacing w:after="0"/>
        <w:rPr>
          <w:sz w:val="20"/>
          <w:szCs w:val="20"/>
          <w:color w:val="auto"/>
        </w:rPr>
      </w:pPr>
      <w:r>
        <w:rPr>
          <w:rFonts w:ascii="Arial" w:cs="Arial" w:eastAsia="Arial" w:hAnsi="Arial"/>
          <w:sz w:val="11"/>
          <w:szCs w:val="11"/>
          <w:b w:val="1"/>
          <w:bCs w:val="1"/>
          <w:color w:val="auto"/>
        </w:rPr>
        <w:t>For the Years Ended</w:t>
      </w:r>
    </w:p>
    <w:p>
      <w:pPr>
        <w:spacing w:after="0" w:line="10" w:lineRule="exact"/>
        <w:rPr>
          <w:sz w:val="20"/>
          <w:szCs w:val="20"/>
          <w:color w:val="auto"/>
        </w:rPr>
      </w:pPr>
    </w:p>
    <w:p>
      <w:pPr>
        <w:jc w:val="center"/>
        <w:ind w:left="3880"/>
        <w:spacing w:after="0"/>
        <w:rPr>
          <w:sz w:val="20"/>
          <w:szCs w:val="20"/>
          <w:color w:val="auto"/>
        </w:rPr>
      </w:pPr>
      <w:r>
        <w:rPr>
          <w:rFonts w:ascii="Arial" w:cs="Arial" w:eastAsia="Arial" w:hAnsi="Arial"/>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4029710</wp:posOffset>
            </wp:positionH>
            <wp:positionV relativeFrom="paragraph">
              <wp:posOffset>52705</wp:posOffset>
            </wp:positionV>
            <wp:extent cx="1670050"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70050" cy="19685"/>
                    </a:xfrm>
                    <a:prstGeom prst="rect">
                      <a:avLst/>
                    </a:prstGeom>
                    <a:noFill/>
                  </pic:spPr>
                </pic:pic>
              </a:graphicData>
            </a:graphic>
          </wp:anchor>
        </w:drawing>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640" w:type="dxa"/>
            <w:vAlign w:val="bottom"/>
          </w:tcPr>
          <w:p>
            <w:pPr>
              <w:jc w:val="right"/>
              <w:ind w:right="128"/>
              <w:spacing w:after="0"/>
              <w:rPr>
                <w:sz w:val="20"/>
                <w:szCs w:val="20"/>
                <w:color w:val="auto"/>
              </w:rPr>
            </w:pPr>
            <w:r>
              <w:rPr>
                <w:rFonts w:ascii="Arial" w:cs="Arial" w:eastAsia="Arial" w:hAnsi="Arial"/>
                <w:sz w:val="11"/>
                <w:szCs w:val="11"/>
                <w:b w:val="1"/>
                <w:bCs w:val="1"/>
                <w:color w:val="auto"/>
              </w:rPr>
              <w:t>2002</w:t>
            </w:r>
          </w:p>
        </w:tc>
        <w:tc>
          <w:tcPr>
            <w:tcW w:w="360" w:type="dxa"/>
            <w:vAlign w:val="bottom"/>
          </w:tcPr>
          <w:p>
            <w:pPr>
              <w:spacing w:after="0"/>
              <w:rPr>
                <w:sz w:val="12"/>
                <w:szCs w:val="12"/>
                <w:color w:val="auto"/>
              </w:rPr>
            </w:pPr>
          </w:p>
        </w:tc>
        <w:tc>
          <w:tcPr>
            <w:tcW w:w="620" w:type="dxa"/>
            <w:vAlign w:val="bottom"/>
          </w:tcPr>
          <w:p>
            <w:pPr>
              <w:jc w:val="right"/>
              <w:ind w:right="128"/>
              <w:spacing w:after="0"/>
              <w:rPr>
                <w:sz w:val="20"/>
                <w:szCs w:val="20"/>
                <w:color w:val="auto"/>
              </w:rPr>
            </w:pPr>
            <w:r>
              <w:rPr>
                <w:rFonts w:ascii="Arial" w:cs="Arial" w:eastAsia="Arial" w:hAnsi="Arial"/>
                <w:sz w:val="11"/>
                <w:szCs w:val="11"/>
                <w:b w:val="1"/>
                <w:bCs w:val="1"/>
                <w:color w:val="auto"/>
              </w:rPr>
              <w:t>2001</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ind w:right="128"/>
              <w:spacing w:after="0"/>
              <w:rPr>
                <w:sz w:val="20"/>
                <w:szCs w:val="20"/>
                <w:color w:val="auto"/>
              </w:rPr>
            </w:pPr>
            <w:r>
              <w:rPr>
                <w:rFonts w:ascii="Arial" w:cs="Arial" w:eastAsia="Arial" w:hAnsi="Arial"/>
                <w:sz w:val="11"/>
                <w:szCs w:val="11"/>
                <w:b w:val="1"/>
                <w:bCs w:val="1"/>
                <w:color w:val="auto"/>
              </w:rPr>
              <w:t>2000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32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6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Kraft Foods North America:</w:t>
            </w:r>
          </w:p>
        </w:tc>
        <w:tc>
          <w:tcPr>
            <w:tcW w:w="6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20" w:type="dxa"/>
            <w:vAlign w:val="bottom"/>
          </w:tcPr>
          <w:p>
            <w:pPr>
              <w:ind w:left="160"/>
              <w:spacing w:after="0"/>
              <w:rPr>
                <w:sz w:val="20"/>
                <w:szCs w:val="20"/>
                <w:color w:val="auto"/>
              </w:rPr>
            </w:pPr>
            <w:r>
              <w:rPr>
                <w:rFonts w:ascii="Arial" w:cs="Arial" w:eastAsia="Arial" w:hAnsi="Arial"/>
                <w:sz w:val="15"/>
                <w:szCs w:val="15"/>
                <w:color w:val="auto"/>
              </w:rPr>
              <w:t>Cheese, Meals and Enhancers</w:t>
            </w: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34.5%</w:t>
            </w:r>
          </w:p>
        </w:tc>
        <w:tc>
          <w:tcPr>
            <w:tcW w:w="980" w:type="dxa"/>
            <w:vAlign w:val="bottom"/>
            <w:gridSpan w:val="3"/>
          </w:tcPr>
          <w:p>
            <w:pPr>
              <w:jc w:val="right"/>
              <w:ind w:right="220"/>
              <w:spacing w:after="0"/>
              <w:rPr>
                <w:sz w:val="20"/>
                <w:szCs w:val="20"/>
                <w:color w:val="auto"/>
              </w:rPr>
            </w:pPr>
            <w:r>
              <w:rPr>
                <w:rFonts w:ascii="Arial" w:cs="Arial" w:eastAsia="Arial" w:hAnsi="Arial"/>
                <w:sz w:val="15"/>
                <w:szCs w:val="15"/>
                <w:color w:val="auto"/>
              </w:rPr>
              <w:t>34.8%</w:t>
            </w:r>
          </w:p>
        </w:tc>
        <w:tc>
          <w:tcPr>
            <w:tcW w:w="2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rPr>
              <w:t>38.8%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Biscuits, Snacks and Confectionery</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20" w:type="dxa"/>
            <w:vAlign w:val="bottom"/>
          </w:tcPr>
          <w:p>
            <w:pPr>
              <w:ind w:left="160"/>
              <w:spacing w:after="0"/>
              <w:rPr>
                <w:sz w:val="20"/>
                <w:szCs w:val="20"/>
                <w:color w:val="auto"/>
              </w:rPr>
            </w:pPr>
            <w:r>
              <w:rPr>
                <w:rFonts w:ascii="Arial" w:cs="Arial" w:eastAsia="Arial" w:hAnsi="Arial"/>
                <w:sz w:val="15"/>
                <w:szCs w:val="15"/>
                <w:color w:val="auto"/>
              </w:rPr>
              <w:t>Beverages, Desserts and Cereals</w:t>
            </w:r>
          </w:p>
        </w:tc>
        <w:tc>
          <w:tcPr>
            <w:tcW w:w="640" w:type="dxa"/>
            <w:vAlign w:val="bottom"/>
          </w:tcPr>
          <w:p>
            <w:pPr>
              <w:jc w:val="right"/>
              <w:spacing w:after="0"/>
              <w:rPr>
                <w:sz w:val="20"/>
                <w:szCs w:val="20"/>
                <w:color w:val="auto"/>
              </w:rPr>
            </w:pPr>
            <w:r>
              <w:rPr>
                <w:rFonts w:ascii="Arial" w:cs="Arial" w:eastAsia="Arial" w:hAnsi="Arial"/>
                <w:sz w:val="15"/>
                <w:szCs w:val="15"/>
                <w:color w:val="auto"/>
              </w:rPr>
              <w:t>18.1</w:t>
            </w:r>
          </w:p>
        </w:tc>
        <w:tc>
          <w:tcPr>
            <w:tcW w:w="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19.8</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22.9</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Oscar Mayer and Pizza</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3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320" w:type="dxa"/>
            <w:vAlign w:val="bottom"/>
          </w:tcPr>
          <w:p>
            <w:pPr>
              <w:ind w:left="360"/>
              <w:spacing w:after="0"/>
              <w:rPr>
                <w:sz w:val="20"/>
                <w:szCs w:val="20"/>
                <w:color w:val="auto"/>
              </w:rPr>
            </w:pPr>
            <w:r>
              <w:rPr>
                <w:rFonts w:ascii="Arial" w:cs="Arial" w:eastAsia="Arial" w:hAnsi="Arial"/>
                <w:sz w:val="15"/>
                <w:szCs w:val="15"/>
                <w:color w:val="auto"/>
              </w:rPr>
              <w:t>Total Kraft Foods North America</w:t>
            </w:r>
          </w:p>
        </w:tc>
        <w:tc>
          <w:tcPr>
            <w:tcW w:w="640" w:type="dxa"/>
            <w:vAlign w:val="bottom"/>
          </w:tcPr>
          <w:p>
            <w:pPr>
              <w:jc w:val="right"/>
              <w:spacing w:after="0"/>
              <w:rPr>
                <w:sz w:val="20"/>
                <w:szCs w:val="20"/>
                <w:color w:val="auto"/>
              </w:rPr>
            </w:pPr>
            <w:r>
              <w:rPr>
                <w:rFonts w:ascii="Arial" w:cs="Arial" w:eastAsia="Arial" w:hAnsi="Arial"/>
                <w:sz w:val="15"/>
                <w:szCs w:val="15"/>
                <w:color w:val="auto"/>
              </w:rPr>
              <w:t>78.8</w:t>
            </w:r>
          </w:p>
        </w:tc>
        <w:tc>
          <w:tcPr>
            <w:tcW w:w="3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79.5</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74.6</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6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Kraft Foods International:</w:t>
            </w:r>
          </w:p>
        </w:tc>
        <w:tc>
          <w:tcPr>
            <w:tcW w:w="6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20" w:type="dxa"/>
            <w:vAlign w:val="bottom"/>
          </w:tcPr>
          <w:p>
            <w:pPr>
              <w:ind w:left="160"/>
              <w:spacing w:after="0"/>
              <w:rPr>
                <w:sz w:val="20"/>
                <w:szCs w:val="20"/>
                <w:color w:val="auto"/>
              </w:rPr>
            </w:pPr>
            <w:r>
              <w:rPr>
                <w:rFonts w:ascii="Arial" w:cs="Arial" w:eastAsia="Arial" w:hAnsi="Arial"/>
                <w:sz w:val="15"/>
                <w:szCs w:val="15"/>
                <w:color w:val="auto"/>
              </w:rPr>
              <w:t>Europe, Middle East and Africa</w:t>
            </w:r>
          </w:p>
        </w:tc>
        <w:tc>
          <w:tcPr>
            <w:tcW w:w="640" w:type="dxa"/>
            <w:vAlign w:val="bottom"/>
          </w:tcPr>
          <w:p>
            <w:pPr>
              <w:jc w:val="right"/>
              <w:spacing w:after="0"/>
              <w:rPr>
                <w:sz w:val="20"/>
                <w:szCs w:val="20"/>
                <w:color w:val="auto"/>
              </w:rPr>
            </w:pPr>
            <w:r>
              <w:rPr>
                <w:rFonts w:ascii="Arial" w:cs="Arial" w:eastAsia="Arial" w:hAnsi="Arial"/>
                <w:sz w:val="15"/>
                <w:szCs w:val="15"/>
                <w:color w:val="auto"/>
              </w:rPr>
              <w:t>15.3</w:t>
            </w:r>
          </w:p>
        </w:tc>
        <w:tc>
          <w:tcPr>
            <w:tcW w:w="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14.3</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21.4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Latin America and Asia Pacific</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3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320" w:type="dxa"/>
            <w:vAlign w:val="bottom"/>
          </w:tcPr>
          <w:p>
            <w:pPr>
              <w:ind w:left="360"/>
              <w:spacing w:after="0"/>
              <w:rPr>
                <w:sz w:val="20"/>
                <w:szCs w:val="20"/>
                <w:color w:val="auto"/>
              </w:rPr>
            </w:pPr>
            <w:r>
              <w:rPr>
                <w:rFonts w:ascii="Arial" w:cs="Arial" w:eastAsia="Arial" w:hAnsi="Arial"/>
                <w:sz w:val="15"/>
                <w:szCs w:val="15"/>
                <w:color w:val="auto"/>
              </w:rPr>
              <w:t>Total Kraft Foods International</w:t>
            </w:r>
          </w:p>
        </w:tc>
        <w:tc>
          <w:tcPr>
            <w:tcW w:w="640" w:type="dxa"/>
            <w:vAlign w:val="bottom"/>
          </w:tcPr>
          <w:p>
            <w:pPr>
              <w:jc w:val="right"/>
              <w:spacing w:after="0"/>
              <w:rPr>
                <w:sz w:val="20"/>
                <w:szCs w:val="20"/>
                <w:color w:val="auto"/>
              </w:rPr>
            </w:pPr>
            <w:r>
              <w:rPr>
                <w:rFonts w:ascii="Arial" w:cs="Arial" w:eastAsia="Arial" w:hAnsi="Arial"/>
                <w:sz w:val="15"/>
                <w:szCs w:val="15"/>
                <w:color w:val="auto"/>
              </w:rPr>
              <w:t>21.2</w:t>
            </w:r>
          </w:p>
        </w:tc>
        <w:tc>
          <w:tcPr>
            <w:tcW w:w="3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20.5</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25.4</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360"/>
              <w:spacing w:after="0"/>
              <w:rPr>
                <w:sz w:val="20"/>
                <w:szCs w:val="20"/>
                <w:color w:val="auto"/>
              </w:rPr>
            </w:pPr>
            <w:r>
              <w:rPr>
                <w:rFonts w:ascii="Arial" w:cs="Arial" w:eastAsia="Arial" w:hAnsi="Arial"/>
                <w:sz w:val="15"/>
                <w:szCs w:val="15"/>
                <w:b w:val="1"/>
                <w:bCs w:val="1"/>
                <w:color w:val="auto"/>
              </w:rPr>
              <w:t>Total Kraft Foods Inc</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100.0%</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100.0%</w:t>
            </w:r>
          </w:p>
        </w:tc>
        <w:tc>
          <w:tcPr>
            <w:tcW w:w="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4424680</wp:posOffset>
            </wp:positionH>
            <wp:positionV relativeFrom="paragraph">
              <wp:posOffset>-2065020</wp:posOffset>
            </wp:positionV>
            <wp:extent cx="1270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-2065020</wp:posOffset>
            </wp:positionV>
            <wp:extent cx="1270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5055870</wp:posOffset>
            </wp:positionH>
            <wp:positionV relativeFrom="paragraph">
              <wp:posOffset>-2065020</wp:posOffset>
            </wp:positionV>
            <wp:extent cx="1270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-2065020</wp:posOffset>
            </wp:positionV>
            <wp:extent cx="1270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5687695</wp:posOffset>
            </wp:positionH>
            <wp:positionV relativeFrom="paragraph">
              <wp:posOffset>-2065020</wp:posOffset>
            </wp:positionV>
            <wp:extent cx="1270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-2065020</wp:posOffset>
            </wp:positionV>
            <wp:extent cx="1270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4424680</wp:posOffset>
            </wp:positionH>
            <wp:positionV relativeFrom="paragraph">
              <wp:posOffset>-1304290</wp:posOffset>
            </wp:positionV>
            <wp:extent cx="1270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-1304290</wp:posOffset>
            </wp:positionV>
            <wp:extent cx="1270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5055870</wp:posOffset>
            </wp:positionH>
            <wp:positionV relativeFrom="paragraph">
              <wp:posOffset>-1304290</wp:posOffset>
            </wp:positionV>
            <wp:extent cx="1270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-1304290</wp:posOffset>
            </wp:positionV>
            <wp:extent cx="1270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5687695</wp:posOffset>
            </wp:positionH>
            <wp:positionV relativeFrom="paragraph">
              <wp:posOffset>-1304290</wp:posOffset>
            </wp:positionV>
            <wp:extent cx="1270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-1304290</wp:posOffset>
            </wp:positionV>
            <wp:extent cx="1270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4424680</wp:posOffset>
            </wp:positionH>
            <wp:positionV relativeFrom="paragraph">
              <wp:posOffset>-1046480</wp:posOffset>
            </wp:positionV>
            <wp:extent cx="1270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-1046480</wp:posOffset>
            </wp:positionV>
            <wp:extent cx="1270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5055870</wp:posOffset>
            </wp:positionH>
            <wp:positionV relativeFrom="paragraph">
              <wp:posOffset>-1046480</wp:posOffset>
            </wp:positionV>
            <wp:extent cx="1270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-1046480</wp:posOffset>
            </wp:positionV>
            <wp:extent cx="1270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5687695</wp:posOffset>
            </wp:positionH>
            <wp:positionV relativeFrom="paragraph">
              <wp:posOffset>-1046480</wp:posOffset>
            </wp:positionV>
            <wp:extent cx="1270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-1046480</wp:posOffset>
            </wp:positionV>
            <wp:extent cx="1270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4424680</wp:posOffset>
            </wp:positionH>
            <wp:positionV relativeFrom="paragraph">
              <wp:posOffset>-544195</wp:posOffset>
            </wp:positionV>
            <wp:extent cx="1270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-544195</wp:posOffset>
            </wp:positionV>
            <wp:extent cx="1270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5055870</wp:posOffset>
            </wp:positionH>
            <wp:positionV relativeFrom="paragraph">
              <wp:posOffset>-544195</wp:posOffset>
            </wp:positionV>
            <wp:extent cx="1270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-544195</wp:posOffset>
            </wp:positionV>
            <wp:extent cx="1270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5687695</wp:posOffset>
            </wp:positionH>
            <wp:positionV relativeFrom="paragraph">
              <wp:posOffset>-544195</wp:posOffset>
            </wp:positionV>
            <wp:extent cx="1270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-544195</wp:posOffset>
            </wp:positionV>
            <wp:extent cx="1270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4424680</wp:posOffset>
            </wp:positionH>
            <wp:positionV relativeFrom="paragraph">
              <wp:posOffset>-285750</wp:posOffset>
            </wp:positionV>
            <wp:extent cx="1270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-285750</wp:posOffset>
            </wp:positionV>
            <wp:extent cx="1270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5055870</wp:posOffset>
            </wp:positionH>
            <wp:positionV relativeFrom="paragraph">
              <wp:posOffset>-285750</wp:posOffset>
            </wp:positionV>
            <wp:extent cx="1270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-285750</wp:posOffset>
            </wp:positionV>
            <wp:extent cx="1270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5687695</wp:posOffset>
            </wp:positionH>
            <wp:positionV relativeFrom="paragraph">
              <wp:posOffset>-285750</wp:posOffset>
            </wp:positionV>
            <wp:extent cx="1270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-285750</wp:posOffset>
            </wp:positionV>
            <wp:extent cx="1270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4424680</wp:posOffset>
            </wp:positionH>
            <wp:positionV relativeFrom="paragraph">
              <wp:posOffset>-33655</wp:posOffset>
            </wp:positionV>
            <wp:extent cx="1270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-33655</wp:posOffset>
            </wp:positionV>
            <wp:extent cx="1270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5055870</wp:posOffset>
            </wp:positionH>
            <wp:positionV relativeFrom="paragraph">
              <wp:posOffset>-33655</wp:posOffset>
            </wp:positionV>
            <wp:extent cx="1270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-33655</wp:posOffset>
            </wp:positionV>
            <wp:extent cx="1270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5687695</wp:posOffset>
            </wp:positionH>
            <wp:positionV relativeFrom="paragraph">
              <wp:posOffset>-33655</wp:posOffset>
            </wp:positionV>
            <wp:extent cx="1270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-33655</wp:posOffset>
            </wp:positionV>
            <wp:extent cx="1270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pacing w:after="0" w:line="240" w:lineRule="exact"/>
        <w:rPr>
          <w:sz w:val="20"/>
          <w:szCs w:val="20"/>
          <w:color w:val="auto"/>
        </w:rPr>
      </w:pPr>
    </w:p>
    <w:p>
      <w:pPr>
        <w:ind w:left="10" w:right="440" w:firstLine="291"/>
        <w:spacing w:after="0" w:line="271" w:lineRule="auto"/>
        <w:rPr>
          <w:sz w:val="20"/>
          <w:szCs w:val="20"/>
          <w:color w:val="auto"/>
        </w:rPr>
      </w:pPr>
      <w:r>
        <w:rPr>
          <w:rFonts w:ascii="Arial" w:cs="Arial" w:eastAsia="Arial" w:hAnsi="Arial"/>
          <w:sz w:val="15"/>
          <w:szCs w:val="15"/>
          <w:color w:val="auto"/>
        </w:rPr>
        <w:t>The inclusion of Nabisco's operating results in 2001 contributed to the shift in relative percentages toward the Biscuits, Snacks and Confectionery and Latin America and Asia Pacific segments.</w:t>
      </w:r>
    </w:p>
    <w:p>
      <w:pPr>
        <w:spacing w:after="0" w:line="153" w:lineRule="exact"/>
        <w:rPr>
          <w:sz w:val="20"/>
          <w:szCs w:val="20"/>
          <w:color w:val="auto"/>
        </w:rPr>
      </w:pPr>
    </w:p>
    <w:p>
      <w:pPr>
        <w:ind w:left="310" w:hanging="310"/>
        <w:spacing w:after="0"/>
        <w:tabs>
          <w:tab w:leader="none" w:pos="310" w:val="left"/>
        </w:tabs>
        <w:numPr>
          <w:ilvl w:val="0"/>
          <w:numId w:val="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Narrative Description of Business</w:t>
      </w:r>
    </w:p>
    <w:p>
      <w:pPr>
        <w:spacing w:after="0" w:line="185"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Acquisitions and Divestitures</w:t>
      </w:r>
    </w:p>
    <w:p>
      <w:pPr>
        <w:spacing w:after="0" w:line="193" w:lineRule="exact"/>
        <w:rPr>
          <w:sz w:val="20"/>
          <w:szCs w:val="20"/>
          <w:color w:val="auto"/>
        </w:rPr>
      </w:pPr>
    </w:p>
    <w:p>
      <w:pPr>
        <w:ind w:left="10"/>
        <w:spacing w:after="0"/>
        <w:rPr>
          <w:sz w:val="20"/>
          <w:szCs w:val="20"/>
          <w:color w:val="auto"/>
        </w:rPr>
      </w:pPr>
      <w:r>
        <w:rPr>
          <w:rFonts w:ascii="Arial" w:cs="Arial" w:eastAsia="Arial" w:hAnsi="Arial"/>
          <w:sz w:val="15"/>
          <w:szCs w:val="15"/>
          <w:i w:val="1"/>
          <w:iCs w:val="1"/>
          <w:color w:val="auto"/>
        </w:rPr>
        <w:t>Nabisco Acquisition</w:t>
      </w:r>
    </w:p>
    <w:p>
      <w:pPr>
        <w:spacing w:after="0" w:line="189" w:lineRule="exact"/>
        <w:rPr>
          <w:sz w:val="20"/>
          <w:szCs w:val="20"/>
          <w:color w:val="auto"/>
        </w:rPr>
      </w:pPr>
    </w:p>
    <w:p>
      <w:pPr>
        <w:jc w:val="both"/>
        <w:ind w:left="10" w:right="180" w:firstLine="294"/>
        <w:spacing w:after="0" w:line="282" w:lineRule="auto"/>
        <w:rPr>
          <w:sz w:val="20"/>
          <w:szCs w:val="20"/>
          <w:color w:val="auto"/>
        </w:rPr>
      </w:pPr>
      <w:r>
        <w:rPr>
          <w:rFonts w:ascii="Arial" w:cs="Arial" w:eastAsia="Arial" w:hAnsi="Arial"/>
          <w:sz w:val="14"/>
          <w:szCs w:val="14"/>
          <w:color w:val="auto"/>
        </w:rPr>
        <w:t>On December 11, 2000, the Company acquired all of the outstanding shares of Nabisco. The purchase of the outstanding shares, retirement of employee stock options and other payments totaled approximately $15.2 billion. In addition, the acquisition included the assumption of approximately $4.0 billion of existing Nabisco debt. The Company financed the acquisition through the issuance of two long-term notes payable to Altria Group, Inc., totaling $15.0 billion, and short-term intercompany borrowings of $255 million. The acquisition has been accounted for as a purchase. Beginning January 1, 2001, Nabisco's earnings have been included in the consolidated operating results of the Company.</w:t>
      </w:r>
    </w:p>
    <w:p>
      <w:pPr>
        <w:spacing w:after="0" w:line="147" w:lineRule="exact"/>
        <w:rPr>
          <w:sz w:val="20"/>
          <w:szCs w:val="20"/>
          <w:color w:val="auto"/>
        </w:rPr>
      </w:pPr>
    </w:p>
    <w:p>
      <w:pPr>
        <w:ind w:left="10" w:right="140" w:firstLine="291"/>
        <w:spacing w:after="0" w:line="282" w:lineRule="auto"/>
        <w:rPr>
          <w:sz w:val="20"/>
          <w:szCs w:val="20"/>
          <w:color w:val="auto"/>
        </w:rPr>
      </w:pPr>
      <w:r>
        <w:rPr>
          <w:rFonts w:ascii="Arial" w:cs="Arial" w:eastAsia="Arial" w:hAnsi="Arial"/>
          <w:sz w:val="14"/>
          <w:szCs w:val="14"/>
          <w:color w:val="auto"/>
        </w:rPr>
        <w:t>The integration of Nabisco into the Company has continued throughout 2001 and 2002. The closure of a number of Nabisco domestic and international facilities resulted in severance and other exit costs of $379 million, which are included in the adjustments for the allocation of the purchase price. The closures will result in the termination of approximately 7,500 employees and will require total cash payments of $373 million, of which approximately $190 million had been spent through December 31, 2002. Substantially all of the closures were completed as of December 31, 2002, and the remaining payments relate to salary continuation payments for severed employees and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95250</wp:posOffset>
            </wp:positionV>
            <wp:extent cx="364490" cy="19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4490" cy="19685"/>
                    </a:xfrm>
                    <a:prstGeom prst="rect">
                      <a:avLst/>
                    </a:prstGeom>
                    <a:noFill/>
                  </pic:spPr>
                </pic:pic>
              </a:graphicData>
            </a:graphic>
          </wp:anchor>
        </w:drawing>
      </w:r>
    </w:p>
    <w:p>
      <w:pPr>
        <w:spacing w:after="0" w:line="342" w:lineRule="exact"/>
        <w:rPr>
          <w:sz w:val="20"/>
          <w:szCs w:val="20"/>
          <w:color w:val="auto"/>
        </w:rPr>
      </w:pPr>
    </w:p>
    <w:p>
      <w:pPr>
        <w:ind w:left="450" w:right="200" w:hanging="450"/>
        <w:spacing w:after="0" w:line="320" w:lineRule="auto"/>
        <w:tabs>
          <w:tab w:leader="none" w:pos="450" w:val="left"/>
        </w:tabs>
        <w:numPr>
          <w:ilvl w:val="0"/>
          <w:numId w:val="4"/>
        </w:numPr>
        <w:rPr>
          <w:rFonts w:ascii="Arial" w:cs="Arial" w:eastAsia="Arial" w:hAnsi="Arial"/>
          <w:sz w:val="13"/>
          <w:szCs w:val="13"/>
          <w:color w:val="auto"/>
        </w:rPr>
      </w:pPr>
      <w:r>
        <w:rPr>
          <w:rFonts w:ascii="Arial" w:cs="Arial" w:eastAsia="Arial" w:hAnsi="Arial"/>
          <w:sz w:val="13"/>
          <w:szCs w:val="13"/>
          <w:color w:val="auto"/>
        </w:rPr>
        <w:t>Management uses operating companies income, which is defined as operating income before general corporate expenses and amortization of intangibles, to manage and to evaluate the performance of Kraft and its operating subsidiaries. Management believes it is appropriate to disclose this measure to assist investors with analyzing business performance and trends. This measure should not be considered in isolation or as a substitute for operating income prepared in accordance with accounting principles generally accepted in the United States.</w:t>
      </w:r>
    </w:p>
    <w:p>
      <w:pPr>
        <w:spacing w:after="0" w:line="125"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4560" cy="19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pacing w:after="0" w:line="373" w:lineRule="exact"/>
        <w:rPr>
          <w:sz w:val="20"/>
          <w:szCs w:val="20"/>
          <w:color w:val="auto"/>
        </w:rPr>
      </w:pPr>
    </w:p>
    <w:p>
      <w:pPr>
        <w:ind w:left="10" w:firstLine="291"/>
        <w:spacing w:after="0" w:line="274" w:lineRule="auto"/>
        <w:rPr>
          <w:sz w:val="20"/>
          <w:szCs w:val="20"/>
          <w:color w:val="auto"/>
        </w:rPr>
      </w:pPr>
      <w:r>
        <w:rPr>
          <w:rFonts w:ascii="Arial" w:cs="Arial" w:eastAsia="Arial" w:hAnsi="Arial"/>
          <w:sz w:val="14"/>
          <w:szCs w:val="14"/>
          <w:color w:val="auto"/>
        </w:rPr>
        <w:t>The integration of Nabisco into the operations of the Company has also resulted in the closure or reconfiguration of several of the Company's existing facilities. The aggregate charges to the Company's consolidated statement of earnings to close or reconfigure its facilities and integrate Nabisco were originally estimated to be in the range of $200 million to $300 million. During 2002, the Company recorded pre-tax integration related charges of $115 million to consolidate production lines, close facilities and for other consolidation programs. In addition, during 2001, the Company incurred pre-tax integration costs of $53 million for site reconfigurations and other consolidation programs in the United States. The integration related charges of $168 million included $27 million relating to severance, $117 million relating to asset write-offs and $24 million relating to other cash exit costs. Cash payments relating to these charges will approximate $51 million, of which $21 million has been paid through December 31, 2002. In addition, during 2002, approximately 700 salaried employees elected to retire or terminate employment under voluntary retirement programs. As a result, the Company recorded a pre-tax charge of $142 million related to these programs. As of December 31, 2002, the aggregate pre-tax charges to close or reconfigure the Company's facilities and integrate Nabisco, including charges for early retirement programs, were $310 million, slightly above the original estimate. No additional pre-tax charges are expected to be recorded for these programs.</w:t>
      </w:r>
    </w:p>
    <w:p>
      <w:pPr>
        <w:spacing w:after="0" w:line="154" w:lineRule="exact"/>
        <w:rPr>
          <w:sz w:val="20"/>
          <w:szCs w:val="20"/>
          <w:color w:val="auto"/>
        </w:rPr>
      </w:pPr>
    </w:p>
    <w:p>
      <w:pPr>
        <w:ind w:left="290"/>
        <w:spacing w:after="0"/>
        <w:rPr>
          <w:sz w:val="20"/>
          <w:szCs w:val="20"/>
          <w:color w:val="auto"/>
        </w:rPr>
      </w:pPr>
      <w:r>
        <w:rPr>
          <w:rFonts w:ascii="Arial" w:cs="Arial" w:eastAsia="Arial" w:hAnsi="Arial"/>
          <w:sz w:val="14"/>
          <w:szCs w:val="14"/>
          <w:color w:val="auto"/>
        </w:rPr>
        <w:t>By combining Nabisco's operations with the operations of Kraft Foods North America and Kraft Foods International, the Company achieved annualized net cost synergy savings of</w:t>
      </w:r>
    </w:p>
    <w:p>
      <w:pPr>
        <w:spacing w:after="0" w:line="26" w:lineRule="exact"/>
        <w:rPr>
          <w:sz w:val="20"/>
          <w:szCs w:val="20"/>
          <w:color w:val="auto"/>
        </w:rPr>
      </w:pPr>
    </w:p>
    <w:p>
      <w:pPr>
        <w:ind w:left="10" w:right="80"/>
        <w:spacing w:after="0" w:line="263" w:lineRule="auto"/>
        <w:rPr>
          <w:sz w:val="20"/>
          <w:szCs w:val="20"/>
          <w:color w:val="auto"/>
        </w:rPr>
      </w:pPr>
      <w:r>
        <w:rPr>
          <w:rFonts w:ascii="Arial" w:cs="Arial" w:eastAsia="Arial" w:hAnsi="Arial"/>
          <w:sz w:val="15"/>
          <w:szCs w:val="15"/>
          <w:color w:val="auto"/>
        </w:rPr>
        <w:t>$425 million through 2002 from the pre-acquisition cost structures of continuing businesses, expects to generate annualized additional net cost synergies of $140 million to $150 million in 2003 and expects to achieve its target of annualized net cost synergies of $600 million by 2004.</w:t>
      </w:r>
    </w:p>
    <w:p>
      <w:pPr>
        <w:spacing w:after="0" w:line="158" w:lineRule="exact"/>
        <w:rPr>
          <w:sz w:val="20"/>
          <w:szCs w:val="20"/>
          <w:color w:val="auto"/>
        </w:rPr>
      </w:pPr>
    </w:p>
    <w:p>
      <w:pPr>
        <w:ind w:left="10"/>
        <w:spacing w:after="0"/>
        <w:rPr>
          <w:sz w:val="20"/>
          <w:szCs w:val="20"/>
          <w:color w:val="auto"/>
        </w:rPr>
      </w:pPr>
      <w:r>
        <w:rPr>
          <w:rFonts w:ascii="Arial" w:cs="Arial" w:eastAsia="Arial" w:hAnsi="Arial"/>
          <w:sz w:val="15"/>
          <w:szCs w:val="15"/>
          <w:i w:val="1"/>
          <w:iCs w:val="1"/>
          <w:color w:val="auto"/>
        </w:rPr>
        <w:t>Other Acquisitions and Divestitures</w:t>
      </w:r>
    </w:p>
    <w:p>
      <w:pPr>
        <w:spacing w:after="0" w:line="189" w:lineRule="exact"/>
        <w:rPr>
          <w:sz w:val="20"/>
          <w:szCs w:val="20"/>
          <w:color w:val="auto"/>
        </w:rPr>
      </w:pPr>
    </w:p>
    <w:p>
      <w:pPr>
        <w:ind w:left="10" w:right="140" w:firstLine="294"/>
        <w:spacing w:after="0" w:line="320" w:lineRule="auto"/>
        <w:rPr>
          <w:sz w:val="20"/>
          <w:szCs w:val="20"/>
          <w:color w:val="auto"/>
        </w:rPr>
      </w:pPr>
      <w:r>
        <w:rPr>
          <w:rFonts w:ascii="Arial" w:cs="Arial" w:eastAsia="Arial" w:hAnsi="Arial"/>
          <w:sz w:val="13"/>
          <w:szCs w:val="13"/>
          <w:color w:val="auto"/>
        </w:rPr>
        <w:t>During 2002, the Company acquired a snacks business in Turkey and a biscuits business in Australia. The total cost of these and other smaller acquisitions was $122 million. During 2001, the Company purchased coffee businesses in Romania, Morocco and Bulgaria and also acquired confectionery businesses in Russia and Poland. The total cost of these and other smaller acquisitions was $194 million. During 2000, the Company purchased Balance Bar Co. and Boca Burger, Inc. The total cost of these and other smaller acquisitions was $365 million.</w:t>
      </w:r>
    </w:p>
    <w:p>
      <w:pPr>
        <w:spacing w:after="0" w:line="125" w:lineRule="exact"/>
        <w:rPr>
          <w:sz w:val="20"/>
          <w:szCs w:val="20"/>
          <w:color w:val="auto"/>
        </w:rPr>
      </w:pPr>
    </w:p>
    <w:p>
      <w:pPr>
        <w:ind w:left="290"/>
        <w:spacing w:after="0"/>
        <w:rPr>
          <w:sz w:val="20"/>
          <w:szCs w:val="20"/>
          <w:color w:val="auto"/>
        </w:rPr>
      </w:pPr>
      <w:r>
        <w:rPr>
          <w:rFonts w:ascii="Arial" w:cs="Arial" w:eastAsia="Arial" w:hAnsi="Arial"/>
          <w:sz w:val="13"/>
          <w:szCs w:val="13"/>
          <w:color w:val="auto"/>
        </w:rPr>
        <w:t>During 2002, the Company sold several small North American food businesses. In addition, the Company sold its Latin American yeast and industrial bakery ingredients business for</w:t>
      </w:r>
    </w:p>
    <w:p>
      <w:pPr>
        <w:spacing w:after="0" w:line="37" w:lineRule="exact"/>
        <w:rPr>
          <w:sz w:val="20"/>
          <w:szCs w:val="20"/>
          <w:color w:val="auto"/>
        </w:rPr>
      </w:pPr>
    </w:p>
    <w:p>
      <w:pPr>
        <w:ind w:left="10"/>
        <w:spacing w:after="0"/>
        <w:rPr>
          <w:sz w:val="20"/>
          <w:szCs w:val="20"/>
          <w:color w:val="auto"/>
        </w:rPr>
      </w:pPr>
      <w:r>
        <w:rPr>
          <w:rFonts w:ascii="Arial" w:cs="Arial" w:eastAsia="Arial" w:hAnsi="Arial"/>
          <w:sz w:val="13"/>
          <w:szCs w:val="13"/>
          <w:color w:val="auto"/>
        </w:rPr>
        <w:t>$110 million and recorded a pre-tax gain of $69 million. The aggregate proceeds received from sales of businesses during 2002 were $219 million, on which the Company recorded pre-tax gains</w:t>
      </w:r>
    </w:p>
    <w:p>
      <w:pPr>
        <w:sectPr>
          <w:pgSz w:w="11900" w:h="16874" w:orient="portrait"/>
          <w:cols w:equalWidth="0" w:num="1">
            <w:col w:w="11430"/>
          </w:cols>
          <w:pgMar w:left="230" w:top="132" w:right="239" w:bottom="0" w:gutter="0" w:footer="0" w:header="0"/>
        </w:sectPr>
      </w:pPr>
    </w:p>
    <w:bookmarkStart w:id="2" w:name="page3"/>
    <w:bookmarkEnd w:id="2"/>
    <w:p>
      <w:pPr>
        <w:ind w:left="10" w:right="160"/>
        <w:spacing w:after="0" w:line="258" w:lineRule="auto"/>
        <w:rPr>
          <w:sz w:val="20"/>
          <w:szCs w:val="20"/>
          <w:color w:val="auto"/>
        </w:rPr>
      </w:pPr>
      <w:r>
        <w:rPr>
          <w:rFonts w:ascii="Arial" w:cs="Arial" w:eastAsia="Arial" w:hAnsi="Arial"/>
          <w:sz w:val="15"/>
          <w:szCs w:val="15"/>
          <w:color w:val="auto"/>
        </w:rPr>
        <w:t>of $80 million. During 2001, the Company sold several small food businesses. The aggregate proceeds received in these transactions were $21 million, on which the Company recorded pre-tax gains of $8 million. During 2000, the Company sold a French confectionery business for proceeds of $251 million, on which a pre-tax gain of $139 million was recorded. Several small international and North American food businesses were also sold in 2000. The aggregate proceeds received from sales of businesses during 2000 were $300 million, on which the Company recorded pre-tax gains of $172 million.</w:t>
      </w:r>
    </w:p>
    <w:p>
      <w:pPr>
        <w:spacing w:after="0" w:line="162" w:lineRule="exact"/>
        <w:rPr>
          <w:sz w:val="20"/>
          <w:szCs w:val="20"/>
          <w:color w:val="auto"/>
        </w:rPr>
      </w:pPr>
    </w:p>
    <w:p>
      <w:pPr>
        <w:ind w:left="290"/>
        <w:spacing w:after="0"/>
        <w:rPr>
          <w:sz w:val="20"/>
          <w:szCs w:val="20"/>
          <w:color w:val="auto"/>
        </w:rPr>
      </w:pPr>
      <w:r>
        <w:rPr>
          <w:rFonts w:ascii="Arial" w:cs="Arial" w:eastAsia="Arial" w:hAnsi="Arial"/>
          <w:sz w:val="15"/>
          <w:szCs w:val="15"/>
          <w:color w:val="auto"/>
        </w:rPr>
        <w:t>The impact of these acquisitions and divestitures, excluding Nabisco, has not had a material effect on the Company's results of operations.</w:t>
      </w:r>
    </w:p>
    <w:p>
      <w:pPr>
        <w:spacing w:after="0" w:line="185"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Markets and Products</w:t>
      </w:r>
    </w:p>
    <w:p>
      <w:pPr>
        <w:spacing w:after="0" w:line="193" w:lineRule="exact"/>
        <w:rPr>
          <w:sz w:val="20"/>
          <w:szCs w:val="20"/>
          <w:color w:val="auto"/>
        </w:rPr>
      </w:pPr>
    </w:p>
    <w:p>
      <w:pPr>
        <w:ind w:left="290"/>
        <w:spacing w:after="0"/>
        <w:rPr>
          <w:sz w:val="20"/>
          <w:szCs w:val="20"/>
          <w:color w:val="auto"/>
        </w:rPr>
      </w:pPr>
      <w:r>
        <w:rPr>
          <w:rFonts w:ascii="Arial" w:cs="Arial" w:eastAsia="Arial" w:hAnsi="Arial"/>
          <w:sz w:val="15"/>
          <w:szCs w:val="15"/>
          <w:color w:val="auto"/>
        </w:rPr>
        <w:t>The Company's brands span five consumer sectors, as follows:</w:t>
      </w:r>
    </w:p>
    <w:p>
      <w:pPr>
        <w:spacing w:after="0" w:line="196" w:lineRule="exact"/>
        <w:rPr>
          <w:sz w:val="20"/>
          <w:szCs w:val="20"/>
          <w:color w:val="auto"/>
        </w:rPr>
      </w:pPr>
    </w:p>
    <w:p>
      <w:pPr>
        <w:ind w:left="910" w:hanging="458"/>
        <w:spacing w:after="0"/>
        <w:tabs>
          <w:tab w:leader="none" w:pos="910" w:val="left"/>
        </w:tabs>
        <w:numPr>
          <w:ilvl w:val="0"/>
          <w:numId w:val="5"/>
        </w:numPr>
        <w:rPr>
          <w:rFonts w:ascii="Arial" w:cs="Arial" w:eastAsia="Arial" w:hAnsi="Arial"/>
          <w:sz w:val="15"/>
          <w:szCs w:val="15"/>
          <w:color w:val="auto"/>
        </w:rPr>
      </w:pPr>
      <w:r>
        <w:rPr>
          <w:rFonts w:ascii="Arial" w:cs="Arial" w:eastAsia="Arial" w:hAnsi="Arial"/>
          <w:sz w:val="15"/>
          <w:szCs w:val="15"/>
          <w:b w:val="1"/>
          <w:bCs w:val="1"/>
          <w:color w:val="auto"/>
        </w:rPr>
        <w:t>Snacks</w:t>
      </w:r>
      <w:r>
        <w:rPr>
          <w:rFonts w:ascii="Arial" w:cs="Arial" w:eastAsia="Arial" w:hAnsi="Arial"/>
          <w:sz w:val="15"/>
          <w:szCs w:val="15"/>
          <w:color w:val="auto"/>
        </w:rPr>
        <w:t>—primarily cookies, crackers, salted snacks and confectionery;</w:t>
      </w:r>
    </w:p>
    <w:p>
      <w:pPr>
        <w:spacing w:after="0" w:line="211" w:lineRule="exact"/>
        <w:rPr>
          <w:rFonts w:ascii="Arial" w:cs="Arial" w:eastAsia="Arial" w:hAnsi="Arial"/>
          <w:sz w:val="15"/>
          <w:szCs w:val="15"/>
          <w:color w:val="auto"/>
        </w:rPr>
      </w:pPr>
    </w:p>
    <w:p>
      <w:pPr>
        <w:ind w:left="910" w:hanging="458"/>
        <w:spacing w:after="0"/>
        <w:tabs>
          <w:tab w:leader="none" w:pos="910" w:val="left"/>
        </w:tabs>
        <w:numPr>
          <w:ilvl w:val="0"/>
          <w:numId w:val="5"/>
        </w:numPr>
        <w:rPr>
          <w:rFonts w:ascii="Arial" w:cs="Arial" w:eastAsia="Arial" w:hAnsi="Arial"/>
          <w:sz w:val="15"/>
          <w:szCs w:val="15"/>
          <w:color w:val="auto"/>
        </w:rPr>
      </w:pPr>
      <w:r>
        <w:rPr>
          <w:rFonts w:ascii="Arial" w:cs="Arial" w:eastAsia="Arial" w:hAnsi="Arial"/>
          <w:sz w:val="15"/>
          <w:szCs w:val="15"/>
          <w:b w:val="1"/>
          <w:bCs w:val="1"/>
          <w:color w:val="auto"/>
        </w:rPr>
        <w:t>Beverages</w:t>
      </w:r>
      <w:r>
        <w:rPr>
          <w:rFonts w:ascii="Arial" w:cs="Arial" w:eastAsia="Arial" w:hAnsi="Arial"/>
          <w:sz w:val="15"/>
          <w:szCs w:val="15"/>
          <w:color w:val="auto"/>
        </w:rPr>
        <w:t>—primarily coffee, aseptic juice drinks and powdered beverages;</w:t>
      </w:r>
    </w:p>
    <w:p>
      <w:pPr>
        <w:spacing w:after="0" w:line="200" w:lineRule="exact"/>
        <w:rPr>
          <w:rFonts w:ascii="Arial" w:cs="Arial" w:eastAsia="Arial" w:hAnsi="Arial"/>
          <w:sz w:val="15"/>
          <w:szCs w:val="15"/>
          <w:color w:val="auto"/>
        </w:rPr>
      </w:pPr>
    </w:p>
    <w:p>
      <w:pPr>
        <w:ind w:left="910" w:hanging="458"/>
        <w:spacing w:after="0"/>
        <w:tabs>
          <w:tab w:leader="none" w:pos="910" w:val="left"/>
        </w:tabs>
        <w:numPr>
          <w:ilvl w:val="0"/>
          <w:numId w:val="5"/>
        </w:numPr>
        <w:rPr>
          <w:rFonts w:ascii="Arial" w:cs="Arial" w:eastAsia="Arial" w:hAnsi="Arial"/>
          <w:sz w:val="15"/>
          <w:szCs w:val="15"/>
          <w:color w:val="auto"/>
        </w:rPr>
      </w:pPr>
      <w:r>
        <w:rPr>
          <w:rFonts w:ascii="Arial" w:cs="Arial" w:eastAsia="Arial" w:hAnsi="Arial"/>
          <w:sz w:val="15"/>
          <w:szCs w:val="15"/>
          <w:b w:val="1"/>
          <w:bCs w:val="1"/>
          <w:color w:val="auto"/>
        </w:rPr>
        <w:t>Cheese</w:t>
      </w:r>
      <w:r>
        <w:rPr>
          <w:rFonts w:ascii="Arial" w:cs="Arial" w:eastAsia="Arial" w:hAnsi="Arial"/>
          <w:sz w:val="15"/>
          <w:szCs w:val="15"/>
          <w:color w:val="auto"/>
        </w:rPr>
        <w:t>—primarily natural, process and cream cheeses;</w:t>
      </w:r>
    </w:p>
    <w:p>
      <w:pPr>
        <w:spacing w:after="0" w:line="193"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4560"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pacing w:after="0" w:line="380" w:lineRule="exact"/>
        <w:rPr>
          <w:sz w:val="20"/>
          <w:szCs w:val="20"/>
          <w:color w:val="auto"/>
        </w:rPr>
      </w:pPr>
    </w:p>
    <w:p>
      <w:pPr>
        <w:ind w:left="910" w:hanging="458"/>
        <w:spacing w:after="0"/>
        <w:tabs>
          <w:tab w:leader="none" w:pos="910"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Grocery</w:t>
      </w:r>
      <w:r>
        <w:rPr>
          <w:rFonts w:ascii="Arial" w:cs="Arial" w:eastAsia="Arial" w:hAnsi="Arial"/>
          <w:sz w:val="15"/>
          <w:szCs w:val="15"/>
          <w:color w:val="auto"/>
        </w:rPr>
        <w:t>—primarily ready-to-eat cereals, enhancers and desserts; and</w:t>
      </w:r>
    </w:p>
    <w:p>
      <w:pPr>
        <w:spacing w:after="0" w:line="211" w:lineRule="exact"/>
        <w:rPr>
          <w:rFonts w:ascii="Arial" w:cs="Arial" w:eastAsia="Arial" w:hAnsi="Arial"/>
          <w:sz w:val="15"/>
          <w:szCs w:val="15"/>
          <w:color w:val="auto"/>
        </w:rPr>
      </w:pPr>
    </w:p>
    <w:p>
      <w:pPr>
        <w:ind w:left="290" w:right="4360" w:firstLine="162"/>
        <w:spacing w:after="0" w:line="580" w:lineRule="auto"/>
        <w:tabs>
          <w:tab w:leader="none" w:pos="902" w:val="left"/>
        </w:tabs>
        <w:numPr>
          <w:ilvl w:val="0"/>
          <w:numId w:val="6"/>
        </w:numPr>
        <w:rPr>
          <w:rFonts w:ascii="Arial" w:cs="Arial" w:eastAsia="Arial" w:hAnsi="Arial"/>
          <w:sz w:val="13"/>
          <w:szCs w:val="13"/>
          <w:color w:val="auto"/>
        </w:rPr>
      </w:pPr>
      <w:r>
        <w:rPr>
          <w:rFonts w:ascii="Arial" w:cs="Arial" w:eastAsia="Arial" w:hAnsi="Arial"/>
          <w:sz w:val="13"/>
          <w:szCs w:val="13"/>
          <w:b w:val="1"/>
          <w:bCs w:val="1"/>
          <w:color w:val="auto"/>
        </w:rPr>
        <w:t>Convenient Meals</w:t>
      </w:r>
      <w:r>
        <w:rPr>
          <w:rFonts w:ascii="Arial" w:cs="Arial" w:eastAsia="Arial" w:hAnsi="Arial"/>
          <w:sz w:val="13"/>
          <w:szCs w:val="13"/>
          <w:color w:val="auto"/>
        </w:rPr>
        <w:t>—primarily frozen pizza, packaged dinners, lunch combinations and processed meats.</w:t>
      </w:r>
      <w:r>
        <w:rPr>
          <w:rFonts w:ascii="Arial" w:cs="Arial" w:eastAsia="Arial" w:hAnsi="Arial"/>
          <w:sz w:val="13"/>
          <w:szCs w:val="13"/>
          <w:b w:val="1"/>
          <w:bCs w:val="1"/>
          <w:color w:val="auto"/>
        </w:rPr>
        <w:t xml:space="preserve"> </w:t>
      </w:r>
      <w:r>
        <w:rPr>
          <w:rFonts w:ascii="Arial" w:cs="Arial" w:eastAsia="Arial" w:hAnsi="Arial"/>
          <w:sz w:val="13"/>
          <w:szCs w:val="13"/>
          <w:color w:val="auto"/>
        </w:rPr>
        <w:t>The following table shows each reportable segment's participation in these five core consumer sectors.</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0" w:type="dxa"/>
            <w:vAlign w:val="bottom"/>
            <w:gridSpan w:val="7"/>
          </w:tcPr>
          <w:p>
            <w:pPr>
              <w:ind w:left="1000"/>
              <w:spacing w:after="0"/>
              <w:rPr>
                <w:sz w:val="20"/>
                <w:szCs w:val="20"/>
                <w:color w:val="auto"/>
              </w:rPr>
            </w:pPr>
            <w:r>
              <w:rPr>
                <w:rFonts w:ascii="Arial" w:cs="Arial" w:eastAsia="Arial" w:hAnsi="Arial"/>
                <w:sz w:val="11"/>
                <w:szCs w:val="11"/>
                <w:b w:val="1"/>
                <w:bCs w:val="1"/>
                <w:color w:val="auto"/>
                <w:w w:val="92"/>
              </w:rPr>
              <w:t>Percentage of 2002 Net Revenues by Consumer Sector(3)</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Convenient</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20" w:type="dxa"/>
            <w:vAlign w:val="bottom"/>
            <w:gridSpan w:val="2"/>
          </w:tcPr>
          <w:p>
            <w:pPr>
              <w:ind w:left="1240"/>
              <w:spacing w:after="0"/>
              <w:rPr>
                <w:sz w:val="20"/>
                <w:szCs w:val="20"/>
                <w:color w:val="auto"/>
              </w:rPr>
            </w:pPr>
            <w:r>
              <w:rPr>
                <w:rFonts w:ascii="Arial" w:cs="Arial" w:eastAsia="Arial" w:hAnsi="Arial"/>
                <w:sz w:val="11"/>
                <w:szCs w:val="11"/>
                <w:b w:val="1"/>
                <w:bCs w:val="1"/>
                <w:color w:val="auto"/>
              </w:rPr>
              <w:t>Segment(1)</w:t>
            </w:r>
          </w:p>
        </w:tc>
        <w:tc>
          <w:tcPr>
            <w:tcW w:w="1040" w:type="dxa"/>
            <w:vAlign w:val="bottom"/>
            <w:gridSpan w:val="2"/>
          </w:tcPr>
          <w:p>
            <w:pPr>
              <w:jc w:val="right"/>
              <w:ind w:right="480"/>
              <w:spacing w:after="0"/>
              <w:rPr>
                <w:sz w:val="20"/>
                <w:szCs w:val="20"/>
                <w:color w:val="auto"/>
              </w:rPr>
            </w:pPr>
            <w:r>
              <w:rPr>
                <w:rFonts w:ascii="Arial" w:cs="Arial" w:eastAsia="Arial" w:hAnsi="Arial"/>
                <w:sz w:val="11"/>
                <w:szCs w:val="11"/>
                <w:b w:val="1"/>
                <w:bCs w:val="1"/>
                <w:color w:val="auto"/>
              </w:rPr>
              <w:t>Snacks</w:t>
            </w:r>
          </w:p>
        </w:tc>
        <w:tc>
          <w:tcPr>
            <w:tcW w:w="136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Beverages</w:t>
            </w:r>
          </w:p>
        </w:tc>
        <w:tc>
          <w:tcPr>
            <w:tcW w:w="102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Cheese</w:t>
            </w:r>
          </w:p>
        </w:tc>
        <w:tc>
          <w:tcPr>
            <w:tcW w:w="1420" w:type="dxa"/>
            <w:vAlign w:val="bottom"/>
            <w:gridSpan w:val="3"/>
          </w:tcPr>
          <w:p>
            <w:pPr>
              <w:ind w:left="260"/>
              <w:spacing w:after="0"/>
              <w:rPr>
                <w:sz w:val="20"/>
                <w:szCs w:val="20"/>
                <w:color w:val="auto"/>
              </w:rPr>
            </w:pPr>
            <w:r>
              <w:rPr>
                <w:rFonts w:ascii="Arial" w:cs="Arial" w:eastAsia="Arial" w:hAnsi="Arial"/>
                <w:sz w:val="11"/>
                <w:szCs w:val="11"/>
                <w:b w:val="1"/>
                <w:bCs w:val="1"/>
                <w:color w:val="auto"/>
              </w:rPr>
              <w:t>Grocery</w:t>
            </w:r>
          </w:p>
        </w:tc>
        <w:tc>
          <w:tcPr>
            <w:tcW w:w="1200" w:type="dxa"/>
            <w:vAlign w:val="bottom"/>
            <w:gridSpan w:val="2"/>
          </w:tcPr>
          <w:p>
            <w:pPr>
              <w:jc w:val="right"/>
              <w:ind w:right="700"/>
              <w:spacing w:after="0"/>
              <w:rPr>
                <w:sz w:val="20"/>
                <w:szCs w:val="20"/>
                <w:color w:val="auto"/>
              </w:rPr>
            </w:pPr>
            <w:r>
              <w:rPr>
                <w:rFonts w:ascii="Arial" w:cs="Arial" w:eastAsia="Arial" w:hAnsi="Arial"/>
                <w:sz w:val="11"/>
                <w:szCs w:val="11"/>
                <w:b w:val="1"/>
                <w:bCs w:val="1"/>
                <w:color w:val="auto"/>
              </w:rPr>
              <w:t>Meals</w:t>
            </w:r>
          </w:p>
        </w:tc>
        <w:tc>
          <w:tcPr>
            <w:tcW w:w="102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58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540" w:type="dxa"/>
            <w:vAlign w:val="bottom"/>
          </w:tcPr>
          <w:p>
            <w:pPr>
              <w:spacing w:after="0"/>
              <w:rPr>
                <w:sz w:val="7"/>
                <w:szCs w:val="7"/>
                <w:color w:val="auto"/>
              </w:rPr>
            </w:pPr>
          </w:p>
        </w:tc>
        <w:tc>
          <w:tcPr>
            <w:tcW w:w="3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5"/>
                <w:szCs w:val="15"/>
                <w:b w:val="1"/>
                <w:bCs w:val="1"/>
                <w:color w:val="auto"/>
              </w:rPr>
              <w:t>Kraft Foods North America:</w:t>
            </w: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3"/>
          </w:tcPr>
          <w:p>
            <w:pPr>
              <w:ind w:left="200"/>
              <w:spacing w:after="0"/>
              <w:rPr>
                <w:sz w:val="20"/>
                <w:szCs w:val="20"/>
                <w:color w:val="auto"/>
              </w:rPr>
            </w:pPr>
            <w:r>
              <w:rPr>
                <w:rFonts w:ascii="Arial" w:cs="Arial" w:eastAsia="Arial" w:hAnsi="Arial"/>
                <w:sz w:val="15"/>
                <w:szCs w:val="15"/>
                <w:color w:val="auto"/>
              </w:rPr>
              <w:t>Cheese, Meals and Enhancers(2)</w:t>
            </w: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5.3%</w:t>
            </w:r>
          </w:p>
        </w:tc>
        <w:tc>
          <w:tcPr>
            <w:tcW w:w="1360" w:type="dxa"/>
            <w:vAlign w:val="bottom"/>
            <w:gridSpan w:val="2"/>
          </w:tcPr>
          <w:p>
            <w:pPr>
              <w:jc w:val="right"/>
              <w:ind w:right="100"/>
              <w:spacing w:after="0"/>
              <w:rPr>
                <w:sz w:val="20"/>
                <w:szCs w:val="20"/>
                <w:color w:val="auto"/>
              </w:rPr>
            </w:pPr>
            <w:r>
              <w:rPr>
                <w:rFonts w:ascii="Arial" w:cs="Arial" w:eastAsia="Arial" w:hAnsi="Arial"/>
                <w:sz w:val="15"/>
                <w:szCs w:val="15"/>
                <w:color w:val="auto"/>
              </w:rPr>
              <w:t>9.5%</w:t>
            </w: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77.5%</w:t>
            </w: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48.4%</w:t>
            </w:r>
          </w:p>
        </w:tc>
        <w:tc>
          <w:tcPr>
            <w:tcW w:w="28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5"/>
                <w:szCs w:val="15"/>
                <w:color w:val="auto"/>
              </w:rPr>
              <w:t>29.8%</w:t>
            </w: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29.9%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6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rPr>
              <w:t>Biscuits, Snacks and Confectionery</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54.7</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3"/>
          </w:tcPr>
          <w:p>
            <w:pPr>
              <w:ind w:left="200"/>
              <w:spacing w:after="0"/>
              <w:rPr>
                <w:sz w:val="20"/>
                <w:szCs w:val="20"/>
                <w:color w:val="auto"/>
              </w:rPr>
            </w:pPr>
            <w:r>
              <w:rPr>
                <w:rFonts w:ascii="Arial" w:cs="Arial" w:eastAsia="Arial" w:hAnsi="Arial"/>
                <w:sz w:val="15"/>
                <w:szCs w:val="15"/>
                <w:color w:val="auto"/>
              </w:rPr>
              <w:t>Beverages, Desserts and Cereals</w:t>
            </w:r>
          </w:p>
        </w:tc>
        <w:tc>
          <w:tcPr>
            <w:tcW w:w="800" w:type="dxa"/>
            <w:vAlign w:val="bottom"/>
          </w:tcPr>
          <w:p>
            <w:pPr>
              <w:jc w:val="right"/>
              <w:spacing w:after="0"/>
              <w:rPr>
                <w:sz w:val="20"/>
                <w:szCs w:val="20"/>
                <w:color w:val="auto"/>
              </w:rPr>
            </w:pPr>
            <w:r>
              <w:rPr>
                <w:rFonts w:ascii="Arial" w:cs="Arial" w:eastAsia="Arial" w:hAnsi="Arial"/>
                <w:sz w:val="15"/>
                <w:szCs w:val="15"/>
                <w:color w:val="auto"/>
              </w:rPr>
              <w:t>5.3</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41.3</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32.4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6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rPr>
              <w:t>Oscar Mayer and Pizza</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64.4</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20" w:type="dxa"/>
            <w:vAlign w:val="bottom"/>
            <w:gridSpan w:val="2"/>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360" w:type="dxa"/>
            <w:vAlign w:val="bottom"/>
            <w:gridSpan w:val="3"/>
          </w:tcPr>
          <w:p>
            <w:pPr>
              <w:ind w:left="440"/>
              <w:spacing w:after="0"/>
              <w:rPr>
                <w:sz w:val="20"/>
                <w:szCs w:val="20"/>
                <w:color w:val="auto"/>
              </w:rPr>
            </w:pPr>
            <w:r>
              <w:rPr>
                <w:rFonts w:ascii="Arial" w:cs="Arial" w:eastAsia="Arial" w:hAnsi="Arial"/>
                <w:sz w:val="15"/>
                <w:szCs w:val="15"/>
                <w:color w:val="auto"/>
              </w:rPr>
              <w:t>Total Kraft Foods North America</w:t>
            </w:r>
          </w:p>
        </w:tc>
        <w:tc>
          <w:tcPr>
            <w:tcW w:w="800" w:type="dxa"/>
            <w:vAlign w:val="bottom"/>
          </w:tcPr>
          <w:p>
            <w:pPr>
              <w:jc w:val="right"/>
              <w:spacing w:after="0"/>
              <w:rPr>
                <w:sz w:val="20"/>
                <w:szCs w:val="20"/>
                <w:color w:val="auto"/>
              </w:rPr>
            </w:pPr>
            <w:r>
              <w:rPr>
                <w:rFonts w:ascii="Arial" w:cs="Arial" w:eastAsia="Arial" w:hAnsi="Arial"/>
                <w:sz w:val="15"/>
                <w:szCs w:val="15"/>
                <w:color w:val="auto"/>
              </w:rPr>
              <w:t>65.3</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50.8</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77.5</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84.3</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94.2</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72.3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540" w:type="dxa"/>
            <w:vAlign w:val="bottom"/>
          </w:tcPr>
          <w:p>
            <w:pPr>
              <w:spacing w:after="0"/>
              <w:rPr>
                <w:sz w:val="7"/>
                <w:szCs w:val="7"/>
                <w:color w:val="auto"/>
              </w:rPr>
            </w:pPr>
          </w:p>
        </w:tc>
        <w:tc>
          <w:tcPr>
            <w:tcW w:w="3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5"/>
                <w:szCs w:val="15"/>
                <w:b w:val="1"/>
                <w:bCs w:val="1"/>
                <w:color w:val="auto"/>
              </w:rPr>
              <w:t>Kraft Foods International:</w:t>
            </w: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3"/>
          </w:tcPr>
          <w:p>
            <w:pPr>
              <w:ind w:left="200"/>
              <w:spacing w:after="0"/>
              <w:rPr>
                <w:sz w:val="20"/>
                <w:szCs w:val="20"/>
                <w:color w:val="auto"/>
              </w:rPr>
            </w:pPr>
            <w:r>
              <w:rPr>
                <w:rFonts w:ascii="Arial" w:cs="Arial" w:eastAsia="Arial" w:hAnsi="Arial"/>
                <w:sz w:val="15"/>
                <w:szCs w:val="15"/>
                <w:color w:val="auto"/>
              </w:rPr>
              <w:t>Europe, Middle East and Africa</w:t>
            </w:r>
          </w:p>
        </w:tc>
        <w:tc>
          <w:tcPr>
            <w:tcW w:w="800" w:type="dxa"/>
            <w:vAlign w:val="bottom"/>
          </w:tcPr>
          <w:p>
            <w:pPr>
              <w:jc w:val="right"/>
              <w:spacing w:after="0"/>
              <w:rPr>
                <w:sz w:val="20"/>
                <w:szCs w:val="20"/>
                <w:color w:val="auto"/>
              </w:rPr>
            </w:pPr>
            <w:r>
              <w:rPr>
                <w:rFonts w:ascii="Arial" w:cs="Arial" w:eastAsia="Arial" w:hAnsi="Arial"/>
                <w:sz w:val="15"/>
                <w:szCs w:val="15"/>
                <w:color w:val="auto"/>
              </w:rPr>
              <w:t>25.1</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42.3</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17.1</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6.7</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5.0</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6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rPr>
              <w:t>Latin America and Asia Pacific</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20" w:type="dxa"/>
            <w:vAlign w:val="bottom"/>
            <w:gridSpan w:val="2"/>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360" w:type="dxa"/>
            <w:vAlign w:val="bottom"/>
            <w:gridSpan w:val="3"/>
          </w:tcPr>
          <w:p>
            <w:pPr>
              <w:ind w:left="200"/>
              <w:spacing w:after="0"/>
              <w:rPr>
                <w:sz w:val="20"/>
                <w:szCs w:val="20"/>
                <w:color w:val="auto"/>
              </w:rPr>
            </w:pPr>
            <w:r>
              <w:rPr>
                <w:rFonts w:ascii="Arial" w:cs="Arial" w:eastAsia="Arial" w:hAnsi="Arial"/>
                <w:sz w:val="15"/>
                <w:szCs w:val="15"/>
                <w:color w:val="auto"/>
              </w:rPr>
              <w:t>Total Kraft Foods International</w:t>
            </w:r>
          </w:p>
        </w:tc>
        <w:tc>
          <w:tcPr>
            <w:tcW w:w="800" w:type="dxa"/>
            <w:vAlign w:val="bottom"/>
          </w:tcPr>
          <w:p>
            <w:pPr>
              <w:jc w:val="right"/>
              <w:spacing w:after="0"/>
              <w:rPr>
                <w:sz w:val="20"/>
                <w:szCs w:val="20"/>
                <w:color w:val="auto"/>
              </w:rPr>
            </w:pPr>
            <w:r>
              <w:rPr>
                <w:rFonts w:ascii="Arial" w:cs="Arial" w:eastAsia="Arial" w:hAnsi="Arial"/>
                <w:sz w:val="15"/>
                <w:szCs w:val="15"/>
                <w:color w:val="auto"/>
              </w:rPr>
              <w:t>34.7</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49.2</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22.5</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15.7</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5.8</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27.7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3"/>
            <w:shd w:val="clear" w:color="auto" w:fill="CCEEFF"/>
          </w:tcPr>
          <w:p>
            <w:pPr>
              <w:ind w:left="440"/>
              <w:spacing w:after="0"/>
              <w:rPr>
                <w:sz w:val="20"/>
                <w:szCs w:val="20"/>
                <w:color w:val="auto"/>
              </w:rPr>
            </w:pPr>
            <w:r>
              <w:rPr>
                <w:rFonts w:ascii="Arial" w:cs="Arial" w:eastAsia="Arial" w:hAnsi="Arial"/>
                <w:sz w:val="15"/>
                <w:szCs w:val="15"/>
                <w:b w:val="1"/>
                <w:bCs w:val="1"/>
                <w:color w:val="auto"/>
              </w:rPr>
              <w:t>Total Kraft Foods Inc</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100.0%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100.0%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100.0%</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20" w:type="dxa"/>
            <w:vAlign w:val="bottom"/>
            <w:gridSpan w:val="2"/>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360" w:type="dxa"/>
            <w:vAlign w:val="bottom"/>
            <w:gridSpan w:val="3"/>
          </w:tcPr>
          <w:p>
            <w:pPr>
              <w:ind w:left="200"/>
              <w:spacing w:after="0"/>
              <w:rPr>
                <w:sz w:val="20"/>
                <w:szCs w:val="20"/>
                <w:color w:val="auto"/>
              </w:rPr>
            </w:pPr>
            <w:r>
              <w:rPr>
                <w:rFonts w:ascii="Arial" w:cs="Arial" w:eastAsia="Arial" w:hAnsi="Arial"/>
                <w:sz w:val="15"/>
                <w:szCs w:val="15"/>
                <w:b w:val="1"/>
                <w:bCs w:val="1"/>
                <w:color w:val="auto"/>
              </w:rPr>
              <w:t>Consumer Sector Percentage of Total Kraft Foods Inc</w:t>
            </w: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30.8%</w:t>
            </w:r>
          </w:p>
        </w:tc>
        <w:tc>
          <w:tcPr>
            <w:tcW w:w="1360" w:type="dxa"/>
            <w:vAlign w:val="bottom"/>
            <w:gridSpan w:val="2"/>
          </w:tcPr>
          <w:p>
            <w:pPr>
              <w:jc w:val="right"/>
              <w:ind w:right="100"/>
              <w:spacing w:after="0"/>
              <w:rPr>
                <w:sz w:val="20"/>
                <w:szCs w:val="20"/>
                <w:color w:val="auto"/>
              </w:rPr>
            </w:pPr>
            <w:r>
              <w:rPr>
                <w:rFonts w:ascii="Arial" w:cs="Arial" w:eastAsia="Arial" w:hAnsi="Arial"/>
                <w:sz w:val="15"/>
                <w:szCs w:val="15"/>
                <w:color w:val="auto"/>
              </w:rPr>
              <w:t>19.3%</w:t>
            </w: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18.0%</w:t>
            </w: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16.1%</w:t>
            </w:r>
          </w:p>
        </w:tc>
        <w:tc>
          <w:tcPr>
            <w:tcW w:w="28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5"/>
                <w:szCs w:val="15"/>
                <w:color w:val="auto"/>
              </w:rPr>
              <w:t>15.8%</w:t>
            </w: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Borders>
              <w:bottom w:val="single" w:sz="8" w:color="808080"/>
            </w:tcBorders>
          </w:tcPr>
          <w:p>
            <w:pPr>
              <w:spacing w:after="0"/>
              <w:rPr>
                <w:sz w:val="15"/>
                <w:szCs w:val="15"/>
                <w:color w:val="auto"/>
              </w:rPr>
            </w:pPr>
          </w:p>
        </w:tc>
        <w:tc>
          <w:tcPr>
            <w:tcW w:w="3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-2753995</wp:posOffset>
            </wp:positionV>
            <wp:extent cx="1270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-2753995</wp:posOffset>
            </wp:positionV>
            <wp:extent cx="1270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2623820</wp:posOffset>
            </wp:positionH>
            <wp:positionV relativeFrom="paragraph">
              <wp:posOffset>-2466975</wp:posOffset>
            </wp:positionV>
            <wp:extent cx="1270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-2466975</wp:posOffset>
            </wp:positionV>
            <wp:extent cx="1270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-2466975</wp:posOffset>
            </wp:positionV>
            <wp:extent cx="1270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-2466975</wp:posOffset>
            </wp:positionV>
            <wp:extent cx="1270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4159250</wp:posOffset>
            </wp:positionH>
            <wp:positionV relativeFrom="paragraph">
              <wp:posOffset>-2466975</wp:posOffset>
            </wp:positionV>
            <wp:extent cx="1270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-2466975</wp:posOffset>
            </wp:positionV>
            <wp:extent cx="1270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-2466975</wp:posOffset>
            </wp:positionV>
            <wp:extent cx="1270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4309745</wp:posOffset>
            </wp:positionH>
            <wp:positionV relativeFrom="paragraph">
              <wp:posOffset>-2466975</wp:posOffset>
            </wp:positionV>
            <wp:extent cx="1270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5529580</wp:posOffset>
            </wp:positionH>
            <wp:positionV relativeFrom="paragraph">
              <wp:posOffset>-2466975</wp:posOffset>
            </wp:positionV>
            <wp:extent cx="1270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-2466975</wp:posOffset>
            </wp:positionV>
            <wp:extent cx="1270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6470015</wp:posOffset>
            </wp:positionH>
            <wp:positionV relativeFrom="paragraph">
              <wp:posOffset>-2466975</wp:posOffset>
            </wp:positionV>
            <wp:extent cx="1270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-2466975</wp:posOffset>
            </wp:positionV>
            <wp:extent cx="1270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-2466975</wp:posOffset>
            </wp:positionV>
            <wp:extent cx="1270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-2466975</wp:posOffset>
            </wp:positionV>
            <wp:extent cx="1270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-1706245</wp:posOffset>
            </wp:positionV>
            <wp:extent cx="1270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-1706245</wp:posOffset>
            </wp:positionV>
            <wp:extent cx="1270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4159250</wp:posOffset>
            </wp:positionH>
            <wp:positionV relativeFrom="paragraph">
              <wp:posOffset>-1706245</wp:posOffset>
            </wp:positionV>
            <wp:extent cx="1270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-1706245</wp:posOffset>
            </wp:positionV>
            <wp:extent cx="1270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-1706245</wp:posOffset>
            </wp:positionV>
            <wp:extent cx="1270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4309745</wp:posOffset>
            </wp:positionH>
            <wp:positionV relativeFrom="paragraph">
              <wp:posOffset>-1706245</wp:posOffset>
            </wp:positionV>
            <wp:extent cx="1270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5529580</wp:posOffset>
            </wp:positionH>
            <wp:positionV relativeFrom="paragraph">
              <wp:posOffset>-1706245</wp:posOffset>
            </wp:positionV>
            <wp:extent cx="1270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-1706245</wp:posOffset>
            </wp:positionV>
            <wp:extent cx="1270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6470015</wp:posOffset>
            </wp:positionH>
            <wp:positionV relativeFrom="paragraph">
              <wp:posOffset>-1706245</wp:posOffset>
            </wp:positionV>
            <wp:extent cx="1270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-1706245</wp:posOffset>
            </wp:positionV>
            <wp:extent cx="1270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-1706245</wp:posOffset>
            </wp:positionV>
            <wp:extent cx="1270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-1706245</wp:posOffset>
            </wp:positionV>
            <wp:extent cx="1270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-1447800</wp:posOffset>
            </wp:positionV>
            <wp:extent cx="1270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-1447800</wp:posOffset>
            </wp:positionV>
            <wp:extent cx="1270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4159250</wp:posOffset>
            </wp:positionH>
            <wp:positionV relativeFrom="paragraph">
              <wp:posOffset>-1447800</wp:posOffset>
            </wp:positionV>
            <wp:extent cx="1270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-1447800</wp:posOffset>
            </wp:positionV>
            <wp:extent cx="1270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-1447800</wp:posOffset>
            </wp:positionV>
            <wp:extent cx="1270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4309745</wp:posOffset>
            </wp:positionH>
            <wp:positionV relativeFrom="paragraph">
              <wp:posOffset>-1447800</wp:posOffset>
            </wp:positionV>
            <wp:extent cx="1270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5529580</wp:posOffset>
            </wp:positionH>
            <wp:positionV relativeFrom="paragraph">
              <wp:posOffset>-1447800</wp:posOffset>
            </wp:positionV>
            <wp:extent cx="1270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-1447800</wp:posOffset>
            </wp:positionV>
            <wp:extent cx="1270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6470015</wp:posOffset>
            </wp:positionH>
            <wp:positionV relativeFrom="paragraph">
              <wp:posOffset>-1447800</wp:posOffset>
            </wp:positionV>
            <wp:extent cx="1270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-1447800</wp:posOffset>
            </wp:positionV>
            <wp:extent cx="1270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-1447800</wp:posOffset>
            </wp:positionV>
            <wp:extent cx="1270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-1447800</wp:posOffset>
            </wp:positionV>
            <wp:extent cx="1270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-945515</wp:posOffset>
            </wp:positionV>
            <wp:extent cx="1270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-945515</wp:posOffset>
            </wp:positionV>
            <wp:extent cx="1270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4159250</wp:posOffset>
            </wp:positionH>
            <wp:positionV relativeFrom="paragraph">
              <wp:posOffset>-945515</wp:posOffset>
            </wp:positionV>
            <wp:extent cx="1270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-945515</wp:posOffset>
            </wp:positionV>
            <wp:extent cx="1270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-945515</wp:posOffset>
            </wp:positionV>
            <wp:extent cx="1270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4309745</wp:posOffset>
            </wp:positionH>
            <wp:positionV relativeFrom="paragraph">
              <wp:posOffset>-945515</wp:posOffset>
            </wp:positionV>
            <wp:extent cx="1270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5529580</wp:posOffset>
            </wp:positionH>
            <wp:positionV relativeFrom="paragraph">
              <wp:posOffset>-945515</wp:posOffset>
            </wp:positionV>
            <wp:extent cx="1270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-945515</wp:posOffset>
            </wp:positionV>
            <wp:extent cx="1270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6470015</wp:posOffset>
            </wp:positionH>
            <wp:positionV relativeFrom="paragraph">
              <wp:posOffset>-945515</wp:posOffset>
            </wp:positionV>
            <wp:extent cx="1270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-945515</wp:posOffset>
            </wp:positionV>
            <wp:extent cx="1270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-945515</wp:posOffset>
            </wp:positionV>
            <wp:extent cx="1270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-945515</wp:posOffset>
            </wp:positionV>
            <wp:extent cx="1270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-687705</wp:posOffset>
            </wp:positionV>
            <wp:extent cx="1270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-687705</wp:posOffset>
            </wp:positionV>
            <wp:extent cx="1270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4159250</wp:posOffset>
            </wp:positionH>
            <wp:positionV relativeFrom="paragraph">
              <wp:posOffset>-687705</wp:posOffset>
            </wp:positionV>
            <wp:extent cx="1270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-687705</wp:posOffset>
            </wp:positionV>
            <wp:extent cx="1270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-687705</wp:posOffset>
            </wp:positionV>
            <wp:extent cx="1270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4309745</wp:posOffset>
            </wp:positionH>
            <wp:positionV relativeFrom="paragraph">
              <wp:posOffset>-687705</wp:posOffset>
            </wp:positionV>
            <wp:extent cx="1270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5529580</wp:posOffset>
            </wp:positionH>
            <wp:positionV relativeFrom="paragraph">
              <wp:posOffset>-687705</wp:posOffset>
            </wp:positionV>
            <wp:extent cx="1270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-687705</wp:posOffset>
            </wp:positionV>
            <wp:extent cx="1270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6470015</wp:posOffset>
            </wp:positionH>
            <wp:positionV relativeFrom="paragraph">
              <wp:posOffset>-687705</wp:posOffset>
            </wp:positionV>
            <wp:extent cx="1270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-687705</wp:posOffset>
            </wp:positionV>
            <wp:extent cx="1270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-687705</wp:posOffset>
            </wp:positionV>
            <wp:extent cx="1270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-687705</wp:posOffset>
            </wp:positionV>
            <wp:extent cx="1270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-435610</wp:posOffset>
            </wp:positionV>
            <wp:extent cx="1270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-435610</wp:posOffset>
            </wp:positionV>
            <wp:extent cx="1270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4159250</wp:posOffset>
            </wp:positionH>
            <wp:positionV relativeFrom="paragraph">
              <wp:posOffset>-435610</wp:posOffset>
            </wp:positionV>
            <wp:extent cx="1270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-435610</wp:posOffset>
            </wp:positionV>
            <wp:extent cx="1270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-435610</wp:posOffset>
            </wp:positionV>
            <wp:extent cx="1270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4309745</wp:posOffset>
            </wp:positionH>
            <wp:positionV relativeFrom="paragraph">
              <wp:posOffset>-435610</wp:posOffset>
            </wp:positionV>
            <wp:extent cx="1270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5529580</wp:posOffset>
            </wp:positionH>
            <wp:positionV relativeFrom="paragraph">
              <wp:posOffset>-435610</wp:posOffset>
            </wp:positionV>
            <wp:extent cx="1270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-435610</wp:posOffset>
            </wp:positionV>
            <wp:extent cx="1270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6470015</wp:posOffset>
            </wp:positionH>
            <wp:positionV relativeFrom="paragraph">
              <wp:posOffset>-435610</wp:posOffset>
            </wp:positionV>
            <wp:extent cx="1270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-435610</wp:posOffset>
            </wp:positionV>
            <wp:extent cx="1270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-435610</wp:posOffset>
            </wp:positionV>
            <wp:extent cx="1270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-435610</wp:posOffset>
            </wp:positionV>
            <wp:extent cx="1270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-162560</wp:posOffset>
            </wp:positionV>
            <wp:extent cx="1270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-162560</wp:posOffset>
            </wp:positionV>
            <wp:extent cx="1270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4159250</wp:posOffset>
            </wp:positionH>
            <wp:positionV relativeFrom="paragraph">
              <wp:posOffset>-162560</wp:posOffset>
            </wp:positionV>
            <wp:extent cx="1270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-162560</wp:posOffset>
            </wp:positionV>
            <wp:extent cx="1270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-162560</wp:posOffset>
            </wp:positionV>
            <wp:extent cx="1270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4309745</wp:posOffset>
            </wp:positionH>
            <wp:positionV relativeFrom="paragraph">
              <wp:posOffset>-162560</wp:posOffset>
            </wp:positionV>
            <wp:extent cx="1270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5529580</wp:posOffset>
            </wp:positionH>
            <wp:positionV relativeFrom="paragraph">
              <wp:posOffset>-162560</wp:posOffset>
            </wp:positionV>
            <wp:extent cx="1270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-162560</wp:posOffset>
            </wp:positionV>
            <wp:extent cx="1270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6470015</wp:posOffset>
            </wp:positionH>
            <wp:positionV relativeFrom="paragraph">
              <wp:posOffset>-162560</wp:posOffset>
            </wp:positionV>
            <wp:extent cx="1270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-162560</wp:posOffset>
            </wp:positionV>
            <wp:extent cx="1270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-162560</wp:posOffset>
            </wp:positionV>
            <wp:extent cx="1270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-162560</wp:posOffset>
            </wp:positionV>
            <wp:extent cx="1270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-12700</wp:posOffset>
            </wp:positionV>
            <wp:extent cx="1270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pacing w:after="0" w:line="160" w:lineRule="exact"/>
        <w:rPr>
          <w:sz w:val="20"/>
          <w:szCs w:val="20"/>
          <w:color w:val="auto"/>
        </w:rPr>
      </w:pPr>
    </w:p>
    <w:p>
      <w:pPr>
        <w:ind w:left="450" w:right="20" w:hanging="450"/>
        <w:spacing w:after="0" w:line="261" w:lineRule="auto"/>
        <w:tabs>
          <w:tab w:leader="none" w:pos="45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amounts of net revenues, total assets and long-lived assets attributable to each of the Company's geographic regions and the amounts of net revenues and operating companies income of each of the Company's reportable segments for each of the last three fiscal years are set forth in Note 13 to the Company's consolidated financial statements, incorporated herein by reference to the 2002 Annual Report.</w:t>
      </w:r>
    </w:p>
    <w:p>
      <w:pPr>
        <w:spacing w:after="0" w:line="171" w:lineRule="exact"/>
        <w:rPr>
          <w:rFonts w:ascii="Arial" w:cs="Arial" w:eastAsia="Arial" w:hAnsi="Arial"/>
          <w:sz w:val="15"/>
          <w:szCs w:val="15"/>
          <w:color w:val="auto"/>
        </w:rPr>
      </w:pPr>
    </w:p>
    <w:p>
      <w:pPr>
        <w:ind w:left="450" w:right="80" w:hanging="450"/>
        <w:spacing w:after="0" w:line="271" w:lineRule="auto"/>
        <w:tabs>
          <w:tab w:leader="none" w:pos="45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Cheese, Meals and Enhancers segment includes the Company's United States food service business and its businesses in Canada and Mexico which sell products across all consumer sectors.</w:t>
      </w:r>
    </w:p>
    <w:p>
      <w:pPr>
        <w:spacing w:after="0" w:line="175" w:lineRule="exact"/>
        <w:rPr>
          <w:rFonts w:ascii="Arial" w:cs="Arial" w:eastAsia="Arial" w:hAnsi="Arial"/>
          <w:sz w:val="15"/>
          <w:szCs w:val="15"/>
          <w:color w:val="auto"/>
        </w:rPr>
      </w:pPr>
    </w:p>
    <w:p>
      <w:pPr>
        <w:ind w:left="450" w:hanging="450"/>
        <w:spacing w:after="0"/>
        <w:tabs>
          <w:tab w:leader="none" w:pos="450" w:val="left"/>
        </w:tabs>
        <w:numPr>
          <w:ilvl w:val="0"/>
          <w:numId w:val="7"/>
        </w:numPr>
        <w:rPr>
          <w:rFonts w:ascii="Arial" w:cs="Arial" w:eastAsia="Arial" w:hAnsi="Arial"/>
          <w:sz w:val="15"/>
          <w:szCs w:val="15"/>
          <w:color w:val="auto"/>
        </w:rPr>
      </w:pPr>
      <w:r>
        <w:rPr>
          <w:rFonts w:ascii="Arial" w:cs="Arial" w:eastAsia="Arial" w:hAnsi="Arial"/>
          <w:sz w:val="15"/>
          <w:szCs w:val="15"/>
          <w:color w:val="auto"/>
        </w:rPr>
        <w:t>Percentages are calculated based upon dollars rounded to millions.</w:t>
      </w:r>
    </w:p>
    <w:p>
      <w:pPr>
        <w:spacing w:after="0" w:line="189" w:lineRule="exact"/>
        <w:rPr>
          <w:sz w:val="20"/>
          <w:szCs w:val="20"/>
          <w:color w:val="auto"/>
        </w:rPr>
      </w:pPr>
    </w:p>
    <w:p>
      <w:pPr>
        <w:ind w:left="10"/>
        <w:spacing w:after="0"/>
        <w:rPr>
          <w:sz w:val="20"/>
          <w:szCs w:val="20"/>
          <w:color w:val="auto"/>
        </w:rPr>
      </w:pPr>
      <w:r>
        <w:rPr>
          <w:rFonts w:ascii="Arial" w:cs="Arial" w:eastAsia="Arial" w:hAnsi="Arial"/>
          <w:sz w:val="15"/>
          <w:szCs w:val="15"/>
          <w:i w:val="1"/>
          <w:iCs w:val="1"/>
          <w:color w:val="auto"/>
        </w:rPr>
        <w:t>Additional Product Disclosure</w:t>
      </w:r>
    </w:p>
    <w:p>
      <w:pPr>
        <w:spacing w:after="0" w:line="189" w:lineRule="exact"/>
        <w:rPr>
          <w:sz w:val="20"/>
          <w:szCs w:val="20"/>
          <w:color w:val="auto"/>
        </w:rPr>
      </w:pPr>
    </w:p>
    <w:p>
      <w:pPr>
        <w:ind w:left="290"/>
        <w:spacing w:after="0"/>
        <w:rPr>
          <w:sz w:val="20"/>
          <w:szCs w:val="20"/>
          <w:color w:val="auto"/>
        </w:rPr>
      </w:pPr>
      <w:r>
        <w:rPr>
          <w:rFonts w:ascii="Arial" w:cs="Arial" w:eastAsia="Arial" w:hAnsi="Arial"/>
          <w:sz w:val="13"/>
          <w:szCs w:val="13"/>
          <w:color w:val="auto"/>
        </w:rPr>
        <w:t>Products or similar products contributing 10% or more of the Company's consolidated net revenues for each of the three years in the period ended December 31, 2002, were as follows:</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147"/>
        </w:trPr>
        <w:tc>
          <w:tcPr>
            <w:tcW w:w="920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rPr>
              <w:t>2002</w:t>
            </w:r>
          </w:p>
        </w:tc>
        <w:tc>
          <w:tcPr>
            <w:tcW w:w="920" w:type="dxa"/>
            <w:vAlign w:val="bottom"/>
            <w:gridSpan w:val="3"/>
          </w:tcPr>
          <w:p>
            <w:pPr>
              <w:ind w:left="660"/>
              <w:spacing w:after="0"/>
              <w:rPr>
                <w:sz w:val="20"/>
                <w:szCs w:val="20"/>
                <w:color w:val="auto"/>
              </w:rPr>
            </w:pPr>
            <w:r>
              <w:rPr>
                <w:rFonts w:ascii="Arial" w:cs="Arial" w:eastAsia="Arial" w:hAnsi="Arial"/>
                <w:sz w:val="11"/>
                <w:szCs w:val="11"/>
                <w:b w:val="1"/>
                <w:bCs w:val="1"/>
                <w:color w:val="auto"/>
                <w:w w:val="97"/>
              </w:rPr>
              <w:t>2001</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ind w:left="220"/>
              <w:spacing w:after="0"/>
              <w:rPr>
                <w:sz w:val="20"/>
                <w:szCs w:val="20"/>
                <w:color w:val="auto"/>
              </w:rPr>
            </w:pPr>
            <w:r>
              <w:rPr>
                <w:rFonts w:ascii="Arial" w:cs="Arial" w:eastAsia="Arial" w:hAnsi="Arial"/>
                <w:sz w:val="11"/>
                <w:szCs w:val="11"/>
                <w:b w:val="1"/>
                <w:bCs w:val="1"/>
                <w:color w:val="auto"/>
              </w:rPr>
              <w:t>2000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68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8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Cheese</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18%</w:t>
            </w:r>
          </w:p>
        </w:tc>
        <w:tc>
          <w:tcPr>
            <w:tcW w:w="5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19%</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180" w:type="dxa"/>
            <w:vAlign w:val="bottom"/>
            <w:gridSpan w:val="2"/>
          </w:tcPr>
          <w:p>
            <w:pPr>
              <w:spacing w:after="0"/>
              <w:rPr>
                <w:sz w:val="20"/>
                <w:szCs w:val="20"/>
                <w:color w:val="auto"/>
              </w:rPr>
            </w:pPr>
            <w:r>
              <w:rPr>
                <w:rFonts w:ascii="Arial" w:cs="Arial" w:eastAsia="Arial" w:hAnsi="Arial"/>
                <w:sz w:val="15"/>
                <w:szCs w:val="15"/>
                <w:color w:val="auto"/>
              </w:rPr>
              <w:t>Biscuits</w:t>
            </w:r>
          </w:p>
        </w:tc>
        <w:tc>
          <w:tcPr>
            <w:tcW w:w="200" w:type="dxa"/>
            <w:vAlign w:val="bottom"/>
          </w:tcPr>
          <w:p>
            <w:pPr>
              <w:ind w:left="40"/>
              <w:spacing w:after="0"/>
              <w:rPr>
                <w:sz w:val="20"/>
                <w:szCs w:val="20"/>
                <w:color w:val="auto"/>
              </w:rPr>
            </w:pPr>
            <w:r>
              <w:rPr>
                <w:rFonts w:ascii="Arial" w:cs="Arial" w:eastAsia="Arial" w:hAnsi="Arial"/>
                <w:sz w:val="15"/>
                <w:szCs w:val="15"/>
                <w:color w:val="auto"/>
                <w:w w:val="83"/>
              </w:rPr>
              <w:t>15</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gridSpan w:val="2"/>
          </w:tcPr>
          <w:p>
            <w:pPr>
              <w:ind w:left="40"/>
              <w:spacing w:after="0"/>
              <w:rPr>
                <w:sz w:val="20"/>
                <w:szCs w:val="20"/>
                <w:color w:val="auto"/>
              </w:rPr>
            </w:pPr>
            <w:r>
              <w:rPr>
                <w:rFonts w:ascii="Arial" w:cs="Arial" w:eastAsia="Arial" w:hAnsi="Arial"/>
                <w:sz w:val="15"/>
                <w:szCs w:val="15"/>
                <w:color w:val="auto"/>
              </w:rPr>
              <w:t>15</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Coffee</w:t>
            </w:r>
          </w:p>
        </w:tc>
        <w:tc>
          <w:tcPr>
            <w:tcW w:w="200" w:type="dxa"/>
            <w:vAlign w:val="bottom"/>
            <w:shd w:val="clear" w:color="auto" w:fill="CCEEFF"/>
          </w:tcPr>
          <w:p>
            <w:pPr>
              <w:ind w:left="40"/>
              <w:spacing w:after="0"/>
              <w:rPr>
                <w:sz w:val="20"/>
                <w:szCs w:val="20"/>
                <w:color w:val="auto"/>
              </w:rPr>
            </w:pPr>
            <w:r>
              <w:rPr>
                <w:rFonts w:ascii="Arial" w:cs="Arial" w:eastAsia="Arial" w:hAnsi="Arial"/>
                <w:sz w:val="15"/>
                <w:szCs w:val="15"/>
                <w:color w:val="auto"/>
                <w:w w:val="83"/>
              </w:rPr>
              <w:t>12</w:t>
            </w: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13</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180" w:type="dxa"/>
            <w:vAlign w:val="bottom"/>
            <w:gridSpan w:val="2"/>
          </w:tcPr>
          <w:p>
            <w:pPr>
              <w:spacing w:after="0"/>
              <w:rPr>
                <w:sz w:val="20"/>
                <w:szCs w:val="20"/>
                <w:color w:val="auto"/>
              </w:rPr>
            </w:pPr>
            <w:r>
              <w:rPr>
                <w:rFonts w:ascii="Arial" w:cs="Arial" w:eastAsia="Arial" w:hAnsi="Arial"/>
                <w:sz w:val="15"/>
                <w:szCs w:val="15"/>
                <w:color w:val="auto"/>
              </w:rPr>
              <w:t>Confectionery</w:t>
            </w:r>
          </w:p>
        </w:tc>
        <w:tc>
          <w:tcPr>
            <w:tcW w:w="200" w:type="dxa"/>
            <w:vAlign w:val="bottom"/>
          </w:tcPr>
          <w:p>
            <w:pPr>
              <w:ind w:left="40"/>
              <w:spacing w:after="0"/>
              <w:rPr>
                <w:sz w:val="20"/>
                <w:szCs w:val="20"/>
                <w:color w:val="auto"/>
              </w:rPr>
            </w:pPr>
            <w:r>
              <w:rPr>
                <w:rFonts w:ascii="Arial" w:cs="Arial" w:eastAsia="Arial" w:hAnsi="Arial"/>
                <w:sz w:val="15"/>
                <w:szCs w:val="15"/>
                <w:color w:val="auto"/>
                <w:w w:val="83"/>
              </w:rPr>
              <w:t>10</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gridSpan w:val="2"/>
          </w:tcPr>
          <w:p>
            <w:pPr>
              <w:ind w:left="40"/>
              <w:spacing w:after="0"/>
              <w:rPr>
                <w:sz w:val="20"/>
                <w:szCs w:val="20"/>
                <w:color w:val="auto"/>
              </w:rPr>
            </w:pPr>
            <w:r>
              <w:rPr>
                <w:rFonts w:ascii="Arial" w:cs="Arial" w:eastAsia="Arial" w:hAnsi="Arial"/>
                <w:sz w:val="15"/>
                <w:szCs w:val="15"/>
                <w:color w:val="auto"/>
              </w:rPr>
              <w:t>10</w:t>
            </w:r>
          </w:p>
        </w:tc>
        <w:tc>
          <w:tcPr>
            <w:tcW w:w="900" w:type="dxa"/>
            <w:vAlign w:val="bottom"/>
            <w:gridSpan w:val="2"/>
          </w:tcPr>
          <w:p>
            <w:pPr>
              <w:ind w:left="540"/>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Meats</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5960110</wp:posOffset>
            </wp:positionH>
            <wp:positionV relativeFrom="paragraph">
              <wp:posOffset>-641350</wp:posOffset>
            </wp:positionV>
            <wp:extent cx="1270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5529580</wp:posOffset>
            </wp:positionH>
            <wp:positionV relativeFrom="paragraph">
              <wp:posOffset>-641350</wp:posOffset>
            </wp:positionV>
            <wp:extent cx="1270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6541770</wp:posOffset>
            </wp:positionH>
            <wp:positionV relativeFrom="paragraph">
              <wp:posOffset>-641350</wp:posOffset>
            </wp:positionV>
            <wp:extent cx="1270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6118225</wp:posOffset>
            </wp:positionH>
            <wp:positionV relativeFrom="paragraph">
              <wp:posOffset>-641350</wp:posOffset>
            </wp:positionV>
            <wp:extent cx="1270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-641350</wp:posOffset>
            </wp:positionV>
            <wp:extent cx="1270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-641350</wp:posOffset>
            </wp:positionV>
            <wp:extent cx="1270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pacing w:after="0" w:line="154" w:lineRule="exact"/>
        <w:rPr>
          <w:sz w:val="20"/>
          <w:szCs w:val="20"/>
          <w:color w:val="auto"/>
        </w:rPr>
      </w:pPr>
    </w:p>
    <w:p>
      <w:pPr>
        <w:ind w:left="290"/>
        <w:spacing w:after="0"/>
        <w:rPr>
          <w:sz w:val="20"/>
          <w:szCs w:val="20"/>
          <w:color w:val="auto"/>
        </w:rPr>
      </w:pPr>
      <w:r>
        <w:rPr>
          <w:rFonts w:ascii="Arial" w:cs="Arial" w:eastAsia="Arial" w:hAnsi="Arial"/>
          <w:sz w:val="15"/>
          <w:szCs w:val="15"/>
          <w:color w:val="auto"/>
        </w:rPr>
        <w:t>The inclusion of Nabisco's operating results in 2001 contributed to the shift in relative percentages toward biscuits.</w:t>
      </w:r>
    </w:p>
    <w:p>
      <w:pPr>
        <w:spacing w:after="0" w:line="189" w:lineRule="exact"/>
        <w:rPr>
          <w:sz w:val="20"/>
          <w:szCs w:val="20"/>
          <w:color w:val="auto"/>
        </w:rPr>
      </w:pPr>
    </w:p>
    <w:p>
      <w:pPr>
        <w:ind w:left="569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4560" cy="196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pacing w:after="0" w:line="373" w:lineRule="exact"/>
        <w:rPr>
          <w:sz w:val="20"/>
          <w:szCs w:val="20"/>
          <w:color w:val="auto"/>
        </w:rPr>
      </w:pPr>
    </w:p>
    <w:p>
      <w:pPr>
        <w:ind w:left="290"/>
        <w:spacing w:after="0"/>
        <w:rPr>
          <w:sz w:val="20"/>
          <w:szCs w:val="20"/>
          <w:color w:val="auto"/>
        </w:rPr>
      </w:pPr>
      <w:r>
        <w:rPr>
          <w:rFonts w:ascii="Arial" w:cs="Arial" w:eastAsia="Arial" w:hAnsi="Arial"/>
          <w:sz w:val="15"/>
          <w:szCs w:val="15"/>
          <w:color w:val="auto"/>
        </w:rPr>
        <w:t>The Company's major brands within each reportable segment are as follows:</w:t>
      </w:r>
    </w:p>
    <w:p>
      <w:pPr>
        <w:spacing w:after="0" w:line="185"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Kraft Foods North America:</w:t>
      </w:r>
    </w:p>
    <w:p>
      <w:pPr>
        <w:spacing w:after="0" w:line="189"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 xml:space="preserve">Cheese, Meals and Enhancers </w:t>
      </w:r>
      <w:r>
        <w:rPr>
          <w:rFonts w:ascii="Arial" w:cs="Arial" w:eastAsia="Arial" w:hAnsi="Arial"/>
          <w:sz w:val="15"/>
          <w:szCs w:val="15"/>
          <w:color w:val="auto"/>
        </w:rPr>
        <w:t>(includes U.S. food service, Canada and Mexico sales within each consumer sector)</w:t>
      </w:r>
    </w:p>
    <w:p>
      <w:pPr>
        <w:sectPr>
          <w:pgSz w:w="11900" w:h="16838" w:orient="portrait"/>
          <w:cols w:equalWidth="0" w:num="1">
            <w:col w:w="11450"/>
          </w:cols>
          <w:pgMar w:left="230" w:top="132" w:right="219" w:bottom="0" w:gutter="0" w:footer="0" w:header="0"/>
        </w:sectPr>
      </w:pPr>
    </w:p>
    <w:p>
      <w:pPr>
        <w:spacing w:after="0" w:line="193" w:lineRule="exact"/>
        <w:rPr>
          <w:sz w:val="20"/>
          <w:szCs w:val="20"/>
          <w:color w:val="auto"/>
        </w:rPr>
      </w:pPr>
    </w:p>
    <w:p>
      <w:pPr>
        <w:ind w:left="230"/>
        <w:spacing w:after="0"/>
        <w:rPr>
          <w:sz w:val="20"/>
          <w:szCs w:val="20"/>
          <w:color w:val="auto"/>
        </w:rPr>
      </w:pPr>
      <w:r>
        <w:rPr>
          <w:rFonts w:ascii="Arial" w:cs="Arial" w:eastAsia="Arial" w:hAnsi="Arial"/>
          <w:sz w:val="15"/>
          <w:szCs w:val="15"/>
          <w:color w:val="auto"/>
        </w:rPr>
        <w:t>Snacks:</w:t>
      </w:r>
    </w:p>
    <w:p>
      <w:pPr>
        <w:spacing w:after="0" w:line="370" w:lineRule="exact"/>
        <w:rPr>
          <w:sz w:val="20"/>
          <w:szCs w:val="20"/>
          <w:color w:val="auto"/>
        </w:rPr>
      </w:pPr>
    </w:p>
    <w:p>
      <w:pPr>
        <w:ind w:left="230"/>
        <w:spacing w:after="0"/>
        <w:rPr>
          <w:sz w:val="20"/>
          <w:szCs w:val="20"/>
          <w:color w:val="auto"/>
        </w:rPr>
      </w:pPr>
      <w:r>
        <w:rPr>
          <w:rFonts w:ascii="Arial" w:cs="Arial" w:eastAsia="Arial" w:hAnsi="Arial"/>
          <w:sz w:val="13"/>
          <w:szCs w:val="13"/>
          <w:color w:val="auto"/>
        </w:rPr>
        <w:t>Beverages: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320"/>
        <w:spacing w:after="0" w:line="271" w:lineRule="auto"/>
        <w:rPr>
          <w:sz w:val="20"/>
          <w:szCs w:val="20"/>
          <w:color w:val="auto"/>
        </w:rPr>
      </w:pPr>
      <w:r>
        <w:rPr>
          <w:rFonts w:ascii="Arial" w:cs="Arial" w:eastAsia="Arial" w:hAnsi="Arial"/>
          <w:sz w:val="15"/>
          <w:szCs w:val="15"/>
          <w:i w:val="1"/>
          <w:iCs w:val="1"/>
          <w:color w:val="auto"/>
        </w:rPr>
        <w:t xml:space="preserve">Oreo </w:t>
      </w:r>
      <w:r>
        <w:rPr>
          <w:rFonts w:ascii="Arial" w:cs="Arial" w:eastAsia="Arial" w:hAnsi="Arial"/>
          <w:sz w:val="15"/>
          <w:szCs w:val="15"/>
          <w:color w:val="auto"/>
        </w:rPr>
        <w:t>and</w:t>
      </w:r>
      <w:r>
        <w:rPr>
          <w:rFonts w:ascii="Arial" w:cs="Arial" w:eastAsia="Arial" w:hAnsi="Arial"/>
          <w:sz w:val="15"/>
          <w:szCs w:val="15"/>
          <w:i w:val="1"/>
          <w:iCs w:val="1"/>
          <w:color w:val="auto"/>
        </w:rPr>
        <w:t xml:space="preserve"> Chips Ahoy! </w:t>
      </w:r>
      <w:r>
        <w:rPr>
          <w:rFonts w:ascii="Arial" w:cs="Arial" w:eastAsia="Arial" w:hAnsi="Arial"/>
          <w:sz w:val="15"/>
          <w:szCs w:val="15"/>
          <w:color w:val="auto"/>
        </w:rPr>
        <w:t>cookies in Mexico;</w:t>
      </w:r>
      <w:r>
        <w:rPr>
          <w:rFonts w:ascii="Arial" w:cs="Arial" w:eastAsia="Arial" w:hAnsi="Arial"/>
          <w:sz w:val="15"/>
          <w:szCs w:val="15"/>
          <w:i w:val="1"/>
          <w:iCs w:val="1"/>
          <w:color w:val="auto"/>
        </w:rPr>
        <w:t xml:space="preserve"> Ritz </w:t>
      </w:r>
      <w:r>
        <w:rPr>
          <w:rFonts w:ascii="Arial" w:cs="Arial" w:eastAsia="Arial" w:hAnsi="Arial"/>
          <w:sz w:val="15"/>
          <w:szCs w:val="15"/>
          <w:color w:val="auto"/>
        </w:rPr>
        <w:t>crackers in Mexico; and</w:t>
      </w:r>
      <w:r>
        <w:rPr>
          <w:rFonts w:ascii="Arial" w:cs="Arial" w:eastAsia="Arial" w:hAnsi="Arial"/>
          <w:sz w:val="15"/>
          <w:szCs w:val="15"/>
          <w:i w:val="1"/>
          <w:iCs w:val="1"/>
          <w:color w:val="auto"/>
        </w:rPr>
        <w:t xml:space="preserve"> Life Savers </w:t>
      </w:r>
      <w:r>
        <w:rPr>
          <w:rFonts w:ascii="Arial" w:cs="Arial" w:eastAsia="Arial" w:hAnsi="Arial"/>
          <w:sz w:val="15"/>
          <w:szCs w:val="15"/>
          <w:color w:val="auto"/>
        </w:rPr>
        <w:t>sugar confectionery products in</w:t>
      </w:r>
      <w:r>
        <w:rPr>
          <w:rFonts w:ascii="Arial" w:cs="Arial" w:eastAsia="Arial" w:hAnsi="Arial"/>
          <w:sz w:val="15"/>
          <w:szCs w:val="15"/>
          <w:i w:val="1"/>
          <w:iCs w:val="1"/>
          <w:color w:val="auto"/>
        </w:rPr>
        <w:t xml:space="preserve"> </w:t>
      </w:r>
      <w:r>
        <w:rPr>
          <w:rFonts w:ascii="Arial" w:cs="Arial" w:eastAsia="Arial" w:hAnsi="Arial"/>
          <w:sz w:val="15"/>
          <w:szCs w:val="15"/>
          <w:color w:val="auto"/>
        </w:rPr>
        <w:t>Mexico.</w:t>
      </w:r>
    </w:p>
    <w:p>
      <w:pPr>
        <w:spacing w:after="0" w:line="175" w:lineRule="exact"/>
        <w:rPr>
          <w:sz w:val="20"/>
          <w:szCs w:val="20"/>
          <w:color w:val="auto"/>
        </w:rPr>
      </w:pPr>
    </w:p>
    <w:p>
      <w:pPr>
        <w:ind w:right="160"/>
        <w:spacing w:after="0" w:line="271" w:lineRule="auto"/>
        <w:rPr>
          <w:sz w:val="20"/>
          <w:szCs w:val="20"/>
          <w:color w:val="auto"/>
        </w:rPr>
      </w:pPr>
      <w:r>
        <w:rPr>
          <w:rFonts w:ascii="Arial" w:cs="Arial" w:eastAsia="Arial" w:hAnsi="Arial"/>
          <w:sz w:val="15"/>
          <w:szCs w:val="15"/>
          <w:i w:val="1"/>
          <w:iCs w:val="1"/>
          <w:color w:val="auto"/>
        </w:rPr>
        <w:t>Maxwell House</w:t>
      </w:r>
      <w:r>
        <w:rPr>
          <w:rFonts w:ascii="Arial" w:cs="Arial" w:eastAsia="Arial" w:hAnsi="Arial"/>
          <w:sz w:val="15"/>
          <w:szCs w:val="15"/>
          <w:color w:val="auto"/>
        </w:rPr>
        <w:t>,</w:t>
      </w:r>
      <w:r>
        <w:rPr>
          <w:rFonts w:ascii="Arial" w:cs="Arial" w:eastAsia="Arial" w:hAnsi="Arial"/>
          <w:sz w:val="15"/>
          <w:szCs w:val="15"/>
          <w:i w:val="1"/>
          <w:iCs w:val="1"/>
          <w:color w:val="auto"/>
        </w:rPr>
        <w:t xml:space="preserve"> Sanka </w:t>
      </w:r>
      <w:r>
        <w:rPr>
          <w:rFonts w:ascii="Arial" w:cs="Arial" w:eastAsia="Arial" w:hAnsi="Arial"/>
          <w:sz w:val="15"/>
          <w:szCs w:val="15"/>
          <w:color w:val="auto"/>
        </w:rPr>
        <w:t>and</w:t>
      </w:r>
      <w:r>
        <w:rPr>
          <w:rFonts w:ascii="Arial" w:cs="Arial" w:eastAsia="Arial" w:hAnsi="Arial"/>
          <w:sz w:val="15"/>
          <w:szCs w:val="15"/>
          <w:i w:val="1"/>
          <w:iCs w:val="1"/>
          <w:color w:val="auto"/>
        </w:rPr>
        <w:t xml:space="preserve"> Nabob </w:t>
      </w:r>
      <w:r>
        <w:rPr>
          <w:rFonts w:ascii="Arial" w:cs="Arial" w:eastAsia="Arial" w:hAnsi="Arial"/>
          <w:sz w:val="15"/>
          <w:szCs w:val="15"/>
          <w:color w:val="auto"/>
        </w:rPr>
        <w:t>coffees in Canada;</w:t>
      </w:r>
      <w:r>
        <w:rPr>
          <w:rFonts w:ascii="Arial" w:cs="Arial" w:eastAsia="Arial" w:hAnsi="Arial"/>
          <w:sz w:val="15"/>
          <w:szCs w:val="15"/>
          <w:i w:val="1"/>
          <w:iCs w:val="1"/>
          <w:color w:val="auto"/>
        </w:rPr>
        <w:t xml:space="preserve"> Kool-Aid </w:t>
      </w:r>
      <w:r>
        <w:rPr>
          <w:rFonts w:ascii="Arial" w:cs="Arial" w:eastAsia="Arial" w:hAnsi="Arial"/>
          <w:sz w:val="15"/>
          <w:szCs w:val="15"/>
          <w:color w:val="auto"/>
        </w:rPr>
        <w:t>and</w:t>
      </w:r>
      <w:r>
        <w:rPr>
          <w:rFonts w:ascii="Arial" w:cs="Arial" w:eastAsia="Arial" w:hAnsi="Arial"/>
          <w:sz w:val="15"/>
          <w:szCs w:val="15"/>
          <w:i w:val="1"/>
          <w:iCs w:val="1"/>
          <w:color w:val="auto"/>
        </w:rPr>
        <w:t xml:space="preserve"> Tang </w:t>
      </w:r>
      <w:r>
        <w:rPr>
          <w:rFonts w:ascii="Arial" w:cs="Arial" w:eastAsia="Arial" w:hAnsi="Arial"/>
          <w:sz w:val="15"/>
          <w:szCs w:val="15"/>
          <w:color w:val="auto"/>
        </w:rPr>
        <w:t>powdered beverages in Canada and Mexico;</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and </w:t>
      </w:r>
      <w:r>
        <w:rPr>
          <w:rFonts w:ascii="Arial" w:cs="Arial" w:eastAsia="Arial" w:hAnsi="Arial"/>
          <w:sz w:val="15"/>
          <w:szCs w:val="15"/>
          <w:i w:val="1"/>
          <w:iCs w:val="1"/>
          <w:color w:val="auto"/>
        </w:rPr>
        <w:t>Capri Sun</w:t>
      </w:r>
      <w:r>
        <w:rPr>
          <w:rFonts w:ascii="Arial" w:cs="Arial" w:eastAsia="Arial" w:hAnsi="Arial"/>
          <w:sz w:val="15"/>
          <w:szCs w:val="15"/>
          <w:color w:val="auto"/>
        </w:rPr>
        <w:t xml:space="preserve"> aseptic juice drinks in Canada and Mexico.</w:t>
      </w:r>
    </w:p>
    <w:p>
      <w:pPr>
        <w:sectPr>
          <w:pgSz w:w="11900" w:h="16838" w:orient="portrait"/>
          <w:cols w:equalWidth="0" w:num="2">
            <w:col w:w="3630" w:space="720"/>
            <w:col w:w="7100"/>
          </w:cols>
          <w:pgMar w:left="230" w:top="132" w:right="219" w:bottom="0" w:gutter="0" w:footer="0" w:header="0"/>
          <w:type w:val="continuous"/>
        </w:sectPr>
      </w:pPr>
    </w:p>
    <w:bookmarkStart w:id="3" w:name="page4"/>
    <w:bookmarkEnd w:id="3"/>
    <w:p>
      <w:pPr>
        <w:spacing w:after="0" w:line="3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Cheese:</w:t>
      </w:r>
    </w:p>
    <w:p>
      <w:pPr>
        <w:spacing w:after="0" w:line="200" w:lineRule="exact"/>
        <w:rPr>
          <w:sz w:val="20"/>
          <w:szCs w:val="20"/>
          <w:color w:val="auto"/>
        </w:rPr>
      </w:pPr>
    </w:p>
    <w:p>
      <w:pPr>
        <w:spacing w:after="0" w:line="35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Grocery:</w:t>
      </w:r>
    </w:p>
    <w:p>
      <w:pPr>
        <w:spacing w:after="0" w:line="39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Convenient Meals: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Biscuits, Snacks and Confectionery</w:t>
      </w:r>
    </w:p>
    <w:p>
      <w:pPr>
        <w:spacing w:after="0" w:line="22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Snacks: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Grocery:</w:t>
      </w: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Beverages, Desserts and Cereals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Snacks:</w:t>
      </w:r>
    </w:p>
    <w:p>
      <w:pPr>
        <w:spacing w:after="0" w:line="39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Beverages:</w:t>
      </w: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Grocery:</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both"/>
        <w:ind w:right="80"/>
        <w:spacing w:after="0" w:line="261" w:lineRule="auto"/>
        <w:rPr>
          <w:sz w:val="20"/>
          <w:szCs w:val="20"/>
          <w:color w:val="auto"/>
        </w:rPr>
      </w:pPr>
      <w:r>
        <w:rPr>
          <w:rFonts w:ascii="Arial" w:cs="Arial" w:eastAsia="Arial" w:hAnsi="Arial"/>
          <w:sz w:val="15"/>
          <w:szCs w:val="15"/>
          <w:i w:val="1"/>
          <w:iCs w:val="1"/>
          <w:color w:val="auto"/>
        </w:rPr>
        <w:t xml:space="preserve">Kraft </w:t>
      </w:r>
      <w:r>
        <w:rPr>
          <w:rFonts w:ascii="Arial" w:cs="Arial" w:eastAsia="Arial" w:hAnsi="Arial"/>
          <w:sz w:val="15"/>
          <w:szCs w:val="15"/>
          <w:color w:val="auto"/>
        </w:rPr>
        <w:t>and</w:t>
      </w:r>
      <w:r>
        <w:rPr>
          <w:rFonts w:ascii="Arial" w:cs="Arial" w:eastAsia="Arial" w:hAnsi="Arial"/>
          <w:sz w:val="15"/>
          <w:szCs w:val="15"/>
          <w:i w:val="1"/>
          <w:iCs w:val="1"/>
          <w:color w:val="auto"/>
        </w:rPr>
        <w:t xml:space="preserve"> Cracker Barrel </w:t>
      </w:r>
      <w:r>
        <w:rPr>
          <w:rFonts w:ascii="Arial" w:cs="Arial" w:eastAsia="Arial" w:hAnsi="Arial"/>
          <w:sz w:val="15"/>
          <w:szCs w:val="15"/>
          <w:color w:val="auto"/>
        </w:rPr>
        <w:t>natural cheeses;</w:t>
      </w:r>
      <w:r>
        <w:rPr>
          <w:rFonts w:ascii="Arial" w:cs="Arial" w:eastAsia="Arial" w:hAnsi="Arial"/>
          <w:sz w:val="15"/>
          <w:szCs w:val="15"/>
          <w:i w:val="1"/>
          <w:iCs w:val="1"/>
          <w:color w:val="auto"/>
        </w:rPr>
        <w:t xml:space="preserve"> Philadelphia </w:t>
      </w:r>
      <w:r>
        <w:rPr>
          <w:rFonts w:ascii="Arial" w:cs="Arial" w:eastAsia="Arial" w:hAnsi="Arial"/>
          <w:sz w:val="15"/>
          <w:szCs w:val="15"/>
          <w:color w:val="auto"/>
        </w:rPr>
        <w:t>cream cheese;</w:t>
      </w:r>
      <w:r>
        <w:rPr>
          <w:rFonts w:ascii="Arial" w:cs="Arial" w:eastAsia="Arial" w:hAnsi="Arial"/>
          <w:sz w:val="15"/>
          <w:szCs w:val="15"/>
          <w:i w:val="1"/>
          <w:iCs w:val="1"/>
          <w:color w:val="auto"/>
        </w:rPr>
        <w:t xml:space="preserve"> Kraft </w:t>
      </w:r>
      <w:r>
        <w:rPr>
          <w:rFonts w:ascii="Arial" w:cs="Arial" w:eastAsia="Arial" w:hAnsi="Arial"/>
          <w:sz w:val="15"/>
          <w:szCs w:val="15"/>
          <w:color w:val="auto"/>
        </w:rPr>
        <w:t>and</w:t>
      </w:r>
      <w:r>
        <w:rPr>
          <w:rFonts w:ascii="Arial" w:cs="Arial" w:eastAsia="Arial" w:hAnsi="Arial"/>
          <w:sz w:val="15"/>
          <w:szCs w:val="15"/>
          <w:i w:val="1"/>
          <w:iCs w:val="1"/>
          <w:color w:val="auto"/>
        </w:rPr>
        <w:t xml:space="preserve"> Velveeta </w:t>
      </w:r>
      <w:r>
        <w:rPr>
          <w:rFonts w:ascii="Arial" w:cs="Arial" w:eastAsia="Arial" w:hAnsi="Arial"/>
          <w:sz w:val="15"/>
          <w:szCs w:val="15"/>
          <w:color w:val="auto"/>
        </w:rPr>
        <w:t>process cheeses;</w:t>
      </w:r>
      <w:r>
        <w:rPr>
          <w:rFonts w:ascii="Arial" w:cs="Arial" w:eastAsia="Arial" w:hAnsi="Arial"/>
          <w:sz w:val="15"/>
          <w:szCs w:val="15"/>
          <w:i w:val="1"/>
          <w:iCs w:val="1"/>
          <w:color w:val="auto"/>
        </w:rPr>
        <w:t xml:space="preserve"> Kraft </w:t>
      </w:r>
      <w:r>
        <w:rPr>
          <w:rFonts w:ascii="Arial" w:cs="Arial" w:eastAsia="Arial" w:hAnsi="Arial"/>
          <w:sz w:val="15"/>
          <w:szCs w:val="15"/>
          <w:color w:val="auto"/>
        </w:rPr>
        <w:t>grated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cheeses; </w:t>
      </w:r>
      <w:r>
        <w:rPr>
          <w:rFonts w:ascii="Arial" w:cs="Arial" w:eastAsia="Arial" w:hAnsi="Arial"/>
          <w:sz w:val="15"/>
          <w:szCs w:val="15"/>
          <w:i w:val="1"/>
          <w:iCs w:val="1"/>
          <w:color w:val="auto"/>
        </w:rPr>
        <w:t>Cheez Whiz</w:t>
      </w:r>
      <w:r>
        <w:rPr>
          <w:rFonts w:ascii="Arial" w:cs="Arial" w:eastAsia="Arial" w:hAnsi="Arial"/>
          <w:sz w:val="15"/>
          <w:szCs w:val="15"/>
          <w:color w:val="auto"/>
        </w:rPr>
        <w:t xml:space="preserve"> process cheese sauce; </w:t>
      </w:r>
      <w:r>
        <w:rPr>
          <w:rFonts w:ascii="Arial" w:cs="Arial" w:eastAsia="Arial" w:hAnsi="Arial"/>
          <w:sz w:val="15"/>
          <w:szCs w:val="15"/>
          <w:i w:val="1"/>
          <w:iCs w:val="1"/>
          <w:color w:val="auto"/>
        </w:rPr>
        <w:t>Easy Cheese</w:t>
      </w:r>
      <w:r>
        <w:rPr>
          <w:rFonts w:ascii="Arial" w:cs="Arial" w:eastAsia="Arial" w:hAnsi="Arial"/>
          <w:sz w:val="15"/>
          <w:szCs w:val="15"/>
          <w:color w:val="auto"/>
        </w:rPr>
        <w:t xml:space="preserve"> aerosol cheese spread; and </w:t>
      </w:r>
      <w:r>
        <w:rPr>
          <w:rFonts w:ascii="Arial" w:cs="Arial" w:eastAsia="Arial" w:hAnsi="Arial"/>
          <w:sz w:val="15"/>
          <w:szCs w:val="15"/>
          <w:i w:val="1"/>
          <w:iCs w:val="1"/>
          <w:color w:val="auto"/>
        </w:rPr>
        <w:t>Knudsen</w:t>
      </w:r>
      <w:r>
        <w:rPr>
          <w:rFonts w:ascii="Arial" w:cs="Arial" w:eastAsia="Arial" w:hAnsi="Arial"/>
          <w:sz w:val="15"/>
          <w:szCs w:val="15"/>
          <w:color w:val="auto"/>
        </w:rPr>
        <w:t xml:space="preserve"> and </w:t>
      </w:r>
      <w:r>
        <w:rPr>
          <w:rFonts w:ascii="Arial" w:cs="Arial" w:eastAsia="Arial" w:hAnsi="Arial"/>
          <w:sz w:val="15"/>
          <w:szCs w:val="15"/>
          <w:i w:val="1"/>
          <w:iCs w:val="1"/>
          <w:color w:val="auto"/>
        </w:rPr>
        <w:t>Breakstone's</w:t>
      </w:r>
      <w:r>
        <w:rPr>
          <w:rFonts w:ascii="Arial" w:cs="Arial" w:eastAsia="Arial" w:hAnsi="Arial"/>
          <w:sz w:val="15"/>
          <w:szCs w:val="15"/>
          <w:color w:val="auto"/>
        </w:rPr>
        <w:t xml:space="preserve"> cottage cheese and sour cream.</w:t>
      </w:r>
    </w:p>
    <w:p>
      <w:pPr>
        <w:spacing w:after="0" w:line="183" w:lineRule="exact"/>
        <w:rPr>
          <w:sz w:val="20"/>
          <w:szCs w:val="20"/>
          <w:color w:val="auto"/>
        </w:rPr>
      </w:pPr>
    </w:p>
    <w:p>
      <w:pPr>
        <w:ind w:right="280"/>
        <w:spacing w:after="0" w:line="271" w:lineRule="auto"/>
        <w:rPr>
          <w:sz w:val="20"/>
          <w:szCs w:val="20"/>
          <w:color w:val="auto"/>
        </w:rPr>
      </w:pPr>
      <w:r>
        <w:rPr>
          <w:rFonts w:ascii="Arial" w:cs="Arial" w:eastAsia="Arial" w:hAnsi="Arial"/>
          <w:sz w:val="15"/>
          <w:szCs w:val="15"/>
          <w:i w:val="1"/>
          <w:iCs w:val="1"/>
          <w:color w:val="auto"/>
        </w:rPr>
        <w:t xml:space="preserve">Kraft </w:t>
      </w:r>
      <w:r>
        <w:rPr>
          <w:rFonts w:ascii="Arial" w:cs="Arial" w:eastAsia="Arial" w:hAnsi="Arial"/>
          <w:sz w:val="15"/>
          <w:szCs w:val="15"/>
          <w:color w:val="auto"/>
        </w:rPr>
        <w:t>and</w:t>
      </w:r>
      <w:r>
        <w:rPr>
          <w:rFonts w:ascii="Arial" w:cs="Arial" w:eastAsia="Arial" w:hAnsi="Arial"/>
          <w:sz w:val="15"/>
          <w:szCs w:val="15"/>
          <w:i w:val="1"/>
          <w:iCs w:val="1"/>
          <w:color w:val="auto"/>
        </w:rPr>
        <w:t xml:space="preserve"> Miracle Whip </w:t>
      </w:r>
      <w:r>
        <w:rPr>
          <w:rFonts w:ascii="Arial" w:cs="Arial" w:eastAsia="Arial" w:hAnsi="Arial"/>
          <w:sz w:val="15"/>
          <w:szCs w:val="15"/>
          <w:color w:val="auto"/>
        </w:rPr>
        <w:t>spoonable dressings;</w:t>
      </w:r>
      <w:r>
        <w:rPr>
          <w:rFonts w:ascii="Arial" w:cs="Arial" w:eastAsia="Arial" w:hAnsi="Arial"/>
          <w:sz w:val="15"/>
          <w:szCs w:val="15"/>
          <w:i w:val="1"/>
          <w:iCs w:val="1"/>
          <w:color w:val="auto"/>
        </w:rPr>
        <w:t xml:space="preserve"> Kraft </w:t>
      </w:r>
      <w:r>
        <w:rPr>
          <w:rFonts w:ascii="Arial" w:cs="Arial" w:eastAsia="Arial" w:hAnsi="Arial"/>
          <w:sz w:val="15"/>
          <w:szCs w:val="15"/>
          <w:color w:val="auto"/>
        </w:rPr>
        <w:t>salad dressings;</w:t>
      </w:r>
      <w:r>
        <w:rPr>
          <w:rFonts w:ascii="Arial" w:cs="Arial" w:eastAsia="Arial" w:hAnsi="Arial"/>
          <w:sz w:val="15"/>
          <w:szCs w:val="15"/>
          <w:i w:val="1"/>
          <w:iCs w:val="1"/>
          <w:color w:val="auto"/>
        </w:rPr>
        <w:t xml:space="preserve"> A.1. </w:t>
      </w:r>
      <w:r>
        <w:rPr>
          <w:rFonts w:ascii="Arial" w:cs="Arial" w:eastAsia="Arial" w:hAnsi="Arial"/>
          <w:sz w:val="15"/>
          <w:szCs w:val="15"/>
          <w:color w:val="auto"/>
        </w:rPr>
        <w:t>steak sauce;</w:t>
      </w:r>
      <w:r>
        <w:rPr>
          <w:rFonts w:ascii="Arial" w:cs="Arial" w:eastAsia="Arial" w:hAnsi="Arial"/>
          <w:sz w:val="15"/>
          <w:szCs w:val="15"/>
          <w:i w:val="1"/>
          <w:iCs w:val="1"/>
          <w:color w:val="auto"/>
        </w:rPr>
        <w:t xml:space="preserve"> Kraft </w:t>
      </w:r>
      <w:r>
        <w:rPr>
          <w:rFonts w:ascii="Arial" w:cs="Arial" w:eastAsia="Arial" w:hAnsi="Arial"/>
          <w:sz w:val="15"/>
          <w:szCs w:val="15"/>
          <w:color w:val="auto"/>
        </w:rPr>
        <w:t>and</w:t>
      </w:r>
      <w:r>
        <w:rPr>
          <w:rFonts w:ascii="Arial" w:cs="Arial" w:eastAsia="Arial" w:hAnsi="Arial"/>
          <w:sz w:val="15"/>
          <w:szCs w:val="15"/>
          <w:i w:val="1"/>
          <w:iCs w:val="1"/>
          <w:color w:val="auto"/>
        </w:rPr>
        <w:t xml:space="preserve"> Bull's-Eye </w:t>
      </w:r>
      <w:r>
        <w:rPr>
          <w:rFonts w:ascii="Arial" w:cs="Arial" w:eastAsia="Arial" w:hAnsi="Arial"/>
          <w:sz w:val="15"/>
          <w:szCs w:val="15"/>
          <w:color w:val="auto"/>
        </w:rPr>
        <w:t>barbecue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sauces; </w:t>
      </w:r>
      <w:r>
        <w:rPr>
          <w:rFonts w:ascii="Arial" w:cs="Arial" w:eastAsia="Arial" w:hAnsi="Arial"/>
          <w:sz w:val="15"/>
          <w:szCs w:val="15"/>
          <w:i w:val="1"/>
          <w:iCs w:val="1"/>
          <w:color w:val="auto"/>
        </w:rPr>
        <w:t>Grey Poupon</w:t>
      </w:r>
      <w:r>
        <w:rPr>
          <w:rFonts w:ascii="Arial" w:cs="Arial" w:eastAsia="Arial" w:hAnsi="Arial"/>
          <w:sz w:val="15"/>
          <w:szCs w:val="15"/>
          <w:color w:val="auto"/>
        </w:rPr>
        <w:t xml:space="preserve"> premium mustards; and </w:t>
      </w:r>
      <w:r>
        <w:rPr>
          <w:rFonts w:ascii="Arial" w:cs="Arial" w:eastAsia="Arial" w:hAnsi="Arial"/>
          <w:sz w:val="15"/>
          <w:szCs w:val="15"/>
          <w:i w:val="1"/>
          <w:iCs w:val="1"/>
          <w:color w:val="auto"/>
        </w:rPr>
        <w:t>Shake 'N Bake</w:t>
      </w:r>
      <w:r>
        <w:rPr>
          <w:rFonts w:ascii="Arial" w:cs="Arial" w:eastAsia="Arial" w:hAnsi="Arial"/>
          <w:sz w:val="15"/>
          <w:szCs w:val="15"/>
          <w:color w:val="auto"/>
        </w:rPr>
        <w:t xml:space="preserve"> coatings.</w:t>
      </w:r>
    </w:p>
    <w:p>
      <w:pPr>
        <w:spacing w:after="0" w:line="175" w:lineRule="exact"/>
        <w:rPr>
          <w:sz w:val="20"/>
          <w:szCs w:val="20"/>
          <w:color w:val="auto"/>
        </w:rPr>
      </w:pPr>
    </w:p>
    <w:p>
      <w:pPr>
        <w:ind w:right="420"/>
        <w:spacing w:after="0" w:line="271" w:lineRule="auto"/>
        <w:rPr>
          <w:sz w:val="20"/>
          <w:szCs w:val="20"/>
          <w:color w:val="auto"/>
        </w:rPr>
      </w:pPr>
      <w:r>
        <w:rPr>
          <w:rFonts w:ascii="Arial" w:cs="Arial" w:eastAsia="Arial" w:hAnsi="Arial"/>
          <w:sz w:val="15"/>
          <w:szCs w:val="15"/>
          <w:i w:val="1"/>
          <w:iCs w:val="1"/>
          <w:color w:val="auto"/>
        </w:rPr>
        <w:t xml:space="preserve">Kraft </w:t>
      </w:r>
      <w:r>
        <w:rPr>
          <w:rFonts w:ascii="Arial" w:cs="Arial" w:eastAsia="Arial" w:hAnsi="Arial"/>
          <w:sz w:val="15"/>
          <w:szCs w:val="15"/>
          <w:color w:val="auto"/>
        </w:rPr>
        <w:t>macaroni &amp; cheese dinners;</w:t>
      </w:r>
      <w:r>
        <w:rPr>
          <w:rFonts w:ascii="Arial" w:cs="Arial" w:eastAsia="Arial" w:hAnsi="Arial"/>
          <w:sz w:val="15"/>
          <w:szCs w:val="15"/>
          <w:i w:val="1"/>
          <w:iCs w:val="1"/>
          <w:color w:val="auto"/>
        </w:rPr>
        <w:t xml:space="preserve"> Taco Bell</w:t>
      </w:r>
      <w:r>
        <w:rPr>
          <w:rFonts w:ascii="Arial" w:cs="Arial" w:eastAsia="Arial" w:hAnsi="Arial"/>
          <w:sz w:val="15"/>
          <w:szCs w:val="15"/>
          <w:color w:val="auto"/>
        </w:rPr>
        <w:t>,</w:t>
      </w:r>
      <w:r>
        <w:rPr>
          <w:rFonts w:ascii="Arial" w:cs="Arial" w:eastAsia="Arial" w:hAnsi="Arial"/>
          <w:sz w:val="15"/>
          <w:szCs w:val="15"/>
          <w:i w:val="1"/>
          <w:iCs w:val="1"/>
          <w:color w:val="auto"/>
        </w:rPr>
        <w:t xml:space="preserve"> It's Pasta Anytime </w:t>
      </w:r>
      <w:r>
        <w:rPr>
          <w:rFonts w:ascii="Arial" w:cs="Arial" w:eastAsia="Arial" w:hAnsi="Arial"/>
          <w:sz w:val="15"/>
          <w:szCs w:val="15"/>
          <w:color w:val="auto"/>
        </w:rPr>
        <w:t>and</w:t>
      </w:r>
      <w:r>
        <w:rPr>
          <w:rFonts w:ascii="Arial" w:cs="Arial" w:eastAsia="Arial" w:hAnsi="Arial"/>
          <w:sz w:val="15"/>
          <w:szCs w:val="15"/>
          <w:i w:val="1"/>
          <w:iCs w:val="1"/>
          <w:color w:val="auto"/>
        </w:rPr>
        <w:t xml:space="preserve"> Stove Top Oven Classics </w:t>
      </w:r>
      <w:r>
        <w:rPr>
          <w:rFonts w:ascii="Arial" w:cs="Arial" w:eastAsia="Arial" w:hAnsi="Arial"/>
          <w:sz w:val="15"/>
          <w:szCs w:val="15"/>
          <w:color w:val="auto"/>
        </w:rPr>
        <w:t>meal kits;</w:t>
      </w:r>
      <w:r>
        <w:rPr>
          <w:rFonts w:ascii="Arial" w:cs="Arial" w:eastAsia="Arial" w:hAnsi="Arial"/>
          <w:sz w:val="15"/>
          <w:szCs w:val="15"/>
          <w:i w:val="1"/>
          <w:iCs w:val="1"/>
          <w:color w:val="auto"/>
        </w:rPr>
        <w:t xml:space="preserve"> Stove Top </w:t>
      </w:r>
      <w:r>
        <w:rPr>
          <w:rFonts w:ascii="Arial" w:cs="Arial" w:eastAsia="Arial" w:hAnsi="Arial"/>
          <w:sz w:val="15"/>
          <w:szCs w:val="15"/>
          <w:color w:val="auto"/>
        </w:rPr>
        <w:t xml:space="preserve">stuffing mix; </w:t>
      </w:r>
      <w:r>
        <w:rPr>
          <w:rFonts w:ascii="Arial" w:cs="Arial" w:eastAsia="Arial" w:hAnsi="Arial"/>
          <w:sz w:val="15"/>
          <w:szCs w:val="15"/>
          <w:i w:val="1"/>
          <w:iCs w:val="1"/>
          <w:color w:val="auto"/>
        </w:rPr>
        <w:t>Minute</w:t>
      </w:r>
      <w:r>
        <w:rPr>
          <w:rFonts w:ascii="Arial" w:cs="Arial" w:eastAsia="Arial" w:hAnsi="Arial"/>
          <w:sz w:val="15"/>
          <w:szCs w:val="15"/>
          <w:color w:val="auto"/>
        </w:rPr>
        <w:t xml:space="preserve"> rice; and </w:t>
      </w:r>
      <w:r>
        <w:rPr>
          <w:rFonts w:ascii="Arial" w:cs="Arial" w:eastAsia="Arial" w:hAnsi="Arial"/>
          <w:sz w:val="15"/>
          <w:szCs w:val="15"/>
          <w:i w:val="1"/>
          <w:iCs w:val="1"/>
          <w:color w:val="auto"/>
        </w:rPr>
        <w:t>Delissio</w:t>
      </w:r>
      <w:r>
        <w:rPr>
          <w:rFonts w:ascii="Arial" w:cs="Arial" w:eastAsia="Arial" w:hAnsi="Arial"/>
          <w:sz w:val="15"/>
          <w:szCs w:val="15"/>
          <w:color w:val="auto"/>
        </w:rPr>
        <w:t xml:space="preserve"> frozen pizzas in Canada.</w:t>
      </w:r>
    </w:p>
    <w:p>
      <w:pPr>
        <w:spacing w:after="0" w:line="200" w:lineRule="exact"/>
        <w:rPr>
          <w:sz w:val="20"/>
          <w:szCs w:val="20"/>
          <w:color w:val="auto"/>
        </w:rPr>
      </w:pPr>
    </w:p>
    <w:p>
      <w:pPr>
        <w:spacing w:after="0" w:line="360"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i w:val="1"/>
          <w:iCs w:val="1"/>
          <w:color w:val="auto"/>
        </w:rPr>
        <w:t>Oreo</w:t>
      </w:r>
      <w:r>
        <w:rPr>
          <w:rFonts w:ascii="Arial" w:cs="Arial" w:eastAsia="Arial" w:hAnsi="Arial"/>
          <w:sz w:val="14"/>
          <w:szCs w:val="14"/>
          <w:color w:val="auto"/>
        </w:rPr>
        <w:t>,</w:t>
      </w:r>
      <w:r>
        <w:rPr>
          <w:rFonts w:ascii="Arial" w:cs="Arial" w:eastAsia="Arial" w:hAnsi="Arial"/>
          <w:sz w:val="14"/>
          <w:szCs w:val="14"/>
          <w:i w:val="1"/>
          <w:iCs w:val="1"/>
          <w:color w:val="auto"/>
        </w:rPr>
        <w:t xml:space="preserve"> Chips Ahoy!</w:t>
      </w:r>
      <w:r>
        <w:rPr>
          <w:rFonts w:ascii="Arial" w:cs="Arial" w:eastAsia="Arial" w:hAnsi="Arial"/>
          <w:sz w:val="14"/>
          <w:szCs w:val="14"/>
          <w:color w:val="auto"/>
        </w:rPr>
        <w:t>,</w:t>
      </w:r>
      <w:r>
        <w:rPr>
          <w:rFonts w:ascii="Arial" w:cs="Arial" w:eastAsia="Arial" w:hAnsi="Arial"/>
          <w:sz w:val="14"/>
          <w:szCs w:val="14"/>
          <w:i w:val="1"/>
          <w:iCs w:val="1"/>
          <w:color w:val="auto"/>
        </w:rPr>
        <w:t xml:space="preserve"> Newtons</w:t>
      </w:r>
      <w:r>
        <w:rPr>
          <w:rFonts w:ascii="Arial" w:cs="Arial" w:eastAsia="Arial" w:hAnsi="Arial"/>
          <w:sz w:val="14"/>
          <w:szCs w:val="14"/>
          <w:color w:val="auto"/>
        </w:rPr>
        <w:t>,</w:t>
      </w:r>
      <w:r>
        <w:rPr>
          <w:rFonts w:ascii="Arial" w:cs="Arial" w:eastAsia="Arial" w:hAnsi="Arial"/>
          <w:sz w:val="14"/>
          <w:szCs w:val="14"/>
          <w:i w:val="1"/>
          <w:iCs w:val="1"/>
          <w:color w:val="auto"/>
        </w:rPr>
        <w:t xml:space="preserve"> Nilla</w:t>
      </w:r>
      <w:r>
        <w:rPr>
          <w:rFonts w:ascii="Arial" w:cs="Arial" w:eastAsia="Arial" w:hAnsi="Arial"/>
          <w:sz w:val="14"/>
          <w:szCs w:val="14"/>
          <w:color w:val="auto"/>
        </w:rPr>
        <w:t>,</w:t>
      </w:r>
      <w:r>
        <w:rPr>
          <w:rFonts w:ascii="Arial" w:cs="Arial" w:eastAsia="Arial" w:hAnsi="Arial"/>
          <w:sz w:val="14"/>
          <w:szCs w:val="14"/>
          <w:i w:val="1"/>
          <w:iCs w:val="1"/>
          <w:color w:val="auto"/>
        </w:rPr>
        <w:t xml:space="preserve"> Nutter Butter</w:t>
      </w:r>
      <w:r>
        <w:rPr>
          <w:rFonts w:ascii="Arial" w:cs="Arial" w:eastAsia="Arial" w:hAnsi="Arial"/>
          <w:sz w:val="14"/>
          <w:szCs w:val="14"/>
          <w:color w:val="auto"/>
        </w:rPr>
        <w:t>,</w:t>
      </w:r>
      <w:r>
        <w:rPr>
          <w:rFonts w:ascii="Arial" w:cs="Arial" w:eastAsia="Arial" w:hAnsi="Arial"/>
          <w:sz w:val="14"/>
          <w:szCs w:val="14"/>
          <w:i w:val="1"/>
          <w:iCs w:val="1"/>
          <w:color w:val="auto"/>
        </w:rPr>
        <w:t xml:space="preserve"> Stella D'Oro </w:t>
      </w:r>
      <w:r>
        <w:rPr>
          <w:rFonts w:ascii="Arial" w:cs="Arial" w:eastAsia="Arial" w:hAnsi="Arial"/>
          <w:sz w:val="14"/>
          <w:szCs w:val="14"/>
          <w:color w:val="auto"/>
        </w:rPr>
        <w:t>and</w:t>
      </w:r>
      <w:r>
        <w:rPr>
          <w:rFonts w:ascii="Arial" w:cs="Arial" w:eastAsia="Arial" w:hAnsi="Arial"/>
          <w:sz w:val="14"/>
          <w:szCs w:val="14"/>
          <w:i w:val="1"/>
          <w:iCs w:val="1"/>
          <w:color w:val="auto"/>
        </w:rPr>
        <w:t xml:space="preserve"> SnackWell's </w:t>
      </w:r>
      <w:r>
        <w:rPr>
          <w:rFonts w:ascii="Arial" w:cs="Arial" w:eastAsia="Arial" w:hAnsi="Arial"/>
          <w:sz w:val="14"/>
          <w:szCs w:val="14"/>
          <w:color w:val="auto"/>
        </w:rPr>
        <w:t>cookies;</w:t>
      </w:r>
      <w:r>
        <w:rPr>
          <w:rFonts w:ascii="Arial" w:cs="Arial" w:eastAsia="Arial" w:hAnsi="Arial"/>
          <w:sz w:val="14"/>
          <w:szCs w:val="14"/>
          <w:i w:val="1"/>
          <w:iCs w:val="1"/>
          <w:color w:val="auto"/>
        </w:rPr>
        <w:t xml:space="preserve"> Ritz</w:t>
      </w:r>
      <w:r>
        <w:rPr>
          <w:rFonts w:ascii="Arial" w:cs="Arial" w:eastAsia="Arial" w:hAnsi="Arial"/>
          <w:sz w:val="14"/>
          <w:szCs w:val="14"/>
          <w:color w:val="auto"/>
        </w:rPr>
        <w:t>,</w:t>
      </w:r>
      <w:r>
        <w:rPr>
          <w:rFonts w:ascii="Arial" w:cs="Arial" w:eastAsia="Arial" w:hAnsi="Arial"/>
          <w:sz w:val="14"/>
          <w:szCs w:val="14"/>
          <w:i w:val="1"/>
          <w:iCs w:val="1"/>
          <w:color w:val="auto"/>
        </w:rPr>
        <w:t xml:space="preserve"> Premium</w:t>
      </w:r>
      <w:r>
        <w:rPr>
          <w:rFonts w:ascii="Arial" w:cs="Arial" w:eastAsia="Arial" w:hAnsi="Arial"/>
          <w:sz w:val="14"/>
          <w:szCs w:val="14"/>
          <w:color w:val="auto"/>
        </w:rPr>
        <w:t>,</w:t>
      </w:r>
      <w:r>
        <w:rPr>
          <w:rFonts w:ascii="Arial" w:cs="Arial" w:eastAsia="Arial" w:hAnsi="Arial"/>
          <w:sz w:val="14"/>
          <w:szCs w:val="14"/>
          <w:i w:val="1"/>
          <w:iCs w:val="1"/>
          <w:color w:val="auto"/>
        </w:rPr>
        <w:t xml:space="preserve"> Triscuit</w:t>
      </w:r>
      <w:r>
        <w:rPr>
          <w:rFonts w:ascii="Arial" w:cs="Arial" w:eastAsia="Arial" w:hAnsi="Arial"/>
          <w:sz w:val="14"/>
          <w:szCs w:val="14"/>
          <w:color w:val="auto"/>
        </w:rPr>
        <w:t>,</w:t>
      </w:r>
      <w:r>
        <w:rPr>
          <w:rFonts w:ascii="Arial" w:cs="Arial" w:eastAsia="Arial" w:hAnsi="Arial"/>
          <w:sz w:val="14"/>
          <w:szCs w:val="14"/>
          <w:i w:val="1"/>
          <w:iCs w:val="1"/>
          <w:color w:val="auto"/>
        </w:rPr>
        <w:t xml:space="preserve"> Wheat Thins</w:t>
      </w:r>
      <w:r>
        <w:rPr>
          <w:rFonts w:ascii="Arial" w:cs="Arial" w:eastAsia="Arial" w:hAnsi="Arial"/>
          <w:sz w:val="14"/>
          <w:szCs w:val="14"/>
          <w:color w:val="auto"/>
        </w:rPr>
        <w:t>,</w:t>
      </w:r>
      <w:r>
        <w:rPr>
          <w:rFonts w:ascii="Arial" w:cs="Arial" w:eastAsia="Arial" w:hAnsi="Arial"/>
          <w:sz w:val="14"/>
          <w:szCs w:val="14"/>
          <w:i w:val="1"/>
          <w:iCs w:val="1"/>
          <w:color w:val="auto"/>
        </w:rPr>
        <w:t xml:space="preserve"> Cheese Nips</w:t>
      </w:r>
      <w:r>
        <w:rPr>
          <w:rFonts w:ascii="Arial" w:cs="Arial" w:eastAsia="Arial" w:hAnsi="Arial"/>
          <w:sz w:val="14"/>
          <w:szCs w:val="14"/>
          <w:color w:val="auto"/>
        </w:rPr>
        <w:t>,</w:t>
      </w:r>
      <w:r>
        <w:rPr>
          <w:rFonts w:ascii="Arial" w:cs="Arial" w:eastAsia="Arial" w:hAnsi="Arial"/>
          <w:sz w:val="14"/>
          <w:szCs w:val="14"/>
          <w:i w:val="1"/>
          <w:iCs w:val="1"/>
          <w:color w:val="auto"/>
        </w:rPr>
        <w:t xml:space="preserve"> Better Cheddars</w:t>
      </w:r>
      <w:r>
        <w:rPr>
          <w:rFonts w:ascii="Arial" w:cs="Arial" w:eastAsia="Arial" w:hAnsi="Arial"/>
          <w:sz w:val="14"/>
          <w:szCs w:val="14"/>
          <w:color w:val="auto"/>
        </w:rPr>
        <w:t>,</w:t>
      </w:r>
      <w:r>
        <w:rPr>
          <w:rFonts w:ascii="Arial" w:cs="Arial" w:eastAsia="Arial" w:hAnsi="Arial"/>
          <w:sz w:val="14"/>
          <w:szCs w:val="14"/>
          <w:i w:val="1"/>
          <w:iCs w:val="1"/>
          <w:color w:val="auto"/>
        </w:rPr>
        <w:t xml:space="preserve"> Honey Maid Grahams </w:t>
      </w:r>
      <w:r>
        <w:rPr>
          <w:rFonts w:ascii="Arial" w:cs="Arial" w:eastAsia="Arial" w:hAnsi="Arial"/>
          <w:sz w:val="14"/>
          <w:szCs w:val="14"/>
          <w:color w:val="auto"/>
        </w:rPr>
        <w:t>and</w:t>
      </w:r>
      <w:r>
        <w:rPr>
          <w:rFonts w:ascii="Arial" w:cs="Arial" w:eastAsia="Arial" w:hAnsi="Arial"/>
          <w:sz w:val="14"/>
          <w:szCs w:val="14"/>
          <w:i w:val="1"/>
          <w:iCs w:val="1"/>
          <w:color w:val="auto"/>
        </w:rPr>
        <w:t xml:space="preserve"> Teddy Grahams </w:t>
      </w:r>
      <w:r>
        <w:rPr>
          <w:rFonts w:ascii="Arial" w:cs="Arial" w:eastAsia="Arial" w:hAnsi="Arial"/>
          <w:sz w:val="14"/>
          <w:szCs w:val="14"/>
          <w:color w:val="auto"/>
        </w:rPr>
        <w:t>crackers;</w:t>
      </w:r>
      <w:r>
        <w:rPr>
          <w:rFonts w:ascii="Arial" w:cs="Arial" w:eastAsia="Arial" w:hAnsi="Arial"/>
          <w:sz w:val="14"/>
          <w:szCs w:val="14"/>
          <w:i w:val="1"/>
          <w:iCs w:val="1"/>
          <w:color w:val="auto"/>
        </w:rPr>
        <w:t xml:space="preserve"> Planters </w:t>
      </w:r>
      <w:r>
        <w:rPr>
          <w:rFonts w:ascii="Arial" w:cs="Arial" w:eastAsia="Arial" w:hAnsi="Arial"/>
          <w:sz w:val="14"/>
          <w:szCs w:val="14"/>
          <w:color w:val="auto"/>
        </w:rPr>
        <w:t>nuts and salted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snacks; </w:t>
      </w:r>
      <w:r>
        <w:rPr>
          <w:rFonts w:ascii="Arial" w:cs="Arial" w:eastAsia="Arial" w:hAnsi="Arial"/>
          <w:sz w:val="14"/>
          <w:szCs w:val="14"/>
          <w:i w:val="1"/>
          <w:iCs w:val="1"/>
          <w:color w:val="auto"/>
        </w:rPr>
        <w:t>Handi-Snacks</w:t>
      </w:r>
      <w:r>
        <w:rPr>
          <w:rFonts w:ascii="Arial" w:cs="Arial" w:eastAsia="Arial" w:hAnsi="Arial"/>
          <w:sz w:val="14"/>
          <w:szCs w:val="14"/>
          <w:color w:val="auto"/>
        </w:rPr>
        <w:t xml:space="preserve"> two compartment snacks; </w:t>
      </w:r>
      <w:r>
        <w:rPr>
          <w:rFonts w:ascii="Arial" w:cs="Arial" w:eastAsia="Arial" w:hAnsi="Arial"/>
          <w:sz w:val="14"/>
          <w:szCs w:val="14"/>
          <w:i w:val="1"/>
          <w:iCs w:val="1"/>
          <w:color w:val="auto"/>
        </w:rPr>
        <w:t>Life Savers</w:t>
      </w:r>
      <w:r>
        <w:rPr>
          <w:rFonts w:ascii="Arial" w:cs="Arial" w:eastAsia="Arial" w:hAnsi="Arial"/>
          <w:sz w:val="14"/>
          <w:szCs w:val="14"/>
          <w:color w:val="auto"/>
        </w:rPr>
        <w:t xml:space="preserve">, </w:t>
      </w:r>
      <w:r>
        <w:rPr>
          <w:rFonts w:ascii="Arial" w:cs="Arial" w:eastAsia="Arial" w:hAnsi="Arial"/>
          <w:sz w:val="14"/>
          <w:szCs w:val="14"/>
          <w:i w:val="1"/>
          <w:iCs w:val="1"/>
          <w:color w:val="auto"/>
        </w:rPr>
        <w:t>Creme Savers</w:t>
      </w:r>
      <w:r>
        <w:rPr>
          <w:rFonts w:ascii="Arial" w:cs="Arial" w:eastAsia="Arial" w:hAnsi="Arial"/>
          <w:sz w:val="14"/>
          <w:szCs w:val="14"/>
          <w:color w:val="auto"/>
        </w:rPr>
        <w:t xml:space="preserve">, </w:t>
      </w:r>
      <w:r>
        <w:rPr>
          <w:rFonts w:ascii="Arial" w:cs="Arial" w:eastAsia="Arial" w:hAnsi="Arial"/>
          <w:sz w:val="14"/>
          <w:szCs w:val="14"/>
          <w:i w:val="1"/>
          <w:iCs w:val="1"/>
          <w:color w:val="auto"/>
        </w:rPr>
        <w:t>Altoids</w:t>
      </w:r>
      <w:r>
        <w:rPr>
          <w:rFonts w:ascii="Arial" w:cs="Arial" w:eastAsia="Arial" w:hAnsi="Arial"/>
          <w:sz w:val="14"/>
          <w:szCs w:val="14"/>
          <w:color w:val="auto"/>
        </w:rPr>
        <w:t xml:space="preserve">, </w:t>
      </w:r>
      <w:r>
        <w:rPr>
          <w:rFonts w:ascii="Arial" w:cs="Arial" w:eastAsia="Arial" w:hAnsi="Arial"/>
          <w:sz w:val="14"/>
          <w:szCs w:val="14"/>
          <w:i w:val="1"/>
          <w:iCs w:val="1"/>
          <w:color w:val="auto"/>
        </w:rPr>
        <w:t>Gummi Savers</w:t>
      </w:r>
      <w:r>
        <w:rPr>
          <w:rFonts w:ascii="Arial" w:cs="Arial" w:eastAsia="Arial" w:hAnsi="Arial"/>
          <w:sz w:val="14"/>
          <w:szCs w:val="14"/>
          <w:color w:val="auto"/>
        </w:rPr>
        <w:t xml:space="preserve"> and </w:t>
      </w:r>
      <w:r>
        <w:rPr>
          <w:rFonts w:ascii="Arial" w:cs="Arial" w:eastAsia="Arial" w:hAnsi="Arial"/>
          <w:sz w:val="14"/>
          <w:szCs w:val="14"/>
          <w:i w:val="1"/>
          <w:iCs w:val="1"/>
          <w:color w:val="auto"/>
        </w:rPr>
        <w:t>Fruit Snacks</w:t>
      </w:r>
      <w:r>
        <w:rPr>
          <w:rFonts w:ascii="Arial" w:cs="Arial" w:eastAsia="Arial" w:hAnsi="Arial"/>
          <w:sz w:val="14"/>
          <w:szCs w:val="14"/>
          <w:color w:val="auto"/>
        </w:rPr>
        <w:t xml:space="preserve"> sugar confectionery products; and </w:t>
      </w:r>
      <w:r>
        <w:rPr>
          <w:rFonts w:ascii="Arial" w:cs="Arial" w:eastAsia="Arial" w:hAnsi="Arial"/>
          <w:sz w:val="14"/>
          <w:szCs w:val="14"/>
          <w:i w:val="1"/>
          <w:iCs w:val="1"/>
          <w:color w:val="auto"/>
        </w:rPr>
        <w:t>Terry's</w:t>
      </w:r>
      <w:r>
        <w:rPr>
          <w:rFonts w:ascii="Arial" w:cs="Arial" w:eastAsia="Arial" w:hAnsi="Arial"/>
          <w:sz w:val="14"/>
          <w:szCs w:val="14"/>
          <w:color w:val="auto"/>
        </w:rPr>
        <w:t xml:space="preserve"> and </w:t>
      </w:r>
      <w:r>
        <w:rPr>
          <w:rFonts w:ascii="Arial" w:cs="Arial" w:eastAsia="Arial" w:hAnsi="Arial"/>
          <w:sz w:val="14"/>
          <w:szCs w:val="14"/>
          <w:i w:val="1"/>
          <w:iCs w:val="1"/>
          <w:color w:val="auto"/>
        </w:rPr>
        <w:t>Toblerone</w:t>
      </w:r>
      <w:r>
        <w:rPr>
          <w:rFonts w:ascii="Arial" w:cs="Arial" w:eastAsia="Arial" w:hAnsi="Arial"/>
          <w:sz w:val="14"/>
          <w:szCs w:val="14"/>
          <w:color w:val="auto"/>
        </w:rPr>
        <w:t xml:space="preserve"> chocolate confectionery products.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Milk-Bone </w:t>
      </w:r>
      <w:r>
        <w:rPr>
          <w:rFonts w:ascii="Arial" w:cs="Arial" w:eastAsia="Arial" w:hAnsi="Arial"/>
          <w:sz w:val="15"/>
          <w:szCs w:val="15"/>
          <w:color w:val="auto"/>
        </w:rPr>
        <w:t>pet snacks.</w:t>
      </w:r>
    </w:p>
    <w:p>
      <w:pPr>
        <w:spacing w:after="0" w:line="200" w:lineRule="exact"/>
        <w:rPr>
          <w:sz w:val="20"/>
          <w:szCs w:val="20"/>
          <w:color w:val="auto"/>
        </w:rPr>
      </w:pPr>
    </w:p>
    <w:p>
      <w:pPr>
        <w:spacing w:after="0" w:line="396" w:lineRule="exact"/>
        <w:rPr>
          <w:sz w:val="20"/>
          <w:szCs w:val="20"/>
          <w:color w:val="auto"/>
        </w:rPr>
      </w:pPr>
    </w:p>
    <w:p>
      <w:pPr>
        <w:ind w:right="280"/>
        <w:spacing w:after="0" w:line="271" w:lineRule="auto"/>
        <w:rPr>
          <w:sz w:val="20"/>
          <w:szCs w:val="20"/>
          <w:color w:val="auto"/>
        </w:rPr>
      </w:pPr>
      <w:r>
        <w:rPr>
          <w:rFonts w:ascii="Arial" w:cs="Arial" w:eastAsia="Arial" w:hAnsi="Arial"/>
          <w:sz w:val="15"/>
          <w:szCs w:val="15"/>
          <w:i w:val="1"/>
          <w:iCs w:val="1"/>
          <w:color w:val="auto"/>
        </w:rPr>
        <w:t xml:space="preserve">Balance </w:t>
      </w:r>
      <w:r>
        <w:rPr>
          <w:rFonts w:ascii="Arial" w:cs="Arial" w:eastAsia="Arial" w:hAnsi="Arial"/>
          <w:sz w:val="15"/>
          <w:szCs w:val="15"/>
          <w:color w:val="auto"/>
        </w:rPr>
        <w:t>nutrition and energy snacks;</w:t>
      </w:r>
      <w:r>
        <w:rPr>
          <w:rFonts w:ascii="Arial" w:cs="Arial" w:eastAsia="Arial" w:hAnsi="Arial"/>
          <w:sz w:val="15"/>
          <w:szCs w:val="15"/>
          <w:i w:val="1"/>
          <w:iCs w:val="1"/>
          <w:color w:val="auto"/>
        </w:rPr>
        <w:t xml:space="preserve"> Jell-O </w:t>
      </w:r>
      <w:r>
        <w:rPr>
          <w:rFonts w:ascii="Arial" w:cs="Arial" w:eastAsia="Arial" w:hAnsi="Arial"/>
          <w:sz w:val="15"/>
          <w:szCs w:val="15"/>
          <w:color w:val="auto"/>
        </w:rPr>
        <w:t>refrigerated gelatin and pudding snacks; and</w:t>
      </w:r>
      <w:r>
        <w:rPr>
          <w:rFonts w:ascii="Arial" w:cs="Arial" w:eastAsia="Arial" w:hAnsi="Arial"/>
          <w:sz w:val="15"/>
          <w:szCs w:val="15"/>
          <w:i w:val="1"/>
          <w:iCs w:val="1"/>
          <w:color w:val="auto"/>
        </w:rPr>
        <w:t xml:space="preserve"> Handi-Snacks </w:t>
      </w:r>
      <w:r>
        <w:rPr>
          <w:rFonts w:ascii="Arial" w:cs="Arial" w:eastAsia="Arial" w:hAnsi="Arial"/>
          <w:sz w:val="15"/>
          <w:szCs w:val="15"/>
          <w:color w:val="auto"/>
        </w:rPr>
        <w:t>shelf-stable</w:t>
      </w:r>
      <w:r>
        <w:rPr>
          <w:rFonts w:ascii="Arial" w:cs="Arial" w:eastAsia="Arial" w:hAnsi="Arial"/>
          <w:sz w:val="15"/>
          <w:szCs w:val="15"/>
          <w:i w:val="1"/>
          <w:iCs w:val="1"/>
          <w:color w:val="auto"/>
        </w:rPr>
        <w:t xml:space="preserve"> </w:t>
      </w:r>
      <w:r>
        <w:rPr>
          <w:rFonts w:ascii="Arial" w:cs="Arial" w:eastAsia="Arial" w:hAnsi="Arial"/>
          <w:sz w:val="15"/>
          <w:szCs w:val="15"/>
          <w:color w:val="auto"/>
        </w:rPr>
        <w:t>pudding snacks.</w:t>
      </w:r>
    </w:p>
    <w:p>
      <w:pPr>
        <w:spacing w:after="0" w:line="175" w:lineRule="exact"/>
        <w:rPr>
          <w:sz w:val="20"/>
          <w:szCs w:val="20"/>
          <w:color w:val="auto"/>
        </w:rPr>
      </w:pPr>
    </w:p>
    <w:p>
      <w:pPr>
        <w:ind w:right="100"/>
        <w:spacing w:after="0" w:line="261" w:lineRule="auto"/>
        <w:rPr>
          <w:sz w:val="20"/>
          <w:szCs w:val="20"/>
          <w:color w:val="auto"/>
        </w:rPr>
      </w:pPr>
      <w:r>
        <w:rPr>
          <w:rFonts w:ascii="Arial" w:cs="Arial" w:eastAsia="Arial" w:hAnsi="Arial"/>
          <w:sz w:val="15"/>
          <w:szCs w:val="15"/>
          <w:i w:val="1"/>
          <w:iCs w:val="1"/>
          <w:color w:val="auto"/>
        </w:rPr>
        <w:t>Maxwell House</w:t>
      </w:r>
      <w:r>
        <w:rPr>
          <w:rFonts w:ascii="Arial" w:cs="Arial" w:eastAsia="Arial" w:hAnsi="Arial"/>
          <w:sz w:val="15"/>
          <w:szCs w:val="15"/>
          <w:color w:val="auto"/>
        </w:rPr>
        <w:t>,</w:t>
      </w:r>
      <w:r>
        <w:rPr>
          <w:rFonts w:ascii="Arial" w:cs="Arial" w:eastAsia="Arial" w:hAnsi="Arial"/>
          <w:sz w:val="15"/>
          <w:szCs w:val="15"/>
          <w:i w:val="1"/>
          <w:iCs w:val="1"/>
          <w:color w:val="auto"/>
        </w:rPr>
        <w:t xml:space="preserve"> General Foods International Coffees</w:t>
      </w:r>
      <w:r>
        <w:rPr>
          <w:rFonts w:ascii="Arial" w:cs="Arial" w:eastAsia="Arial" w:hAnsi="Arial"/>
          <w:sz w:val="15"/>
          <w:szCs w:val="15"/>
          <w:color w:val="auto"/>
        </w:rPr>
        <w:t>,</w:t>
      </w:r>
      <w:r>
        <w:rPr>
          <w:rFonts w:ascii="Arial" w:cs="Arial" w:eastAsia="Arial" w:hAnsi="Arial"/>
          <w:sz w:val="15"/>
          <w:szCs w:val="15"/>
          <w:i w:val="1"/>
          <w:iCs w:val="1"/>
          <w:color w:val="auto"/>
        </w:rPr>
        <w:t xml:space="preserve"> Starbucks</w:t>
      </w:r>
      <w:r>
        <w:rPr>
          <w:rFonts w:ascii="Arial" w:cs="Arial" w:eastAsia="Arial" w:hAnsi="Arial"/>
          <w:sz w:val="15"/>
          <w:szCs w:val="15"/>
          <w:color w:val="auto"/>
        </w:rPr>
        <w:t>,</w:t>
      </w:r>
      <w:r>
        <w:rPr>
          <w:rFonts w:ascii="Arial" w:cs="Arial" w:eastAsia="Arial" w:hAnsi="Arial"/>
          <w:sz w:val="15"/>
          <w:szCs w:val="15"/>
          <w:i w:val="1"/>
          <w:iCs w:val="1"/>
          <w:color w:val="auto"/>
        </w:rPr>
        <w:t xml:space="preserve"> Yuban</w:t>
      </w:r>
      <w:r>
        <w:rPr>
          <w:rFonts w:ascii="Arial" w:cs="Arial" w:eastAsia="Arial" w:hAnsi="Arial"/>
          <w:sz w:val="15"/>
          <w:szCs w:val="15"/>
          <w:color w:val="auto"/>
        </w:rPr>
        <w:t>,</w:t>
      </w:r>
      <w:r>
        <w:rPr>
          <w:rFonts w:ascii="Arial" w:cs="Arial" w:eastAsia="Arial" w:hAnsi="Arial"/>
          <w:sz w:val="15"/>
          <w:szCs w:val="15"/>
          <w:i w:val="1"/>
          <w:iCs w:val="1"/>
          <w:color w:val="auto"/>
        </w:rPr>
        <w:t xml:space="preserve"> Sanka </w:t>
      </w:r>
      <w:r>
        <w:rPr>
          <w:rFonts w:ascii="Arial" w:cs="Arial" w:eastAsia="Arial" w:hAnsi="Arial"/>
          <w:sz w:val="15"/>
          <w:szCs w:val="15"/>
          <w:color w:val="auto"/>
        </w:rPr>
        <w:t>and</w:t>
      </w:r>
      <w:r>
        <w:rPr>
          <w:rFonts w:ascii="Arial" w:cs="Arial" w:eastAsia="Arial" w:hAnsi="Arial"/>
          <w:sz w:val="15"/>
          <w:szCs w:val="15"/>
          <w:i w:val="1"/>
          <w:iCs w:val="1"/>
          <w:color w:val="auto"/>
        </w:rPr>
        <w:t xml:space="preserve"> Gevalia </w:t>
      </w:r>
      <w:r>
        <w:rPr>
          <w:rFonts w:ascii="Arial" w:cs="Arial" w:eastAsia="Arial" w:hAnsi="Arial"/>
          <w:sz w:val="15"/>
          <w:szCs w:val="15"/>
          <w:color w:val="auto"/>
        </w:rPr>
        <w:t>coffees;</w:t>
      </w:r>
      <w:r>
        <w:rPr>
          <w:rFonts w:ascii="Arial" w:cs="Arial" w:eastAsia="Arial" w:hAnsi="Arial"/>
          <w:sz w:val="15"/>
          <w:szCs w:val="15"/>
          <w:i w:val="1"/>
          <w:iCs w:val="1"/>
          <w:color w:val="auto"/>
        </w:rPr>
        <w:t xml:space="preserve"> Capri Sun</w:t>
      </w:r>
      <w:r>
        <w:rPr>
          <w:rFonts w:ascii="Arial" w:cs="Arial" w:eastAsia="Arial" w:hAnsi="Arial"/>
          <w:sz w:val="15"/>
          <w:szCs w:val="15"/>
          <w:color w:val="auto"/>
        </w:rPr>
        <w:t>,</w:t>
      </w:r>
      <w:r>
        <w:rPr>
          <w:rFonts w:ascii="Arial" w:cs="Arial" w:eastAsia="Arial" w:hAnsi="Arial"/>
          <w:sz w:val="15"/>
          <w:szCs w:val="15"/>
          <w:i w:val="1"/>
          <w:iCs w:val="1"/>
          <w:color w:val="auto"/>
        </w:rPr>
        <w:t xml:space="preserve"> Kool-Aid</w:t>
      </w:r>
      <w:r>
        <w:rPr>
          <w:rFonts w:ascii="Arial" w:cs="Arial" w:eastAsia="Arial" w:hAnsi="Arial"/>
          <w:sz w:val="15"/>
          <w:szCs w:val="15"/>
          <w:color w:val="auto"/>
        </w:rPr>
        <w:t>,</w:t>
      </w:r>
      <w:r>
        <w:rPr>
          <w:rFonts w:ascii="Arial" w:cs="Arial" w:eastAsia="Arial" w:hAnsi="Arial"/>
          <w:sz w:val="15"/>
          <w:szCs w:val="15"/>
          <w:i w:val="1"/>
          <w:iCs w:val="1"/>
          <w:color w:val="auto"/>
        </w:rPr>
        <w:t xml:space="preserve"> Tang </w:t>
      </w:r>
      <w:r>
        <w:rPr>
          <w:rFonts w:ascii="Arial" w:cs="Arial" w:eastAsia="Arial" w:hAnsi="Arial"/>
          <w:sz w:val="15"/>
          <w:szCs w:val="15"/>
          <w:color w:val="auto"/>
        </w:rPr>
        <w:t>and</w:t>
      </w:r>
      <w:r>
        <w:rPr>
          <w:rFonts w:ascii="Arial" w:cs="Arial" w:eastAsia="Arial" w:hAnsi="Arial"/>
          <w:sz w:val="15"/>
          <w:szCs w:val="15"/>
          <w:i w:val="1"/>
          <w:iCs w:val="1"/>
          <w:color w:val="auto"/>
        </w:rPr>
        <w:t xml:space="preserve"> Crystal Light </w:t>
      </w:r>
      <w:r>
        <w:rPr>
          <w:rFonts w:ascii="Arial" w:cs="Arial" w:eastAsia="Arial" w:hAnsi="Arial"/>
          <w:sz w:val="15"/>
          <w:szCs w:val="15"/>
          <w:color w:val="auto"/>
        </w:rPr>
        <w:t>aseptic juice drinks; and</w:t>
      </w:r>
      <w:r>
        <w:rPr>
          <w:rFonts w:ascii="Arial" w:cs="Arial" w:eastAsia="Arial" w:hAnsi="Arial"/>
          <w:sz w:val="15"/>
          <w:szCs w:val="15"/>
          <w:i w:val="1"/>
          <w:iCs w:val="1"/>
          <w:color w:val="auto"/>
        </w:rPr>
        <w:t xml:space="preserve"> Kool-Aid</w:t>
      </w:r>
      <w:r>
        <w:rPr>
          <w:rFonts w:ascii="Arial" w:cs="Arial" w:eastAsia="Arial" w:hAnsi="Arial"/>
          <w:sz w:val="15"/>
          <w:szCs w:val="15"/>
          <w:color w:val="auto"/>
        </w:rPr>
        <w:t>,</w:t>
      </w:r>
      <w:r>
        <w:rPr>
          <w:rFonts w:ascii="Arial" w:cs="Arial" w:eastAsia="Arial" w:hAnsi="Arial"/>
          <w:sz w:val="15"/>
          <w:szCs w:val="15"/>
          <w:i w:val="1"/>
          <w:iCs w:val="1"/>
          <w:color w:val="auto"/>
        </w:rPr>
        <w:t xml:space="preserve"> Tang</w:t>
      </w:r>
      <w:r>
        <w:rPr>
          <w:rFonts w:ascii="Arial" w:cs="Arial" w:eastAsia="Arial" w:hAnsi="Arial"/>
          <w:sz w:val="15"/>
          <w:szCs w:val="15"/>
          <w:color w:val="auto"/>
        </w:rPr>
        <w:t>,</w:t>
      </w:r>
      <w:r>
        <w:rPr>
          <w:rFonts w:ascii="Arial" w:cs="Arial" w:eastAsia="Arial" w:hAnsi="Arial"/>
          <w:sz w:val="15"/>
          <w:szCs w:val="15"/>
          <w:i w:val="1"/>
          <w:iCs w:val="1"/>
          <w:color w:val="auto"/>
        </w:rPr>
        <w:t xml:space="preserve"> Capri Sun</w:t>
      </w:r>
      <w:r>
        <w:rPr>
          <w:rFonts w:ascii="Arial" w:cs="Arial" w:eastAsia="Arial" w:hAnsi="Arial"/>
          <w:sz w:val="15"/>
          <w:szCs w:val="15"/>
          <w:color w:val="auto"/>
        </w:rPr>
        <w:t>,</w:t>
      </w:r>
      <w:r>
        <w:rPr>
          <w:rFonts w:ascii="Arial" w:cs="Arial" w:eastAsia="Arial" w:hAnsi="Arial"/>
          <w:sz w:val="15"/>
          <w:szCs w:val="15"/>
          <w:i w:val="1"/>
          <w:iCs w:val="1"/>
          <w:color w:val="auto"/>
        </w:rPr>
        <w:t xml:space="preserve"> Crystal Light </w:t>
      </w:r>
      <w:r>
        <w:rPr>
          <w:rFonts w:ascii="Arial" w:cs="Arial" w:eastAsia="Arial" w:hAnsi="Arial"/>
          <w:sz w:val="15"/>
          <w:szCs w:val="15"/>
          <w:color w:val="auto"/>
        </w:rPr>
        <w:t>and</w:t>
      </w:r>
      <w:r>
        <w:rPr>
          <w:rFonts w:ascii="Arial" w:cs="Arial" w:eastAsia="Arial" w:hAnsi="Arial"/>
          <w:sz w:val="15"/>
          <w:szCs w:val="15"/>
          <w:i w:val="1"/>
          <w:iCs w:val="1"/>
          <w:color w:val="auto"/>
        </w:rPr>
        <w:t xml:space="preserve"> Country Time </w:t>
      </w:r>
      <w:r>
        <w:rPr>
          <w:rFonts w:ascii="Arial" w:cs="Arial" w:eastAsia="Arial" w:hAnsi="Arial"/>
          <w:sz w:val="15"/>
          <w:szCs w:val="15"/>
          <w:color w:val="auto"/>
        </w:rPr>
        <w:t>powdered beverages.</w:t>
      </w:r>
    </w:p>
    <w:p>
      <w:pPr>
        <w:spacing w:after="0" w:line="183" w:lineRule="exact"/>
        <w:rPr>
          <w:sz w:val="20"/>
          <w:szCs w:val="20"/>
          <w:color w:val="auto"/>
        </w:rPr>
      </w:pPr>
    </w:p>
    <w:p>
      <w:pPr>
        <w:ind w:right="180"/>
        <w:spacing w:after="0" w:line="271" w:lineRule="auto"/>
        <w:rPr>
          <w:sz w:val="20"/>
          <w:szCs w:val="20"/>
          <w:color w:val="auto"/>
        </w:rPr>
      </w:pPr>
      <w:r>
        <w:rPr>
          <w:rFonts w:ascii="Arial" w:cs="Arial" w:eastAsia="Arial" w:hAnsi="Arial"/>
          <w:sz w:val="15"/>
          <w:szCs w:val="15"/>
          <w:i w:val="1"/>
          <w:iCs w:val="1"/>
          <w:color w:val="auto"/>
        </w:rPr>
        <w:t xml:space="preserve">Jell-O </w:t>
      </w:r>
      <w:r>
        <w:rPr>
          <w:rFonts w:ascii="Arial" w:cs="Arial" w:eastAsia="Arial" w:hAnsi="Arial"/>
          <w:sz w:val="15"/>
          <w:szCs w:val="15"/>
          <w:color w:val="auto"/>
        </w:rPr>
        <w:t>dry packaged desserts;</w:t>
      </w:r>
      <w:r>
        <w:rPr>
          <w:rFonts w:ascii="Arial" w:cs="Arial" w:eastAsia="Arial" w:hAnsi="Arial"/>
          <w:sz w:val="15"/>
          <w:szCs w:val="15"/>
          <w:i w:val="1"/>
          <w:iCs w:val="1"/>
          <w:color w:val="auto"/>
        </w:rPr>
        <w:t xml:space="preserve"> Cool Whip </w:t>
      </w:r>
      <w:r>
        <w:rPr>
          <w:rFonts w:ascii="Arial" w:cs="Arial" w:eastAsia="Arial" w:hAnsi="Arial"/>
          <w:sz w:val="15"/>
          <w:szCs w:val="15"/>
          <w:color w:val="auto"/>
        </w:rPr>
        <w:t>frozen whipped topping;</w:t>
      </w:r>
      <w:r>
        <w:rPr>
          <w:rFonts w:ascii="Arial" w:cs="Arial" w:eastAsia="Arial" w:hAnsi="Arial"/>
          <w:sz w:val="15"/>
          <w:szCs w:val="15"/>
          <w:i w:val="1"/>
          <w:iCs w:val="1"/>
          <w:color w:val="auto"/>
        </w:rPr>
        <w:t xml:space="preserve"> Post </w:t>
      </w:r>
      <w:r>
        <w:rPr>
          <w:rFonts w:ascii="Arial" w:cs="Arial" w:eastAsia="Arial" w:hAnsi="Arial"/>
          <w:sz w:val="15"/>
          <w:szCs w:val="15"/>
          <w:color w:val="auto"/>
        </w:rPr>
        <w:t>ready-to-eat cereals; and</w:t>
      </w:r>
      <w:r>
        <w:rPr>
          <w:rFonts w:ascii="Arial" w:cs="Arial" w:eastAsia="Arial" w:hAnsi="Arial"/>
          <w:sz w:val="15"/>
          <w:szCs w:val="15"/>
          <w:i w:val="1"/>
          <w:iCs w:val="1"/>
          <w:color w:val="auto"/>
        </w:rPr>
        <w:t xml:space="preserve"> Cream of Wheat </w:t>
      </w:r>
      <w:r>
        <w:rPr>
          <w:rFonts w:ascii="Arial" w:cs="Arial" w:eastAsia="Arial" w:hAnsi="Arial"/>
          <w:sz w:val="15"/>
          <w:szCs w:val="15"/>
          <w:color w:val="auto"/>
        </w:rPr>
        <w:t>and</w:t>
      </w:r>
      <w:r>
        <w:rPr>
          <w:rFonts w:ascii="Arial" w:cs="Arial" w:eastAsia="Arial" w:hAnsi="Arial"/>
          <w:sz w:val="15"/>
          <w:szCs w:val="15"/>
          <w:i w:val="1"/>
          <w:iCs w:val="1"/>
          <w:color w:val="auto"/>
        </w:rPr>
        <w:t xml:space="preserve"> Cream of Rice </w:t>
      </w:r>
      <w:r>
        <w:rPr>
          <w:rFonts w:ascii="Arial" w:cs="Arial" w:eastAsia="Arial" w:hAnsi="Arial"/>
          <w:sz w:val="15"/>
          <w:szCs w:val="15"/>
          <w:color w:val="auto"/>
        </w:rPr>
        <w:t>hot cereals.</w:t>
      </w:r>
    </w:p>
    <w:p>
      <w:pPr>
        <w:spacing w:after="0" w:line="200" w:lineRule="exact"/>
        <w:rPr>
          <w:sz w:val="20"/>
          <w:szCs w:val="20"/>
          <w:color w:val="auto"/>
        </w:rPr>
      </w:pPr>
    </w:p>
    <w:p>
      <w:pPr>
        <w:spacing w:after="0" w:line="314"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121920</wp:posOffset>
            </wp:positionV>
            <wp:extent cx="7274560" cy="196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pacing w:after="0" w:line="200" w:lineRule="exact"/>
        <w:rPr>
          <w:sz w:val="20"/>
          <w:szCs w:val="20"/>
          <w:color w:val="auto"/>
        </w:rPr>
      </w:pPr>
    </w:p>
    <w:p>
      <w:pPr>
        <w:sectPr>
          <w:pgSz w:w="11900" w:h="16874" w:orient="portrait"/>
          <w:cols w:equalWidth="0" w:num="2">
            <w:col w:w="3620" w:space="720"/>
            <w:col w:w="7080"/>
          </w:cols>
          <w:pgMar w:left="240" w:top="132" w:right="239" w:bottom="0" w:gutter="0" w:footer="0" w:header="0"/>
        </w:sectPr>
      </w:pPr>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Oscar Mayer and Pizza</w:t>
      </w:r>
    </w:p>
    <w:p>
      <w:pPr>
        <w:spacing w:after="0" w:line="193" w:lineRule="exact"/>
        <w:rPr>
          <w:sz w:val="20"/>
          <w:szCs w:val="20"/>
          <w:color w:val="auto"/>
        </w:rPr>
      </w:pPr>
    </w:p>
    <w:p>
      <w:pPr>
        <w:ind w:left="220"/>
        <w:spacing w:after="0"/>
        <w:tabs>
          <w:tab w:leader="none" w:pos="4320" w:val="left"/>
        </w:tabs>
        <w:rPr>
          <w:sz w:val="20"/>
          <w:szCs w:val="20"/>
          <w:color w:val="auto"/>
        </w:rPr>
      </w:pPr>
      <w:r>
        <w:rPr>
          <w:rFonts w:ascii="Arial" w:cs="Arial" w:eastAsia="Arial" w:hAnsi="Arial"/>
          <w:sz w:val="15"/>
          <w:szCs w:val="15"/>
          <w:color w:val="auto"/>
        </w:rPr>
        <w:t>Convenient Meals:</w:t>
      </w:r>
      <w:r>
        <w:rPr>
          <w:sz w:val="20"/>
          <w:szCs w:val="20"/>
          <w:color w:val="auto"/>
        </w:rPr>
        <w:tab/>
      </w:r>
      <w:r>
        <w:rPr>
          <w:rFonts w:ascii="Arial" w:cs="Arial" w:eastAsia="Arial" w:hAnsi="Arial"/>
          <w:sz w:val="13"/>
          <w:szCs w:val="13"/>
          <w:i w:val="1"/>
          <w:iCs w:val="1"/>
          <w:color w:val="auto"/>
        </w:rPr>
        <w:t>DiGiorno</w:t>
      </w:r>
      <w:r>
        <w:rPr>
          <w:rFonts w:ascii="Arial" w:cs="Arial" w:eastAsia="Arial" w:hAnsi="Arial"/>
          <w:sz w:val="13"/>
          <w:szCs w:val="13"/>
          <w:color w:val="auto"/>
        </w:rPr>
        <w:t>,</w:t>
      </w:r>
      <w:r>
        <w:rPr>
          <w:rFonts w:ascii="Arial" w:cs="Arial" w:eastAsia="Arial" w:hAnsi="Arial"/>
          <w:sz w:val="13"/>
          <w:szCs w:val="13"/>
          <w:i w:val="1"/>
          <w:iCs w:val="1"/>
          <w:color w:val="auto"/>
        </w:rPr>
        <w:t xml:space="preserve"> Tombstone</w:t>
      </w:r>
      <w:r>
        <w:rPr>
          <w:rFonts w:ascii="Arial" w:cs="Arial" w:eastAsia="Arial" w:hAnsi="Arial"/>
          <w:sz w:val="13"/>
          <w:szCs w:val="13"/>
          <w:color w:val="auto"/>
        </w:rPr>
        <w:t>,</w:t>
      </w:r>
      <w:r>
        <w:rPr>
          <w:rFonts w:ascii="Arial" w:cs="Arial" w:eastAsia="Arial" w:hAnsi="Arial"/>
          <w:sz w:val="13"/>
          <w:szCs w:val="13"/>
          <w:i w:val="1"/>
          <w:iCs w:val="1"/>
          <w:color w:val="auto"/>
        </w:rPr>
        <w:t xml:space="preserve"> Jack's </w:t>
      </w:r>
      <w:r>
        <w:rPr>
          <w:rFonts w:ascii="Arial" w:cs="Arial" w:eastAsia="Arial" w:hAnsi="Arial"/>
          <w:sz w:val="13"/>
          <w:szCs w:val="13"/>
          <w:color w:val="auto"/>
        </w:rPr>
        <w:t>and</w:t>
      </w:r>
      <w:r>
        <w:rPr>
          <w:rFonts w:ascii="Arial" w:cs="Arial" w:eastAsia="Arial" w:hAnsi="Arial"/>
          <w:sz w:val="13"/>
          <w:szCs w:val="13"/>
          <w:i w:val="1"/>
          <w:iCs w:val="1"/>
          <w:color w:val="auto"/>
        </w:rPr>
        <w:t xml:space="preserve"> California Pizza Kitchen </w:t>
      </w:r>
      <w:r>
        <w:rPr>
          <w:rFonts w:ascii="Arial" w:cs="Arial" w:eastAsia="Arial" w:hAnsi="Arial"/>
          <w:sz w:val="13"/>
          <w:szCs w:val="13"/>
          <w:color w:val="auto"/>
        </w:rPr>
        <w:t>frozen pizzas;</w:t>
      </w:r>
      <w:r>
        <w:rPr>
          <w:rFonts w:ascii="Arial" w:cs="Arial" w:eastAsia="Arial" w:hAnsi="Arial"/>
          <w:sz w:val="13"/>
          <w:szCs w:val="13"/>
          <w:i w:val="1"/>
          <w:iCs w:val="1"/>
          <w:color w:val="auto"/>
        </w:rPr>
        <w:t xml:space="preserve"> Lunchables </w:t>
      </w:r>
      <w:r>
        <w:rPr>
          <w:rFonts w:ascii="Arial" w:cs="Arial" w:eastAsia="Arial" w:hAnsi="Arial"/>
          <w:sz w:val="13"/>
          <w:szCs w:val="13"/>
          <w:color w:val="auto"/>
        </w:rPr>
        <w:t>lunch combinations;</w:t>
      </w:r>
      <w:r>
        <w:rPr>
          <w:rFonts w:ascii="Arial" w:cs="Arial" w:eastAsia="Arial" w:hAnsi="Arial"/>
          <w:sz w:val="13"/>
          <w:szCs w:val="13"/>
          <w:i w:val="1"/>
          <w:iCs w:val="1"/>
          <w:color w:val="auto"/>
        </w:rPr>
        <w:t xml:space="preserve"> Oscar Mayer</w:t>
      </w:r>
    </w:p>
    <w:p>
      <w:pPr>
        <w:spacing w:after="0" w:line="37"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 xml:space="preserve">and </w:t>
      </w:r>
      <w:r>
        <w:rPr>
          <w:rFonts w:ascii="Arial" w:cs="Arial" w:eastAsia="Arial" w:hAnsi="Arial"/>
          <w:sz w:val="15"/>
          <w:szCs w:val="15"/>
          <w:i w:val="1"/>
          <w:iCs w:val="1"/>
          <w:color w:val="auto"/>
        </w:rPr>
        <w:t>Louis Rich</w:t>
      </w:r>
      <w:r>
        <w:rPr>
          <w:rFonts w:ascii="Arial" w:cs="Arial" w:eastAsia="Arial" w:hAnsi="Arial"/>
          <w:sz w:val="15"/>
          <w:szCs w:val="15"/>
          <w:color w:val="auto"/>
        </w:rPr>
        <w:t xml:space="preserve"> cold cuts, hot dogs and bacon; and </w:t>
      </w:r>
      <w:r>
        <w:rPr>
          <w:rFonts w:ascii="Arial" w:cs="Arial" w:eastAsia="Arial" w:hAnsi="Arial"/>
          <w:sz w:val="15"/>
          <w:szCs w:val="15"/>
          <w:i w:val="1"/>
          <w:iCs w:val="1"/>
          <w:color w:val="auto"/>
        </w:rPr>
        <w:t>Boca</w:t>
      </w:r>
      <w:r>
        <w:rPr>
          <w:rFonts w:ascii="Arial" w:cs="Arial" w:eastAsia="Arial" w:hAnsi="Arial"/>
          <w:sz w:val="15"/>
          <w:szCs w:val="15"/>
          <w:color w:val="auto"/>
        </w:rPr>
        <w:t xml:space="preserve"> soy-based meat alternatives.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Kraft Foods International:</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Europe, Middle East and Africa</w:t>
      </w:r>
    </w:p>
    <w:p>
      <w:pPr>
        <w:sectPr>
          <w:pgSz w:w="11900" w:h="16874" w:orient="portrait"/>
          <w:cols w:equalWidth="0" w:num="1">
            <w:col w:w="11420"/>
          </w:cols>
          <w:pgMar w:left="240" w:top="132" w:right="239" w:bottom="0" w:gutter="0" w:footer="0" w:header="0"/>
          <w:type w:val="continuous"/>
        </w:sectPr>
      </w:pPr>
    </w:p>
    <w:p>
      <w:pPr>
        <w:spacing w:after="0" w:line="19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Snacks:</w:t>
      </w:r>
    </w:p>
    <w:p>
      <w:pPr>
        <w:spacing w:after="0" w:line="393" w:lineRule="exact"/>
        <w:rPr>
          <w:sz w:val="20"/>
          <w:szCs w:val="20"/>
          <w:color w:val="auto"/>
        </w:rPr>
      </w:pPr>
    </w:p>
    <w:p>
      <w:pPr>
        <w:ind w:left="220"/>
        <w:spacing w:after="0"/>
        <w:rPr>
          <w:sz w:val="20"/>
          <w:szCs w:val="20"/>
          <w:color w:val="auto"/>
        </w:rPr>
      </w:pPr>
      <w:r>
        <w:rPr>
          <w:rFonts w:ascii="Arial" w:cs="Arial" w:eastAsia="Arial" w:hAnsi="Arial"/>
          <w:sz w:val="13"/>
          <w:szCs w:val="13"/>
          <w:color w:val="auto"/>
        </w:rPr>
        <w:t>Beverages: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280"/>
        <w:spacing w:after="0" w:line="350" w:lineRule="auto"/>
        <w:rPr>
          <w:sz w:val="20"/>
          <w:szCs w:val="20"/>
          <w:color w:val="auto"/>
        </w:rPr>
      </w:pPr>
      <w:r>
        <w:rPr>
          <w:rFonts w:ascii="Arial" w:cs="Arial" w:eastAsia="Arial" w:hAnsi="Arial"/>
          <w:sz w:val="13"/>
          <w:szCs w:val="13"/>
          <w:i w:val="1"/>
          <w:iCs w:val="1"/>
          <w:color w:val="auto"/>
        </w:rPr>
        <w:t>Milka</w:t>
      </w:r>
      <w:r>
        <w:rPr>
          <w:rFonts w:ascii="Arial" w:cs="Arial" w:eastAsia="Arial" w:hAnsi="Arial"/>
          <w:sz w:val="13"/>
          <w:szCs w:val="13"/>
          <w:color w:val="auto"/>
        </w:rPr>
        <w:t>,</w:t>
      </w:r>
      <w:r>
        <w:rPr>
          <w:rFonts w:ascii="Arial" w:cs="Arial" w:eastAsia="Arial" w:hAnsi="Arial"/>
          <w:sz w:val="13"/>
          <w:szCs w:val="13"/>
          <w:i w:val="1"/>
          <w:iCs w:val="1"/>
          <w:color w:val="auto"/>
        </w:rPr>
        <w:t xml:space="preserve"> Suchard</w:t>
      </w:r>
      <w:r>
        <w:rPr>
          <w:rFonts w:ascii="Arial" w:cs="Arial" w:eastAsia="Arial" w:hAnsi="Arial"/>
          <w:sz w:val="13"/>
          <w:szCs w:val="13"/>
          <w:color w:val="auto"/>
        </w:rPr>
        <w:t>,</w:t>
      </w:r>
      <w:r>
        <w:rPr>
          <w:rFonts w:ascii="Arial" w:cs="Arial" w:eastAsia="Arial" w:hAnsi="Arial"/>
          <w:sz w:val="13"/>
          <w:szCs w:val="13"/>
          <w:i w:val="1"/>
          <w:iCs w:val="1"/>
          <w:color w:val="auto"/>
        </w:rPr>
        <w:t xml:space="preserve"> Côte d'Or</w:t>
      </w:r>
      <w:r>
        <w:rPr>
          <w:rFonts w:ascii="Arial" w:cs="Arial" w:eastAsia="Arial" w:hAnsi="Arial"/>
          <w:sz w:val="13"/>
          <w:szCs w:val="13"/>
          <w:color w:val="auto"/>
        </w:rPr>
        <w:t>,</w:t>
      </w:r>
      <w:r>
        <w:rPr>
          <w:rFonts w:ascii="Arial" w:cs="Arial" w:eastAsia="Arial" w:hAnsi="Arial"/>
          <w:sz w:val="13"/>
          <w:szCs w:val="13"/>
          <w:i w:val="1"/>
          <w:iCs w:val="1"/>
          <w:color w:val="auto"/>
        </w:rPr>
        <w:t xml:space="preserve"> Marabou</w:t>
      </w:r>
      <w:r>
        <w:rPr>
          <w:rFonts w:ascii="Arial" w:cs="Arial" w:eastAsia="Arial" w:hAnsi="Arial"/>
          <w:sz w:val="13"/>
          <w:szCs w:val="13"/>
          <w:color w:val="auto"/>
        </w:rPr>
        <w:t>,</w:t>
      </w:r>
      <w:r>
        <w:rPr>
          <w:rFonts w:ascii="Arial" w:cs="Arial" w:eastAsia="Arial" w:hAnsi="Arial"/>
          <w:sz w:val="13"/>
          <w:szCs w:val="13"/>
          <w:i w:val="1"/>
          <w:iCs w:val="1"/>
          <w:color w:val="auto"/>
        </w:rPr>
        <w:t xml:space="preserve"> Toblerone</w:t>
      </w:r>
      <w:r>
        <w:rPr>
          <w:rFonts w:ascii="Arial" w:cs="Arial" w:eastAsia="Arial" w:hAnsi="Arial"/>
          <w:sz w:val="13"/>
          <w:szCs w:val="13"/>
          <w:color w:val="auto"/>
        </w:rPr>
        <w:t>,</w:t>
      </w:r>
      <w:r>
        <w:rPr>
          <w:rFonts w:ascii="Arial" w:cs="Arial" w:eastAsia="Arial" w:hAnsi="Arial"/>
          <w:sz w:val="13"/>
          <w:szCs w:val="13"/>
          <w:i w:val="1"/>
          <w:iCs w:val="1"/>
          <w:color w:val="auto"/>
        </w:rPr>
        <w:t xml:space="preserve"> Freia</w:t>
      </w:r>
      <w:r>
        <w:rPr>
          <w:rFonts w:ascii="Arial" w:cs="Arial" w:eastAsia="Arial" w:hAnsi="Arial"/>
          <w:sz w:val="13"/>
          <w:szCs w:val="13"/>
          <w:color w:val="auto"/>
        </w:rPr>
        <w:t>,</w:t>
      </w:r>
      <w:r>
        <w:rPr>
          <w:rFonts w:ascii="Arial" w:cs="Arial" w:eastAsia="Arial" w:hAnsi="Arial"/>
          <w:sz w:val="13"/>
          <w:szCs w:val="13"/>
          <w:i w:val="1"/>
          <w:iCs w:val="1"/>
          <w:color w:val="auto"/>
        </w:rPr>
        <w:t xml:space="preserve"> Terry's</w:t>
      </w:r>
      <w:r>
        <w:rPr>
          <w:rFonts w:ascii="Arial" w:cs="Arial" w:eastAsia="Arial" w:hAnsi="Arial"/>
          <w:sz w:val="13"/>
          <w:szCs w:val="13"/>
          <w:color w:val="auto"/>
        </w:rPr>
        <w:t>,</w:t>
      </w:r>
      <w:r>
        <w:rPr>
          <w:rFonts w:ascii="Arial" w:cs="Arial" w:eastAsia="Arial" w:hAnsi="Arial"/>
          <w:sz w:val="13"/>
          <w:szCs w:val="13"/>
          <w:i w:val="1"/>
          <w:iCs w:val="1"/>
          <w:color w:val="auto"/>
        </w:rPr>
        <w:t xml:space="preserve"> Daim</w:t>
      </w:r>
      <w:r>
        <w:rPr>
          <w:rFonts w:ascii="Arial" w:cs="Arial" w:eastAsia="Arial" w:hAnsi="Arial"/>
          <w:sz w:val="13"/>
          <w:szCs w:val="13"/>
          <w:color w:val="auto"/>
        </w:rPr>
        <w:t>,</w:t>
      </w:r>
      <w:r>
        <w:rPr>
          <w:rFonts w:ascii="Arial" w:cs="Arial" w:eastAsia="Arial" w:hAnsi="Arial"/>
          <w:sz w:val="13"/>
          <w:szCs w:val="13"/>
          <w:i w:val="1"/>
          <w:iCs w:val="1"/>
          <w:color w:val="auto"/>
        </w:rPr>
        <w:t xml:space="preserve"> Figaro</w:t>
      </w:r>
      <w:r>
        <w:rPr>
          <w:rFonts w:ascii="Arial" w:cs="Arial" w:eastAsia="Arial" w:hAnsi="Arial"/>
          <w:sz w:val="13"/>
          <w:szCs w:val="13"/>
          <w:color w:val="auto"/>
        </w:rPr>
        <w:t>,</w:t>
      </w:r>
      <w:r>
        <w:rPr>
          <w:rFonts w:ascii="Arial" w:cs="Arial" w:eastAsia="Arial" w:hAnsi="Arial"/>
          <w:sz w:val="13"/>
          <w:szCs w:val="13"/>
          <w:i w:val="1"/>
          <w:iCs w:val="1"/>
          <w:color w:val="auto"/>
        </w:rPr>
        <w:t xml:space="preserve"> Korona</w:t>
      </w:r>
      <w:r>
        <w:rPr>
          <w:rFonts w:ascii="Arial" w:cs="Arial" w:eastAsia="Arial" w:hAnsi="Arial"/>
          <w:sz w:val="13"/>
          <w:szCs w:val="13"/>
          <w:color w:val="auto"/>
        </w:rPr>
        <w:t>,</w:t>
      </w:r>
      <w:r>
        <w:rPr>
          <w:rFonts w:ascii="Arial" w:cs="Arial" w:eastAsia="Arial" w:hAnsi="Arial"/>
          <w:sz w:val="13"/>
          <w:szCs w:val="13"/>
          <w:i w:val="1"/>
          <w:iCs w:val="1"/>
          <w:color w:val="auto"/>
        </w:rPr>
        <w:t xml:space="preserve"> Poiana</w:t>
      </w:r>
      <w:r>
        <w:rPr>
          <w:rFonts w:ascii="Arial" w:cs="Arial" w:eastAsia="Arial" w:hAnsi="Arial"/>
          <w:sz w:val="13"/>
          <w:szCs w:val="13"/>
          <w:color w:val="auto"/>
        </w:rPr>
        <w:t>,</w:t>
      </w:r>
      <w:r>
        <w:rPr>
          <w:rFonts w:ascii="Arial" w:cs="Arial" w:eastAsia="Arial" w:hAnsi="Arial"/>
          <w:sz w:val="13"/>
          <w:szCs w:val="13"/>
          <w:i w:val="1"/>
          <w:iCs w:val="1"/>
          <w:color w:val="auto"/>
        </w:rPr>
        <w:t xml:space="preserve"> Prince Polo</w:t>
      </w:r>
      <w:r>
        <w:rPr>
          <w:rFonts w:ascii="Arial" w:cs="Arial" w:eastAsia="Arial" w:hAnsi="Arial"/>
          <w:sz w:val="13"/>
          <w:szCs w:val="13"/>
          <w:color w:val="auto"/>
        </w:rPr>
        <w:t>,</w:t>
      </w:r>
      <w:r>
        <w:rPr>
          <w:rFonts w:ascii="Arial" w:cs="Arial" w:eastAsia="Arial" w:hAnsi="Arial"/>
          <w:sz w:val="13"/>
          <w:szCs w:val="13"/>
          <w:i w:val="1"/>
          <w:iCs w:val="1"/>
          <w:color w:val="auto"/>
        </w:rPr>
        <w:t xml:space="preserve"> Alpen Gold </w:t>
      </w:r>
      <w:r>
        <w:rPr>
          <w:rFonts w:ascii="Arial" w:cs="Arial" w:eastAsia="Arial" w:hAnsi="Arial"/>
          <w:sz w:val="13"/>
          <w:szCs w:val="13"/>
          <w:color w:val="auto"/>
        </w:rPr>
        <w:t>and</w:t>
      </w:r>
      <w:r>
        <w:rPr>
          <w:rFonts w:ascii="Arial" w:cs="Arial" w:eastAsia="Arial" w:hAnsi="Arial"/>
          <w:sz w:val="13"/>
          <w:szCs w:val="13"/>
          <w:i w:val="1"/>
          <w:iCs w:val="1"/>
          <w:color w:val="auto"/>
        </w:rPr>
        <w:t xml:space="preserve"> Siesta </w:t>
      </w:r>
      <w:r>
        <w:rPr>
          <w:rFonts w:ascii="Arial" w:cs="Arial" w:eastAsia="Arial" w:hAnsi="Arial"/>
          <w:sz w:val="13"/>
          <w:szCs w:val="13"/>
          <w:color w:val="auto"/>
        </w:rPr>
        <w:t>chocolate confectionery products; and</w:t>
      </w:r>
      <w:r>
        <w:rPr>
          <w:rFonts w:ascii="Arial" w:cs="Arial" w:eastAsia="Arial" w:hAnsi="Arial"/>
          <w:sz w:val="13"/>
          <w:szCs w:val="13"/>
          <w:i w:val="1"/>
          <w:iCs w:val="1"/>
          <w:color w:val="auto"/>
        </w:rPr>
        <w:t xml:space="preserve"> Estrella</w:t>
      </w:r>
      <w:r>
        <w:rPr>
          <w:rFonts w:ascii="Arial" w:cs="Arial" w:eastAsia="Arial" w:hAnsi="Arial"/>
          <w:sz w:val="13"/>
          <w:szCs w:val="13"/>
          <w:color w:val="auto"/>
        </w:rPr>
        <w:t>,</w:t>
      </w:r>
      <w:r>
        <w:rPr>
          <w:rFonts w:ascii="Arial" w:cs="Arial" w:eastAsia="Arial" w:hAnsi="Arial"/>
          <w:sz w:val="13"/>
          <w:szCs w:val="13"/>
          <w:i w:val="1"/>
          <w:iCs w:val="1"/>
          <w:color w:val="auto"/>
        </w:rPr>
        <w:t xml:space="preserve"> Maarud</w:t>
      </w:r>
      <w:r>
        <w:rPr>
          <w:rFonts w:ascii="Arial" w:cs="Arial" w:eastAsia="Arial" w:hAnsi="Arial"/>
          <w:sz w:val="13"/>
          <w:szCs w:val="13"/>
          <w:color w:val="auto"/>
        </w:rPr>
        <w:t>,</w:t>
      </w:r>
      <w:r>
        <w:rPr>
          <w:rFonts w:ascii="Arial" w:cs="Arial" w:eastAsia="Arial" w:hAnsi="Arial"/>
          <w:sz w:val="13"/>
          <w:szCs w:val="13"/>
          <w:i w:val="1"/>
          <w:iCs w:val="1"/>
          <w:color w:val="auto"/>
        </w:rPr>
        <w:t xml:space="preserve"> Kar Gida</w:t>
      </w:r>
      <w:r>
        <w:rPr>
          <w:rFonts w:ascii="Arial" w:cs="Arial" w:eastAsia="Arial" w:hAnsi="Arial"/>
          <w:sz w:val="13"/>
          <w:szCs w:val="13"/>
          <w:color w:val="auto"/>
        </w:rPr>
        <w:t>,</w:t>
      </w:r>
      <w:r>
        <w:rPr>
          <w:rFonts w:ascii="Arial" w:cs="Arial" w:eastAsia="Arial" w:hAnsi="Arial"/>
          <w:sz w:val="13"/>
          <w:szCs w:val="13"/>
          <w:i w:val="1"/>
          <w:iCs w:val="1"/>
          <w:color w:val="auto"/>
        </w:rPr>
        <w:t xml:space="preserve"> Cipso </w:t>
      </w:r>
      <w:r>
        <w:rPr>
          <w:rFonts w:ascii="Arial" w:cs="Arial" w:eastAsia="Arial" w:hAnsi="Arial"/>
          <w:sz w:val="13"/>
          <w:szCs w:val="13"/>
          <w:color w:val="auto"/>
        </w:rPr>
        <w:t>and</w:t>
      </w:r>
      <w:r>
        <w:rPr>
          <w:rFonts w:ascii="Arial" w:cs="Arial" w:eastAsia="Arial" w:hAnsi="Arial"/>
          <w:sz w:val="13"/>
          <w:szCs w:val="13"/>
          <w:i w:val="1"/>
          <w:iCs w:val="1"/>
          <w:color w:val="auto"/>
        </w:rPr>
        <w:t xml:space="preserve"> Lux </w:t>
      </w:r>
      <w:r>
        <w:rPr>
          <w:rFonts w:ascii="Arial" w:cs="Arial" w:eastAsia="Arial" w:hAnsi="Arial"/>
          <w:sz w:val="13"/>
          <w:szCs w:val="13"/>
          <w:color w:val="auto"/>
        </w:rPr>
        <w:t>salted snacks.</w:t>
      </w:r>
    </w:p>
    <w:p>
      <w:pPr>
        <w:spacing w:after="0" w:line="129" w:lineRule="exact"/>
        <w:rPr>
          <w:sz w:val="20"/>
          <w:szCs w:val="20"/>
          <w:color w:val="auto"/>
        </w:rPr>
      </w:pPr>
    </w:p>
    <w:p>
      <w:pPr>
        <w:ind w:right="180"/>
        <w:spacing w:after="0" w:line="261" w:lineRule="auto"/>
        <w:rPr>
          <w:sz w:val="20"/>
          <w:szCs w:val="20"/>
          <w:color w:val="auto"/>
        </w:rPr>
      </w:pPr>
      <w:r>
        <w:rPr>
          <w:rFonts w:ascii="Arial" w:cs="Arial" w:eastAsia="Arial" w:hAnsi="Arial"/>
          <w:sz w:val="15"/>
          <w:szCs w:val="15"/>
          <w:i w:val="1"/>
          <w:iCs w:val="1"/>
          <w:color w:val="auto"/>
        </w:rPr>
        <w:t>Jacobs</w:t>
      </w:r>
      <w:r>
        <w:rPr>
          <w:rFonts w:ascii="Arial" w:cs="Arial" w:eastAsia="Arial" w:hAnsi="Arial"/>
          <w:sz w:val="15"/>
          <w:szCs w:val="15"/>
          <w:color w:val="auto"/>
        </w:rPr>
        <w:t>,</w:t>
      </w:r>
      <w:r>
        <w:rPr>
          <w:rFonts w:ascii="Arial" w:cs="Arial" w:eastAsia="Arial" w:hAnsi="Arial"/>
          <w:sz w:val="15"/>
          <w:szCs w:val="15"/>
          <w:i w:val="1"/>
          <w:iCs w:val="1"/>
          <w:color w:val="auto"/>
        </w:rPr>
        <w:t xml:space="preserve"> Gevalia</w:t>
      </w:r>
      <w:r>
        <w:rPr>
          <w:rFonts w:ascii="Arial" w:cs="Arial" w:eastAsia="Arial" w:hAnsi="Arial"/>
          <w:sz w:val="15"/>
          <w:szCs w:val="15"/>
          <w:color w:val="auto"/>
        </w:rPr>
        <w:t>,</w:t>
      </w:r>
      <w:r>
        <w:rPr>
          <w:rFonts w:ascii="Arial" w:cs="Arial" w:eastAsia="Arial" w:hAnsi="Arial"/>
          <w:sz w:val="15"/>
          <w:szCs w:val="15"/>
          <w:i w:val="1"/>
          <w:iCs w:val="1"/>
          <w:color w:val="auto"/>
        </w:rPr>
        <w:t xml:space="preserve"> Carte Noire</w:t>
      </w:r>
      <w:r>
        <w:rPr>
          <w:rFonts w:ascii="Arial" w:cs="Arial" w:eastAsia="Arial" w:hAnsi="Arial"/>
          <w:sz w:val="15"/>
          <w:szCs w:val="15"/>
          <w:color w:val="auto"/>
        </w:rPr>
        <w:t>,</w:t>
      </w:r>
      <w:r>
        <w:rPr>
          <w:rFonts w:ascii="Arial" w:cs="Arial" w:eastAsia="Arial" w:hAnsi="Arial"/>
          <w:sz w:val="15"/>
          <w:szCs w:val="15"/>
          <w:i w:val="1"/>
          <w:iCs w:val="1"/>
          <w:color w:val="auto"/>
        </w:rPr>
        <w:t xml:space="preserve"> Jacques Vabre</w:t>
      </w:r>
      <w:r>
        <w:rPr>
          <w:rFonts w:ascii="Arial" w:cs="Arial" w:eastAsia="Arial" w:hAnsi="Arial"/>
          <w:sz w:val="15"/>
          <w:szCs w:val="15"/>
          <w:color w:val="auto"/>
        </w:rPr>
        <w:t>,</w:t>
      </w:r>
      <w:r>
        <w:rPr>
          <w:rFonts w:ascii="Arial" w:cs="Arial" w:eastAsia="Arial" w:hAnsi="Arial"/>
          <w:sz w:val="15"/>
          <w:szCs w:val="15"/>
          <w:i w:val="1"/>
          <w:iCs w:val="1"/>
          <w:color w:val="auto"/>
        </w:rPr>
        <w:t xml:space="preserve"> Kaffee HAG</w:t>
      </w:r>
      <w:r>
        <w:rPr>
          <w:rFonts w:ascii="Arial" w:cs="Arial" w:eastAsia="Arial" w:hAnsi="Arial"/>
          <w:sz w:val="15"/>
          <w:szCs w:val="15"/>
          <w:color w:val="auto"/>
        </w:rPr>
        <w:t>,</w:t>
      </w:r>
      <w:r>
        <w:rPr>
          <w:rFonts w:ascii="Arial" w:cs="Arial" w:eastAsia="Arial" w:hAnsi="Arial"/>
          <w:sz w:val="15"/>
          <w:szCs w:val="15"/>
          <w:i w:val="1"/>
          <w:iCs w:val="1"/>
          <w:color w:val="auto"/>
        </w:rPr>
        <w:t xml:space="preserve"> Grand' Mère</w:t>
      </w:r>
      <w:r>
        <w:rPr>
          <w:rFonts w:ascii="Arial" w:cs="Arial" w:eastAsia="Arial" w:hAnsi="Arial"/>
          <w:sz w:val="15"/>
          <w:szCs w:val="15"/>
          <w:color w:val="auto"/>
        </w:rPr>
        <w:t>,</w:t>
      </w:r>
      <w:r>
        <w:rPr>
          <w:rFonts w:ascii="Arial" w:cs="Arial" w:eastAsia="Arial" w:hAnsi="Arial"/>
          <w:sz w:val="15"/>
          <w:szCs w:val="15"/>
          <w:i w:val="1"/>
          <w:iCs w:val="1"/>
          <w:color w:val="auto"/>
        </w:rPr>
        <w:t xml:space="preserve"> Kenco</w:t>
      </w:r>
      <w:r>
        <w:rPr>
          <w:rFonts w:ascii="Arial" w:cs="Arial" w:eastAsia="Arial" w:hAnsi="Arial"/>
          <w:sz w:val="15"/>
          <w:szCs w:val="15"/>
          <w:color w:val="auto"/>
        </w:rPr>
        <w:t>,</w:t>
      </w:r>
      <w:r>
        <w:rPr>
          <w:rFonts w:ascii="Arial" w:cs="Arial" w:eastAsia="Arial" w:hAnsi="Arial"/>
          <w:sz w:val="15"/>
          <w:szCs w:val="15"/>
          <w:i w:val="1"/>
          <w:iCs w:val="1"/>
          <w:color w:val="auto"/>
        </w:rPr>
        <w:t xml:space="preserve"> Saimaza</w:t>
      </w:r>
      <w:r>
        <w:rPr>
          <w:rFonts w:ascii="Arial" w:cs="Arial" w:eastAsia="Arial" w:hAnsi="Arial"/>
          <w:sz w:val="15"/>
          <w:szCs w:val="15"/>
          <w:color w:val="auto"/>
        </w:rPr>
        <w:t>,</w:t>
      </w:r>
      <w:r>
        <w:rPr>
          <w:rFonts w:ascii="Arial" w:cs="Arial" w:eastAsia="Arial" w:hAnsi="Arial"/>
          <w:sz w:val="15"/>
          <w:szCs w:val="15"/>
          <w:i w:val="1"/>
          <w:iCs w:val="1"/>
          <w:color w:val="auto"/>
        </w:rPr>
        <w:t xml:space="preserve"> Maxwell House</w:t>
      </w:r>
      <w:r>
        <w:rPr>
          <w:rFonts w:ascii="Arial" w:cs="Arial" w:eastAsia="Arial" w:hAnsi="Arial"/>
          <w:sz w:val="15"/>
          <w:szCs w:val="15"/>
          <w:color w:val="auto"/>
        </w:rPr>
        <w:t>,</w:t>
      </w:r>
      <w:r>
        <w:rPr>
          <w:rFonts w:ascii="Arial" w:cs="Arial" w:eastAsia="Arial" w:hAnsi="Arial"/>
          <w:sz w:val="15"/>
          <w:szCs w:val="15"/>
          <w:i w:val="1"/>
          <w:iCs w:val="1"/>
          <w:color w:val="auto"/>
        </w:rPr>
        <w:t xml:space="preserve"> Dadak</w:t>
      </w:r>
      <w:r>
        <w:rPr>
          <w:rFonts w:ascii="Arial" w:cs="Arial" w:eastAsia="Arial" w:hAnsi="Arial"/>
          <w:sz w:val="15"/>
          <w:szCs w:val="15"/>
          <w:color w:val="auto"/>
        </w:rPr>
        <w:t>,</w:t>
      </w:r>
      <w:r>
        <w:rPr>
          <w:rFonts w:ascii="Arial" w:cs="Arial" w:eastAsia="Arial" w:hAnsi="Arial"/>
          <w:sz w:val="15"/>
          <w:szCs w:val="15"/>
          <w:i w:val="1"/>
          <w:iCs w:val="1"/>
          <w:color w:val="auto"/>
        </w:rPr>
        <w:t xml:space="preserve"> Onko</w:t>
      </w:r>
      <w:r>
        <w:rPr>
          <w:rFonts w:ascii="Arial" w:cs="Arial" w:eastAsia="Arial" w:hAnsi="Arial"/>
          <w:sz w:val="15"/>
          <w:szCs w:val="15"/>
          <w:color w:val="auto"/>
        </w:rPr>
        <w:t>,</w:t>
      </w:r>
      <w:r>
        <w:rPr>
          <w:rFonts w:ascii="Arial" w:cs="Arial" w:eastAsia="Arial" w:hAnsi="Arial"/>
          <w:sz w:val="15"/>
          <w:szCs w:val="15"/>
          <w:i w:val="1"/>
          <w:iCs w:val="1"/>
          <w:color w:val="auto"/>
        </w:rPr>
        <w:t xml:space="preserve"> Samar </w:t>
      </w:r>
      <w:r>
        <w:rPr>
          <w:rFonts w:ascii="Arial" w:cs="Arial" w:eastAsia="Arial" w:hAnsi="Arial"/>
          <w:sz w:val="15"/>
          <w:szCs w:val="15"/>
          <w:color w:val="auto"/>
        </w:rPr>
        <w:t>and</w:t>
      </w:r>
      <w:r>
        <w:rPr>
          <w:rFonts w:ascii="Arial" w:cs="Arial" w:eastAsia="Arial" w:hAnsi="Arial"/>
          <w:sz w:val="15"/>
          <w:szCs w:val="15"/>
          <w:i w:val="1"/>
          <w:iCs w:val="1"/>
          <w:color w:val="auto"/>
        </w:rPr>
        <w:t xml:space="preserve"> Nova Brasilia </w:t>
      </w:r>
      <w:r>
        <w:rPr>
          <w:rFonts w:ascii="Arial" w:cs="Arial" w:eastAsia="Arial" w:hAnsi="Arial"/>
          <w:sz w:val="15"/>
          <w:szCs w:val="15"/>
          <w:color w:val="auto"/>
        </w:rPr>
        <w:t>coffees;</w:t>
      </w:r>
      <w:r>
        <w:rPr>
          <w:rFonts w:ascii="Arial" w:cs="Arial" w:eastAsia="Arial" w:hAnsi="Arial"/>
          <w:sz w:val="15"/>
          <w:szCs w:val="15"/>
          <w:i w:val="1"/>
          <w:iCs w:val="1"/>
          <w:color w:val="auto"/>
        </w:rPr>
        <w:t xml:space="preserve"> Tang </w:t>
      </w:r>
      <w:r>
        <w:rPr>
          <w:rFonts w:ascii="Arial" w:cs="Arial" w:eastAsia="Arial" w:hAnsi="Arial"/>
          <w:sz w:val="15"/>
          <w:szCs w:val="15"/>
          <w:color w:val="auto"/>
        </w:rPr>
        <w:t>powdered beverages; and</w:t>
      </w:r>
      <w:r>
        <w:rPr>
          <w:rFonts w:ascii="Arial" w:cs="Arial" w:eastAsia="Arial" w:hAnsi="Arial"/>
          <w:sz w:val="15"/>
          <w:szCs w:val="15"/>
          <w:i w:val="1"/>
          <w:iCs w:val="1"/>
          <w:color w:val="auto"/>
        </w:rPr>
        <w:t xml:space="preserve"> Suchard Express</w:t>
      </w:r>
      <w:r>
        <w:rPr>
          <w:rFonts w:ascii="Arial" w:cs="Arial" w:eastAsia="Arial" w:hAnsi="Arial"/>
          <w:sz w:val="15"/>
          <w:szCs w:val="15"/>
          <w:color w:val="auto"/>
        </w:rPr>
        <w:t>,</w:t>
      </w:r>
      <w:r>
        <w:rPr>
          <w:rFonts w:ascii="Arial" w:cs="Arial" w:eastAsia="Arial" w:hAnsi="Arial"/>
          <w:sz w:val="15"/>
          <w:szCs w:val="15"/>
          <w:i w:val="1"/>
          <w:iCs w:val="1"/>
          <w:color w:val="auto"/>
        </w:rPr>
        <w:t xml:space="preserve"> O'Boy </w:t>
      </w:r>
      <w:r>
        <w:rPr>
          <w:rFonts w:ascii="Arial" w:cs="Arial" w:eastAsia="Arial" w:hAnsi="Arial"/>
          <w:sz w:val="15"/>
          <w:szCs w:val="15"/>
          <w:color w:val="auto"/>
        </w:rPr>
        <w:t>and</w:t>
      </w:r>
      <w:r>
        <w:rPr>
          <w:rFonts w:ascii="Arial" w:cs="Arial" w:eastAsia="Arial" w:hAnsi="Arial"/>
          <w:sz w:val="15"/>
          <w:szCs w:val="15"/>
          <w:i w:val="1"/>
          <w:iCs w:val="1"/>
          <w:color w:val="auto"/>
        </w:rPr>
        <w:t xml:space="preserve"> Kaba </w:t>
      </w:r>
      <w:r>
        <w:rPr>
          <w:rFonts w:ascii="Arial" w:cs="Arial" w:eastAsia="Arial" w:hAnsi="Arial"/>
          <w:sz w:val="15"/>
          <w:szCs w:val="15"/>
          <w:color w:val="auto"/>
        </w:rPr>
        <w:t>chocolate</w:t>
      </w:r>
      <w:r>
        <w:rPr>
          <w:rFonts w:ascii="Arial" w:cs="Arial" w:eastAsia="Arial" w:hAnsi="Arial"/>
          <w:sz w:val="15"/>
          <w:szCs w:val="15"/>
          <w:i w:val="1"/>
          <w:iCs w:val="1"/>
          <w:color w:val="auto"/>
        </w:rPr>
        <w:t xml:space="preserve"> </w:t>
      </w:r>
      <w:r>
        <w:rPr>
          <w:rFonts w:ascii="Arial" w:cs="Arial" w:eastAsia="Arial" w:hAnsi="Arial"/>
          <w:sz w:val="15"/>
          <w:szCs w:val="15"/>
          <w:color w:val="auto"/>
        </w:rPr>
        <w:t>drinks.</w:t>
      </w:r>
    </w:p>
    <w:p>
      <w:pPr>
        <w:spacing w:after="0" w:line="160" w:lineRule="exact"/>
        <w:rPr>
          <w:sz w:val="20"/>
          <w:szCs w:val="20"/>
          <w:color w:val="auto"/>
        </w:rPr>
      </w:pPr>
    </w:p>
    <w:p>
      <w:pPr>
        <w:sectPr>
          <w:pgSz w:w="11900" w:h="16874" w:orient="portrait"/>
          <w:cols w:equalWidth="0" w:num="2">
            <w:col w:w="3620" w:space="720"/>
            <w:col w:w="7080"/>
          </w:cols>
          <w:pgMar w:left="240" w:top="132" w:right="239" w:bottom="0" w:gutter="0" w:footer="0" w:header="0"/>
          <w:type w:val="continuous"/>
        </w:sectPr>
      </w:pPr>
    </w:p>
    <w:p>
      <w:pPr>
        <w:ind w:left="220"/>
        <w:spacing w:after="0"/>
        <w:rPr>
          <w:sz w:val="20"/>
          <w:szCs w:val="20"/>
          <w:color w:val="auto"/>
        </w:rPr>
      </w:pPr>
      <w:r>
        <w:rPr>
          <w:rFonts w:ascii="Arial" w:cs="Arial" w:eastAsia="Arial" w:hAnsi="Arial"/>
          <w:sz w:val="15"/>
          <w:szCs w:val="15"/>
          <w:color w:val="auto"/>
        </w:rPr>
        <w:t>Cheese:</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Grocery:</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Convenient Meals:</w:t>
      </w: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Latin America and Asia Pacific</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Snacks:</w:t>
      </w:r>
    </w:p>
    <w:p>
      <w:pPr>
        <w:spacing w:after="0" w:line="39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Beverages:</w:t>
      </w:r>
    </w:p>
    <w:p>
      <w:pPr>
        <w:spacing w:after="0" w:line="39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Cheese:</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Grocery:</w:t>
      </w:r>
    </w:p>
    <w:p>
      <w:pPr>
        <w:spacing w:after="0" w:line="39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Convenient Meals: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60"/>
        <w:spacing w:after="0"/>
        <w:rPr>
          <w:sz w:val="20"/>
          <w:szCs w:val="20"/>
          <w:color w:val="auto"/>
        </w:rPr>
      </w:pPr>
      <w:r>
        <w:rPr>
          <w:rFonts w:ascii="Arial" w:cs="Arial" w:eastAsia="Arial" w:hAnsi="Arial"/>
          <w:sz w:val="15"/>
          <w:szCs w:val="15"/>
          <w:i w:val="1"/>
          <w:iCs w:val="1"/>
          <w:color w:val="auto"/>
        </w:rPr>
        <w:t>Kraft</w:t>
      </w:r>
      <w:r>
        <w:rPr>
          <w:rFonts w:ascii="Arial" w:cs="Arial" w:eastAsia="Arial" w:hAnsi="Arial"/>
          <w:sz w:val="15"/>
          <w:szCs w:val="15"/>
          <w:color w:val="auto"/>
        </w:rPr>
        <w:t>,</w:t>
      </w:r>
      <w:r>
        <w:rPr>
          <w:rFonts w:ascii="Arial" w:cs="Arial" w:eastAsia="Arial" w:hAnsi="Arial"/>
          <w:sz w:val="15"/>
          <w:szCs w:val="15"/>
          <w:i w:val="1"/>
          <w:iCs w:val="1"/>
          <w:color w:val="auto"/>
        </w:rPr>
        <w:t xml:space="preserve"> Dairylea</w:t>
      </w:r>
      <w:r>
        <w:rPr>
          <w:rFonts w:ascii="Arial" w:cs="Arial" w:eastAsia="Arial" w:hAnsi="Arial"/>
          <w:sz w:val="15"/>
          <w:szCs w:val="15"/>
          <w:color w:val="auto"/>
        </w:rPr>
        <w:t>,</w:t>
      </w:r>
      <w:r>
        <w:rPr>
          <w:rFonts w:ascii="Arial" w:cs="Arial" w:eastAsia="Arial" w:hAnsi="Arial"/>
          <w:sz w:val="15"/>
          <w:szCs w:val="15"/>
          <w:i w:val="1"/>
          <w:iCs w:val="1"/>
          <w:color w:val="auto"/>
        </w:rPr>
        <w:t xml:space="preserve"> Sottilette</w:t>
      </w:r>
      <w:r>
        <w:rPr>
          <w:rFonts w:ascii="Arial" w:cs="Arial" w:eastAsia="Arial" w:hAnsi="Arial"/>
          <w:sz w:val="15"/>
          <w:szCs w:val="15"/>
          <w:color w:val="auto"/>
        </w:rPr>
        <w:t>,</w:t>
      </w:r>
      <w:r>
        <w:rPr>
          <w:rFonts w:ascii="Arial" w:cs="Arial" w:eastAsia="Arial" w:hAnsi="Arial"/>
          <w:sz w:val="15"/>
          <w:szCs w:val="15"/>
          <w:i w:val="1"/>
          <w:iCs w:val="1"/>
          <w:color w:val="auto"/>
        </w:rPr>
        <w:t xml:space="preserve"> El Caserìo </w:t>
      </w:r>
      <w:r>
        <w:rPr>
          <w:rFonts w:ascii="Arial" w:cs="Arial" w:eastAsia="Arial" w:hAnsi="Arial"/>
          <w:sz w:val="15"/>
          <w:szCs w:val="15"/>
          <w:color w:val="auto"/>
        </w:rPr>
        <w:t>and</w:t>
      </w:r>
      <w:r>
        <w:rPr>
          <w:rFonts w:ascii="Arial" w:cs="Arial" w:eastAsia="Arial" w:hAnsi="Arial"/>
          <w:sz w:val="15"/>
          <w:szCs w:val="15"/>
          <w:i w:val="1"/>
          <w:iCs w:val="1"/>
          <w:color w:val="auto"/>
        </w:rPr>
        <w:t xml:space="preserve"> Invernizzi </w:t>
      </w:r>
      <w:r>
        <w:rPr>
          <w:rFonts w:ascii="Arial" w:cs="Arial" w:eastAsia="Arial" w:hAnsi="Arial"/>
          <w:sz w:val="15"/>
          <w:szCs w:val="15"/>
          <w:color w:val="auto"/>
        </w:rPr>
        <w:t>cheeses; and</w:t>
      </w:r>
      <w:r>
        <w:rPr>
          <w:rFonts w:ascii="Arial" w:cs="Arial" w:eastAsia="Arial" w:hAnsi="Arial"/>
          <w:sz w:val="15"/>
          <w:szCs w:val="15"/>
          <w:i w:val="1"/>
          <w:iCs w:val="1"/>
          <w:color w:val="auto"/>
        </w:rPr>
        <w:t xml:space="preserve"> Philadelphia </w:t>
      </w:r>
      <w:r>
        <w:rPr>
          <w:rFonts w:ascii="Arial" w:cs="Arial" w:eastAsia="Arial" w:hAnsi="Arial"/>
          <w:sz w:val="15"/>
          <w:szCs w:val="15"/>
          <w:color w:val="auto"/>
        </w:rPr>
        <w:t>cream cheese.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5"/>
          <w:szCs w:val="15"/>
          <w:i w:val="1"/>
          <w:iCs w:val="1"/>
          <w:color w:val="auto"/>
        </w:rPr>
        <w:t xml:space="preserve">Kraft </w:t>
      </w:r>
      <w:r>
        <w:rPr>
          <w:rFonts w:ascii="Arial" w:cs="Arial" w:eastAsia="Arial" w:hAnsi="Arial"/>
          <w:sz w:val="15"/>
          <w:szCs w:val="15"/>
          <w:color w:val="auto"/>
        </w:rPr>
        <w:t>pourable and spoonable salad dressings; and</w:t>
      </w:r>
      <w:r>
        <w:rPr>
          <w:rFonts w:ascii="Arial" w:cs="Arial" w:eastAsia="Arial" w:hAnsi="Arial"/>
          <w:sz w:val="15"/>
          <w:szCs w:val="15"/>
          <w:i w:val="1"/>
          <w:iCs w:val="1"/>
          <w:color w:val="auto"/>
        </w:rPr>
        <w:t xml:space="preserve"> Miracel Whip </w:t>
      </w:r>
      <w:r>
        <w:rPr>
          <w:rFonts w:ascii="Arial" w:cs="Arial" w:eastAsia="Arial" w:hAnsi="Arial"/>
          <w:sz w:val="15"/>
          <w:szCs w:val="15"/>
          <w:color w:val="auto"/>
        </w:rPr>
        <w:t>spoonable dressing.</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4"/>
          <w:szCs w:val="14"/>
          <w:i w:val="1"/>
          <w:iCs w:val="1"/>
          <w:color w:val="auto"/>
        </w:rPr>
        <w:t xml:space="preserve">Lunchables </w:t>
      </w:r>
      <w:r>
        <w:rPr>
          <w:rFonts w:ascii="Arial" w:cs="Arial" w:eastAsia="Arial" w:hAnsi="Arial"/>
          <w:sz w:val="14"/>
          <w:szCs w:val="14"/>
          <w:color w:val="auto"/>
        </w:rPr>
        <w:t>lunch combinations;</w:t>
      </w:r>
      <w:r>
        <w:rPr>
          <w:rFonts w:ascii="Arial" w:cs="Arial" w:eastAsia="Arial" w:hAnsi="Arial"/>
          <w:sz w:val="14"/>
          <w:szCs w:val="14"/>
          <w:i w:val="1"/>
          <w:iCs w:val="1"/>
          <w:color w:val="auto"/>
        </w:rPr>
        <w:t xml:space="preserve"> Kraft </w:t>
      </w:r>
      <w:r>
        <w:rPr>
          <w:rFonts w:ascii="Arial" w:cs="Arial" w:eastAsia="Arial" w:hAnsi="Arial"/>
          <w:sz w:val="14"/>
          <w:szCs w:val="14"/>
          <w:color w:val="auto"/>
        </w:rPr>
        <w:t>and</w:t>
      </w:r>
      <w:r>
        <w:rPr>
          <w:rFonts w:ascii="Arial" w:cs="Arial" w:eastAsia="Arial" w:hAnsi="Arial"/>
          <w:sz w:val="14"/>
          <w:szCs w:val="14"/>
          <w:i w:val="1"/>
          <w:iCs w:val="1"/>
          <w:color w:val="auto"/>
        </w:rPr>
        <w:t xml:space="preserve"> Mirácoli </w:t>
      </w:r>
      <w:r>
        <w:rPr>
          <w:rFonts w:ascii="Arial" w:cs="Arial" w:eastAsia="Arial" w:hAnsi="Arial"/>
          <w:sz w:val="14"/>
          <w:szCs w:val="14"/>
          <w:color w:val="auto"/>
        </w:rPr>
        <w:t>pasta dinners and sauces; and</w:t>
      </w:r>
      <w:r>
        <w:rPr>
          <w:rFonts w:ascii="Arial" w:cs="Arial" w:eastAsia="Arial" w:hAnsi="Arial"/>
          <w:sz w:val="14"/>
          <w:szCs w:val="14"/>
          <w:i w:val="1"/>
          <w:iCs w:val="1"/>
          <w:color w:val="auto"/>
        </w:rPr>
        <w:t xml:space="preserve"> Simmenthal </w:t>
      </w:r>
      <w:r>
        <w:rPr>
          <w:rFonts w:ascii="Arial" w:cs="Arial" w:eastAsia="Arial" w:hAnsi="Arial"/>
          <w:sz w:val="14"/>
          <w:szCs w:val="14"/>
          <w:color w:val="auto"/>
        </w:rPr>
        <w:t>canned meats.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right="320"/>
        <w:spacing w:after="0" w:line="308" w:lineRule="auto"/>
        <w:rPr>
          <w:sz w:val="20"/>
          <w:szCs w:val="20"/>
          <w:color w:val="auto"/>
        </w:rPr>
      </w:pPr>
      <w:r>
        <w:rPr>
          <w:rFonts w:ascii="Arial" w:cs="Arial" w:eastAsia="Arial" w:hAnsi="Arial"/>
          <w:sz w:val="14"/>
          <w:szCs w:val="14"/>
          <w:i w:val="1"/>
          <w:iCs w:val="1"/>
          <w:color w:val="auto"/>
        </w:rPr>
        <w:t>Oreo</w:t>
      </w:r>
      <w:r>
        <w:rPr>
          <w:rFonts w:ascii="Arial" w:cs="Arial" w:eastAsia="Arial" w:hAnsi="Arial"/>
          <w:sz w:val="14"/>
          <w:szCs w:val="14"/>
          <w:color w:val="auto"/>
        </w:rPr>
        <w:t>,</w:t>
      </w:r>
      <w:r>
        <w:rPr>
          <w:rFonts w:ascii="Arial" w:cs="Arial" w:eastAsia="Arial" w:hAnsi="Arial"/>
          <w:sz w:val="14"/>
          <w:szCs w:val="14"/>
          <w:i w:val="1"/>
          <w:iCs w:val="1"/>
          <w:color w:val="auto"/>
        </w:rPr>
        <w:t xml:space="preserve"> Chips Ahoy!</w:t>
      </w:r>
      <w:r>
        <w:rPr>
          <w:rFonts w:ascii="Arial" w:cs="Arial" w:eastAsia="Arial" w:hAnsi="Arial"/>
          <w:sz w:val="14"/>
          <w:szCs w:val="14"/>
          <w:color w:val="auto"/>
        </w:rPr>
        <w:t>,</w:t>
      </w:r>
      <w:r>
        <w:rPr>
          <w:rFonts w:ascii="Arial" w:cs="Arial" w:eastAsia="Arial" w:hAnsi="Arial"/>
          <w:sz w:val="14"/>
          <w:szCs w:val="14"/>
          <w:i w:val="1"/>
          <w:iCs w:val="1"/>
          <w:color w:val="auto"/>
        </w:rPr>
        <w:t xml:space="preserve"> Ritz</w:t>
      </w:r>
      <w:r>
        <w:rPr>
          <w:rFonts w:ascii="Arial" w:cs="Arial" w:eastAsia="Arial" w:hAnsi="Arial"/>
          <w:sz w:val="14"/>
          <w:szCs w:val="14"/>
          <w:color w:val="auto"/>
        </w:rPr>
        <w:t>,</w:t>
      </w:r>
      <w:r>
        <w:rPr>
          <w:rFonts w:ascii="Arial" w:cs="Arial" w:eastAsia="Arial" w:hAnsi="Arial"/>
          <w:sz w:val="14"/>
          <w:szCs w:val="14"/>
          <w:i w:val="1"/>
          <w:iCs w:val="1"/>
          <w:color w:val="auto"/>
        </w:rPr>
        <w:t xml:space="preserve"> Terrabusi</w:t>
      </w:r>
      <w:r>
        <w:rPr>
          <w:rFonts w:ascii="Arial" w:cs="Arial" w:eastAsia="Arial" w:hAnsi="Arial"/>
          <w:sz w:val="14"/>
          <w:szCs w:val="14"/>
          <w:color w:val="auto"/>
        </w:rPr>
        <w:t>,</w:t>
      </w:r>
      <w:r>
        <w:rPr>
          <w:rFonts w:ascii="Arial" w:cs="Arial" w:eastAsia="Arial" w:hAnsi="Arial"/>
          <w:sz w:val="14"/>
          <w:szCs w:val="14"/>
          <w:i w:val="1"/>
          <w:iCs w:val="1"/>
          <w:color w:val="auto"/>
        </w:rPr>
        <w:t xml:space="preserve"> Canale</w:t>
      </w:r>
      <w:r>
        <w:rPr>
          <w:rFonts w:ascii="Arial" w:cs="Arial" w:eastAsia="Arial" w:hAnsi="Arial"/>
          <w:sz w:val="14"/>
          <w:szCs w:val="14"/>
          <w:color w:val="auto"/>
        </w:rPr>
        <w:t>,</w:t>
      </w:r>
      <w:r>
        <w:rPr>
          <w:rFonts w:ascii="Arial" w:cs="Arial" w:eastAsia="Arial" w:hAnsi="Arial"/>
          <w:sz w:val="14"/>
          <w:szCs w:val="14"/>
          <w:i w:val="1"/>
          <w:iCs w:val="1"/>
          <w:color w:val="auto"/>
        </w:rPr>
        <w:t xml:space="preserve"> Club Social</w:t>
      </w:r>
      <w:r>
        <w:rPr>
          <w:rFonts w:ascii="Arial" w:cs="Arial" w:eastAsia="Arial" w:hAnsi="Arial"/>
          <w:sz w:val="14"/>
          <w:szCs w:val="14"/>
          <w:color w:val="auto"/>
        </w:rPr>
        <w:t>,</w:t>
      </w:r>
      <w:r>
        <w:rPr>
          <w:rFonts w:ascii="Arial" w:cs="Arial" w:eastAsia="Arial" w:hAnsi="Arial"/>
          <w:sz w:val="14"/>
          <w:szCs w:val="14"/>
          <w:i w:val="1"/>
          <w:iCs w:val="1"/>
          <w:color w:val="auto"/>
        </w:rPr>
        <w:t xml:space="preserve"> Cerealitas</w:t>
      </w:r>
      <w:r>
        <w:rPr>
          <w:rFonts w:ascii="Arial" w:cs="Arial" w:eastAsia="Arial" w:hAnsi="Arial"/>
          <w:sz w:val="14"/>
          <w:szCs w:val="14"/>
          <w:color w:val="auto"/>
        </w:rPr>
        <w:t>,</w:t>
      </w:r>
      <w:r>
        <w:rPr>
          <w:rFonts w:ascii="Arial" w:cs="Arial" w:eastAsia="Arial" w:hAnsi="Arial"/>
          <w:sz w:val="14"/>
          <w:szCs w:val="14"/>
          <w:i w:val="1"/>
          <w:iCs w:val="1"/>
          <w:color w:val="auto"/>
        </w:rPr>
        <w:t xml:space="preserve"> Trakinas </w:t>
      </w:r>
      <w:r>
        <w:rPr>
          <w:rFonts w:ascii="Arial" w:cs="Arial" w:eastAsia="Arial" w:hAnsi="Arial"/>
          <w:sz w:val="14"/>
          <w:szCs w:val="14"/>
          <w:color w:val="auto"/>
        </w:rPr>
        <w:t>and</w:t>
      </w:r>
      <w:r>
        <w:rPr>
          <w:rFonts w:ascii="Arial" w:cs="Arial" w:eastAsia="Arial" w:hAnsi="Arial"/>
          <w:sz w:val="14"/>
          <w:szCs w:val="14"/>
          <w:i w:val="1"/>
          <w:iCs w:val="1"/>
          <w:color w:val="auto"/>
        </w:rPr>
        <w:t xml:space="preserve"> Lucky </w:t>
      </w:r>
      <w:r>
        <w:rPr>
          <w:rFonts w:ascii="Arial" w:cs="Arial" w:eastAsia="Arial" w:hAnsi="Arial"/>
          <w:sz w:val="14"/>
          <w:szCs w:val="14"/>
          <w:color w:val="auto"/>
        </w:rPr>
        <w:t>biscuits;</w:t>
      </w:r>
      <w:r>
        <w:rPr>
          <w:rFonts w:ascii="Arial" w:cs="Arial" w:eastAsia="Arial" w:hAnsi="Arial"/>
          <w:sz w:val="14"/>
          <w:szCs w:val="14"/>
          <w:i w:val="1"/>
          <w:iCs w:val="1"/>
          <w:color w:val="auto"/>
        </w:rPr>
        <w:t xml:space="preserve"> Milka</w:t>
      </w:r>
      <w:r>
        <w:rPr>
          <w:rFonts w:ascii="Arial" w:cs="Arial" w:eastAsia="Arial" w:hAnsi="Arial"/>
          <w:sz w:val="14"/>
          <w:szCs w:val="14"/>
          <w:color w:val="auto"/>
        </w:rPr>
        <w:t>,</w:t>
      </w:r>
      <w:r>
        <w:rPr>
          <w:rFonts w:ascii="Arial" w:cs="Arial" w:eastAsia="Arial" w:hAnsi="Arial"/>
          <w:sz w:val="14"/>
          <w:szCs w:val="14"/>
          <w:i w:val="1"/>
          <w:iCs w:val="1"/>
          <w:color w:val="auto"/>
        </w:rPr>
        <w:t xml:space="preserve"> Lacta </w:t>
      </w:r>
      <w:r>
        <w:rPr>
          <w:rFonts w:ascii="Arial" w:cs="Arial" w:eastAsia="Arial" w:hAnsi="Arial"/>
          <w:sz w:val="14"/>
          <w:szCs w:val="14"/>
          <w:color w:val="auto"/>
        </w:rPr>
        <w:t>and</w:t>
      </w:r>
      <w:r>
        <w:rPr>
          <w:rFonts w:ascii="Arial" w:cs="Arial" w:eastAsia="Arial" w:hAnsi="Arial"/>
          <w:sz w:val="14"/>
          <w:szCs w:val="14"/>
          <w:i w:val="1"/>
          <w:iCs w:val="1"/>
          <w:color w:val="auto"/>
        </w:rPr>
        <w:t xml:space="preserve"> Gallito </w:t>
      </w:r>
      <w:r>
        <w:rPr>
          <w:rFonts w:ascii="Arial" w:cs="Arial" w:eastAsia="Arial" w:hAnsi="Arial"/>
          <w:sz w:val="14"/>
          <w:szCs w:val="14"/>
          <w:color w:val="auto"/>
        </w:rPr>
        <w:t>chocolate confectionery products; and</w:t>
      </w:r>
      <w:r>
        <w:rPr>
          <w:rFonts w:ascii="Arial" w:cs="Arial" w:eastAsia="Arial" w:hAnsi="Arial"/>
          <w:sz w:val="14"/>
          <w:szCs w:val="14"/>
          <w:i w:val="1"/>
          <w:iCs w:val="1"/>
          <w:color w:val="auto"/>
        </w:rPr>
        <w:t xml:space="preserve"> Sugus </w:t>
      </w:r>
      <w:r>
        <w:rPr>
          <w:rFonts w:ascii="Arial" w:cs="Arial" w:eastAsia="Arial" w:hAnsi="Arial"/>
          <w:sz w:val="14"/>
          <w:szCs w:val="14"/>
          <w:color w:val="auto"/>
        </w:rPr>
        <w:t>and</w:t>
      </w:r>
      <w:r>
        <w:rPr>
          <w:rFonts w:ascii="Arial" w:cs="Arial" w:eastAsia="Arial" w:hAnsi="Arial"/>
          <w:sz w:val="14"/>
          <w:szCs w:val="14"/>
          <w:i w:val="1"/>
          <w:iCs w:val="1"/>
          <w:color w:val="auto"/>
        </w:rPr>
        <w:t xml:space="preserve"> Artic </w:t>
      </w:r>
      <w:r>
        <w:rPr>
          <w:rFonts w:ascii="Arial" w:cs="Arial" w:eastAsia="Arial" w:hAnsi="Arial"/>
          <w:sz w:val="14"/>
          <w:szCs w:val="14"/>
          <w:color w:val="auto"/>
        </w:rPr>
        <w:t>sugar confectionery products.</w:t>
      </w:r>
    </w:p>
    <w:p>
      <w:pPr>
        <w:spacing w:after="0" w:line="152" w:lineRule="exact"/>
        <w:rPr>
          <w:sz w:val="20"/>
          <w:szCs w:val="20"/>
          <w:color w:val="auto"/>
        </w:rPr>
      </w:pPr>
    </w:p>
    <w:p>
      <w:pPr>
        <w:ind w:left="60" w:right="380"/>
        <w:spacing w:after="0" w:line="271" w:lineRule="auto"/>
        <w:rPr>
          <w:sz w:val="20"/>
          <w:szCs w:val="20"/>
          <w:color w:val="auto"/>
        </w:rPr>
      </w:pPr>
      <w:r>
        <w:rPr>
          <w:rFonts w:ascii="Arial" w:cs="Arial" w:eastAsia="Arial" w:hAnsi="Arial"/>
          <w:sz w:val="15"/>
          <w:szCs w:val="15"/>
          <w:i w:val="1"/>
          <w:iCs w:val="1"/>
          <w:color w:val="auto"/>
        </w:rPr>
        <w:t xml:space="preserve">Maxwell House </w:t>
      </w:r>
      <w:r>
        <w:rPr>
          <w:rFonts w:ascii="Arial" w:cs="Arial" w:eastAsia="Arial" w:hAnsi="Arial"/>
          <w:sz w:val="15"/>
          <w:szCs w:val="15"/>
          <w:color w:val="auto"/>
        </w:rPr>
        <w:t>and</w:t>
      </w:r>
      <w:r>
        <w:rPr>
          <w:rFonts w:ascii="Arial" w:cs="Arial" w:eastAsia="Arial" w:hAnsi="Arial"/>
          <w:sz w:val="15"/>
          <w:szCs w:val="15"/>
          <w:i w:val="1"/>
          <w:iCs w:val="1"/>
          <w:color w:val="auto"/>
        </w:rPr>
        <w:t xml:space="preserve"> Maxim </w:t>
      </w:r>
      <w:r>
        <w:rPr>
          <w:rFonts w:ascii="Arial" w:cs="Arial" w:eastAsia="Arial" w:hAnsi="Arial"/>
          <w:sz w:val="15"/>
          <w:szCs w:val="15"/>
          <w:color w:val="auto"/>
        </w:rPr>
        <w:t>coffee;</w:t>
      </w:r>
      <w:r>
        <w:rPr>
          <w:rFonts w:ascii="Arial" w:cs="Arial" w:eastAsia="Arial" w:hAnsi="Arial"/>
          <w:sz w:val="15"/>
          <w:szCs w:val="15"/>
          <w:i w:val="1"/>
          <w:iCs w:val="1"/>
          <w:color w:val="auto"/>
        </w:rPr>
        <w:t xml:space="preserve"> Tang</w:t>
      </w:r>
      <w:r>
        <w:rPr>
          <w:rFonts w:ascii="Arial" w:cs="Arial" w:eastAsia="Arial" w:hAnsi="Arial"/>
          <w:sz w:val="15"/>
          <w:szCs w:val="15"/>
          <w:color w:val="auto"/>
        </w:rPr>
        <w:t>,</w:t>
      </w:r>
      <w:r>
        <w:rPr>
          <w:rFonts w:ascii="Arial" w:cs="Arial" w:eastAsia="Arial" w:hAnsi="Arial"/>
          <w:sz w:val="15"/>
          <w:szCs w:val="15"/>
          <w:i w:val="1"/>
          <w:iCs w:val="1"/>
          <w:color w:val="auto"/>
        </w:rPr>
        <w:t xml:space="preserve"> Clight</w:t>
      </w:r>
      <w:r>
        <w:rPr>
          <w:rFonts w:ascii="Arial" w:cs="Arial" w:eastAsia="Arial" w:hAnsi="Arial"/>
          <w:sz w:val="15"/>
          <w:szCs w:val="15"/>
          <w:color w:val="auto"/>
        </w:rPr>
        <w:t>,</w:t>
      </w:r>
      <w:r>
        <w:rPr>
          <w:rFonts w:ascii="Arial" w:cs="Arial" w:eastAsia="Arial" w:hAnsi="Arial"/>
          <w:sz w:val="15"/>
          <w:szCs w:val="15"/>
          <w:i w:val="1"/>
          <w:iCs w:val="1"/>
          <w:color w:val="auto"/>
        </w:rPr>
        <w:t xml:space="preserve"> Kool-Aid</w:t>
      </w:r>
      <w:r>
        <w:rPr>
          <w:rFonts w:ascii="Arial" w:cs="Arial" w:eastAsia="Arial" w:hAnsi="Arial"/>
          <w:sz w:val="15"/>
          <w:szCs w:val="15"/>
          <w:color w:val="auto"/>
        </w:rPr>
        <w:t>,</w:t>
      </w:r>
      <w:r>
        <w:rPr>
          <w:rFonts w:ascii="Arial" w:cs="Arial" w:eastAsia="Arial" w:hAnsi="Arial"/>
          <w:sz w:val="15"/>
          <w:szCs w:val="15"/>
          <w:i w:val="1"/>
          <w:iCs w:val="1"/>
          <w:color w:val="auto"/>
        </w:rPr>
        <w:t xml:space="preserve"> Royal</w:t>
      </w:r>
      <w:r>
        <w:rPr>
          <w:rFonts w:ascii="Arial" w:cs="Arial" w:eastAsia="Arial" w:hAnsi="Arial"/>
          <w:sz w:val="15"/>
          <w:szCs w:val="15"/>
          <w:color w:val="auto"/>
        </w:rPr>
        <w:t>,</w:t>
      </w:r>
      <w:r>
        <w:rPr>
          <w:rFonts w:ascii="Arial" w:cs="Arial" w:eastAsia="Arial" w:hAnsi="Arial"/>
          <w:sz w:val="15"/>
          <w:szCs w:val="15"/>
          <w:i w:val="1"/>
          <w:iCs w:val="1"/>
          <w:color w:val="auto"/>
        </w:rPr>
        <w:t xml:space="preserve"> Verao</w:t>
      </w:r>
      <w:r>
        <w:rPr>
          <w:rFonts w:ascii="Arial" w:cs="Arial" w:eastAsia="Arial" w:hAnsi="Arial"/>
          <w:sz w:val="15"/>
          <w:szCs w:val="15"/>
          <w:color w:val="auto"/>
        </w:rPr>
        <w:t>,</w:t>
      </w:r>
      <w:r>
        <w:rPr>
          <w:rFonts w:ascii="Arial" w:cs="Arial" w:eastAsia="Arial" w:hAnsi="Arial"/>
          <w:sz w:val="15"/>
          <w:szCs w:val="15"/>
          <w:i w:val="1"/>
          <w:iCs w:val="1"/>
          <w:color w:val="auto"/>
        </w:rPr>
        <w:t xml:space="preserve"> Fresh</w:t>
      </w:r>
      <w:r>
        <w:rPr>
          <w:rFonts w:ascii="Arial" w:cs="Arial" w:eastAsia="Arial" w:hAnsi="Arial"/>
          <w:sz w:val="15"/>
          <w:szCs w:val="15"/>
          <w:color w:val="auto"/>
        </w:rPr>
        <w:t>,</w:t>
      </w:r>
      <w:r>
        <w:rPr>
          <w:rFonts w:ascii="Arial" w:cs="Arial" w:eastAsia="Arial" w:hAnsi="Arial"/>
          <w:sz w:val="15"/>
          <w:szCs w:val="15"/>
          <w:i w:val="1"/>
          <w:iCs w:val="1"/>
          <w:color w:val="auto"/>
        </w:rPr>
        <w:t xml:space="preserve"> Frisco</w:t>
      </w:r>
      <w:r>
        <w:rPr>
          <w:rFonts w:ascii="Arial" w:cs="Arial" w:eastAsia="Arial" w:hAnsi="Arial"/>
          <w:sz w:val="15"/>
          <w:szCs w:val="15"/>
          <w:color w:val="auto"/>
        </w:rPr>
        <w:t>,</w:t>
      </w:r>
      <w:r>
        <w:rPr>
          <w:rFonts w:ascii="Arial" w:cs="Arial" w:eastAsia="Arial" w:hAnsi="Arial"/>
          <w:sz w:val="15"/>
          <w:szCs w:val="15"/>
          <w:i w:val="1"/>
          <w:iCs w:val="1"/>
          <w:color w:val="auto"/>
        </w:rPr>
        <w:t xml:space="preserve"> Q-Refres-Ko </w:t>
      </w:r>
      <w:r>
        <w:rPr>
          <w:rFonts w:ascii="Arial" w:cs="Arial" w:eastAsia="Arial" w:hAnsi="Arial"/>
          <w:sz w:val="15"/>
          <w:szCs w:val="15"/>
          <w:color w:val="auto"/>
        </w:rPr>
        <w:t>and</w:t>
      </w:r>
      <w:r>
        <w:rPr>
          <w:rFonts w:ascii="Arial" w:cs="Arial" w:eastAsia="Arial" w:hAnsi="Arial"/>
          <w:sz w:val="15"/>
          <w:szCs w:val="15"/>
          <w:i w:val="1"/>
          <w:iCs w:val="1"/>
          <w:color w:val="auto"/>
        </w:rPr>
        <w:t xml:space="preserve"> Ki-Suco </w:t>
      </w:r>
      <w:r>
        <w:rPr>
          <w:rFonts w:ascii="Arial" w:cs="Arial" w:eastAsia="Arial" w:hAnsi="Arial"/>
          <w:sz w:val="15"/>
          <w:szCs w:val="15"/>
          <w:color w:val="auto"/>
        </w:rPr>
        <w:t xml:space="preserve">powdered beverages; and </w:t>
      </w:r>
      <w:r>
        <w:rPr>
          <w:rFonts w:ascii="Arial" w:cs="Arial" w:eastAsia="Arial" w:hAnsi="Arial"/>
          <w:sz w:val="15"/>
          <w:szCs w:val="15"/>
          <w:i w:val="1"/>
          <w:iCs w:val="1"/>
          <w:color w:val="auto"/>
        </w:rPr>
        <w:t>Maguary</w:t>
      </w:r>
      <w:r>
        <w:rPr>
          <w:rFonts w:ascii="Arial" w:cs="Arial" w:eastAsia="Arial" w:hAnsi="Arial"/>
          <w:sz w:val="15"/>
          <w:szCs w:val="15"/>
          <w:color w:val="auto"/>
        </w:rPr>
        <w:t xml:space="preserve"> juice concentrate.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5"/>
          <w:szCs w:val="15"/>
          <w:i w:val="1"/>
          <w:iCs w:val="1"/>
          <w:color w:val="auto"/>
        </w:rPr>
        <w:t xml:space="preserve">Kraft </w:t>
      </w:r>
      <w:r>
        <w:rPr>
          <w:rFonts w:ascii="Arial" w:cs="Arial" w:eastAsia="Arial" w:hAnsi="Arial"/>
          <w:sz w:val="15"/>
          <w:szCs w:val="15"/>
          <w:color w:val="auto"/>
        </w:rPr>
        <w:t>and</w:t>
      </w:r>
      <w:r>
        <w:rPr>
          <w:rFonts w:ascii="Arial" w:cs="Arial" w:eastAsia="Arial" w:hAnsi="Arial"/>
          <w:sz w:val="15"/>
          <w:szCs w:val="15"/>
          <w:i w:val="1"/>
          <w:iCs w:val="1"/>
          <w:color w:val="auto"/>
        </w:rPr>
        <w:t xml:space="preserve"> Eden </w:t>
      </w:r>
      <w:r>
        <w:rPr>
          <w:rFonts w:ascii="Arial" w:cs="Arial" w:eastAsia="Arial" w:hAnsi="Arial"/>
          <w:sz w:val="15"/>
          <w:szCs w:val="15"/>
          <w:color w:val="auto"/>
        </w:rPr>
        <w:t>process cheeses;</w:t>
      </w:r>
      <w:r>
        <w:rPr>
          <w:rFonts w:ascii="Arial" w:cs="Arial" w:eastAsia="Arial" w:hAnsi="Arial"/>
          <w:sz w:val="15"/>
          <w:szCs w:val="15"/>
          <w:i w:val="1"/>
          <w:iCs w:val="1"/>
          <w:color w:val="auto"/>
        </w:rPr>
        <w:t xml:space="preserve"> Philadelphia </w:t>
      </w:r>
      <w:r>
        <w:rPr>
          <w:rFonts w:ascii="Arial" w:cs="Arial" w:eastAsia="Arial" w:hAnsi="Arial"/>
          <w:sz w:val="15"/>
          <w:szCs w:val="15"/>
          <w:color w:val="auto"/>
        </w:rPr>
        <w:t>cream cheese; and</w:t>
      </w:r>
      <w:r>
        <w:rPr>
          <w:rFonts w:ascii="Arial" w:cs="Arial" w:eastAsia="Arial" w:hAnsi="Arial"/>
          <w:sz w:val="15"/>
          <w:szCs w:val="15"/>
          <w:i w:val="1"/>
          <w:iCs w:val="1"/>
          <w:color w:val="auto"/>
        </w:rPr>
        <w:t xml:space="preserve"> Cheez Whiz </w:t>
      </w:r>
      <w:r>
        <w:rPr>
          <w:rFonts w:ascii="Arial" w:cs="Arial" w:eastAsia="Arial" w:hAnsi="Arial"/>
          <w:sz w:val="15"/>
          <w:szCs w:val="15"/>
          <w:color w:val="auto"/>
        </w:rPr>
        <w:t>process cheese spread.</w:t>
      </w:r>
    </w:p>
    <w:p>
      <w:pPr>
        <w:spacing w:after="0" w:line="212" w:lineRule="exact"/>
        <w:rPr>
          <w:sz w:val="20"/>
          <w:szCs w:val="20"/>
          <w:color w:val="auto"/>
        </w:rPr>
      </w:pPr>
    </w:p>
    <w:p>
      <w:pPr>
        <w:ind w:left="60" w:right="20"/>
        <w:spacing w:after="0" w:line="271" w:lineRule="auto"/>
        <w:rPr>
          <w:sz w:val="20"/>
          <w:szCs w:val="20"/>
          <w:color w:val="auto"/>
        </w:rPr>
      </w:pPr>
      <w:r>
        <w:rPr>
          <w:rFonts w:ascii="Arial" w:cs="Arial" w:eastAsia="Arial" w:hAnsi="Arial"/>
          <w:sz w:val="15"/>
          <w:szCs w:val="15"/>
          <w:i w:val="1"/>
          <w:iCs w:val="1"/>
          <w:color w:val="auto"/>
        </w:rPr>
        <w:t xml:space="preserve">Royal </w:t>
      </w:r>
      <w:r>
        <w:rPr>
          <w:rFonts w:ascii="Arial" w:cs="Arial" w:eastAsia="Arial" w:hAnsi="Arial"/>
          <w:sz w:val="15"/>
          <w:szCs w:val="15"/>
          <w:color w:val="auto"/>
        </w:rPr>
        <w:t>dry packaged desserts;</w:t>
      </w:r>
      <w:r>
        <w:rPr>
          <w:rFonts w:ascii="Arial" w:cs="Arial" w:eastAsia="Arial" w:hAnsi="Arial"/>
          <w:sz w:val="15"/>
          <w:szCs w:val="15"/>
          <w:i w:val="1"/>
          <w:iCs w:val="1"/>
          <w:color w:val="auto"/>
        </w:rPr>
        <w:t xml:space="preserve"> Kraft </w:t>
      </w:r>
      <w:r>
        <w:rPr>
          <w:rFonts w:ascii="Arial" w:cs="Arial" w:eastAsia="Arial" w:hAnsi="Arial"/>
          <w:sz w:val="15"/>
          <w:szCs w:val="15"/>
          <w:color w:val="auto"/>
        </w:rPr>
        <w:t>spoonable and pourable salad dressings;</w:t>
      </w:r>
      <w:r>
        <w:rPr>
          <w:rFonts w:ascii="Arial" w:cs="Arial" w:eastAsia="Arial" w:hAnsi="Arial"/>
          <w:sz w:val="15"/>
          <w:szCs w:val="15"/>
          <w:i w:val="1"/>
          <w:iCs w:val="1"/>
          <w:color w:val="auto"/>
        </w:rPr>
        <w:t xml:space="preserve"> Kraft </w:t>
      </w:r>
      <w:r>
        <w:rPr>
          <w:rFonts w:ascii="Arial" w:cs="Arial" w:eastAsia="Arial" w:hAnsi="Arial"/>
          <w:sz w:val="15"/>
          <w:szCs w:val="15"/>
          <w:color w:val="auto"/>
        </w:rPr>
        <w:t>and</w:t>
      </w:r>
      <w:r>
        <w:rPr>
          <w:rFonts w:ascii="Arial" w:cs="Arial" w:eastAsia="Arial" w:hAnsi="Arial"/>
          <w:sz w:val="15"/>
          <w:szCs w:val="15"/>
          <w:i w:val="1"/>
          <w:iCs w:val="1"/>
          <w:color w:val="auto"/>
        </w:rPr>
        <w:t xml:space="preserve"> ETA </w:t>
      </w:r>
      <w:r>
        <w:rPr>
          <w:rFonts w:ascii="Arial" w:cs="Arial" w:eastAsia="Arial" w:hAnsi="Arial"/>
          <w:sz w:val="15"/>
          <w:szCs w:val="15"/>
          <w:color w:val="auto"/>
        </w:rPr>
        <w:t>peanut butters; and</w:t>
      </w:r>
      <w:r>
        <w:rPr>
          <w:rFonts w:ascii="Arial" w:cs="Arial" w:eastAsia="Arial" w:hAnsi="Arial"/>
          <w:sz w:val="15"/>
          <w:szCs w:val="15"/>
          <w:i w:val="1"/>
          <w:iCs w:val="1"/>
          <w:color w:val="auto"/>
        </w:rPr>
        <w:t xml:space="preserve"> Vegemite </w:t>
      </w:r>
      <w:r>
        <w:rPr>
          <w:rFonts w:ascii="Arial" w:cs="Arial" w:eastAsia="Arial" w:hAnsi="Arial"/>
          <w:sz w:val="15"/>
          <w:szCs w:val="15"/>
          <w:color w:val="auto"/>
        </w:rPr>
        <w:t>yeast spread.</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5"/>
          <w:szCs w:val="15"/>
          <w:i w:val="1"/>
          <w:iCs w:val="1"/>
          <w:color w:val="auto"/>
        </w:rPr>
        <w:t xml:space="preserve">Kraft </w:t>
      </w:r>
      <w:r>
        <w:rPr>
          <w:rFonts w:ascii="Arial" w:cs="Arial" w:eastAsia="Arial" w:hAnsi="Arial"/>
          <w:sz w:val="15"/>
          <w:szCs w:val="15"/>
          <w:color w:val="auto"/>
        </w:rPr>
        <w:t>macaroni &amp; cheese dinners.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Distribution, Competition and Raw Materials</w:t>
      </w:r>
    </w:p>
    <w:p>
      <w:pPr>
        <w:spacing w:after="0" w:line="193" w:lineRule="exact"/>
        <w:rPr>
          <w:sz w:val="20"/>
          <w:szCs w:val="20"/>
          <w:color w:val="auto"/>
        </w:rPr>
      </w:pPr>
    </w:p>
    <w:p>
      <w:pPr>
        <w:sectPr>
          <w:pgSz w:w="11900" w:h="16874" w:orient="portrait"/>
          <w:cols w:equalWidth="0" w:num="2">
            <w:col w:w="3560" w:space="720"/>
            <w:col w:w="7140"/>
          </w:cols>
          <w:pgMar w:left="240" w:top="132" w:right="239" w:bottom="0" w:gutter="0" w:footer="0" w:header="0"/>
          <w:type w:val="continuous"/>
        </w:sectPr>
      </w:pPr>
    </w:p>
    <w:p>
      <w:pPr>
        <w:ind w:right="340" w:firstLine="294"/>
        <w:spacing w:after="0" w:line="282" w:lineRule="auto"/>
        <w:rPr>
          <w:sz w:val="20"/>
          <w:szCs w:val="20"/>
          <w:color w:val="auto"/>
        </w:rPr>
      </w:pPr>
      <w:r>
        <w:rPr>
          <w:rFonts w:ascii="Arial" w:cs="Arial" w:eastAsia="Arial" w:hAnsi="Arial"/>
          <w:sz w:val="14"/>
          <w:szCs w:val="14"/>
          <w:color w:val="auto"/>
        </w:rPr>
        <w:t>Kraft Foods North America's products are generally sold to supermarket chains, wholesalers, supercenters, club stores, mass merchandisers, distributors, convenience stores, gasoline stations and other retail food outlets. In general, the retail trade for food products is consolidating. Food products are distributed through distribution centers, satellite warehouses, company-operated and public cold-storage facilities, depots and other facilities. Most distribution in North America is in the form of warehouse delivery, but biscuits and frozen pizza are distributed through two direct-store-delivery systems. Selling efforts are supported by national and regional advertising on television and radio as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well as outdoor media such as billboards and in magazines and newspapers, as well as by sales promotions, product displays, trade incentives, informative material offered to customers and other promotional activities. Subsidiaries and affiliates of Kraft Foods International sell their food products primarily in the same manner and also engage the services of independent sales offices and agents.</w:t>
      </w:r>
    </w:p>
    <w:p>
      <w:pPr>
        <w:sectPr>
          <w:pgSz w:w="11900" w:h="16874" w:orient="portrait"/>
          <w:cols w:equalWidth="0" w:num="1">
            <w:col w:w="11420"/>
          </w:cols>
          <w:pgMar w:left="240" w:top="132" w:right="239" w:bottom="0" w:gutter="0" w:footer="0" w:header="0"/>
          <w:type w:val="continuous"/>
        </w:sectPr>
      </w:pPr>
    </w:p>
    <w:bookmarkStart w:id="4" w:name="page5"/>
    <w:bookmarkEnd w:id="4"/>
    <w:p>
      <w:pPr>
        <w:spacing w:after="0" w:line="67" w:lineRule="exact"/>
        <w:rPr>
          <w:sz w:val="20"/>
          <w:szCs w:val="20"/>
          <w:color w:val="auto"/>
        </w:rPr>
      </w:pPr>
    </w:p>
    <w:p>
      <w:pPr>
        <w:ind w:right="100" w:firstLine="294"/>
        <w:spacing w:after="0" w:line="277" w:lineRule="auto"/>
        <w:rPr>
          <w:sz w:val="20"/>
          <w:szCs w:val="20"/>
          <w:color w:val="auto"/>
        </w:rPr>
      </w:pPr>
      <w:r>
        <w:rPr>
          <w:rFonts w:ascii="Arial" w:cs="Arial" w:eastAsia="Arial" w:hAnsi="Arial"/>
          <w:sz w:val="14"/>
          <w:szCs w:val="14"/>
          <w:color w:val="auto"/>
        </w:rPr>
        <w:t>Kraft Foods North America, Kraft Foods International and their subsidiaries are subject to competitive conditions in all aspects of their business. Competitors include large national and international companies and numerous local and regional companies. Some competitors may have different profit objectives and some international competitors may be more or less susceptible to currency exchange rates. In addition, certain international competitors benefit from government subsidies. Products of Kraft Foods North America and Kraft Foods International also compete with generic products and private-label products of food retailers, wholesalers and cooperatives. Kraft Foods North America, Kraft Foods International and their subsidiaries compete primarily on the basis of product quality, brand recognition, brand loyalty, service, marketing, advertising and price. Substantial advertising and promotional expenditures are required to maintain or improve a brand's market position or to introduce a new product.</w:t>
      </w:r>
    </w:p>
    <w:p>
      <w:pPr>
        <w:spacing w:after="0" w:line="151" w:lineRule="exact"/>
        <w:rPr>
          <w:sz w:val="20"/>
          <w:szCs w:val="20"/>
          <w:color w:val="auto"/>
        </w:rPr>
      </w:pPr>
    </w:p>
    <w:p>
      <w:pPr>
        <w:ind w:right="120" w:firstLine="294"/>
        <w:spacing w:after="0" w:line="288" w:lineRule="auto"/>
        <w:rPr>
          <w:sz w:val="20"/>
          <w:szCs w:val="20"/>
          <w:color w:val="auto"/>
        </w:rPr>
      </w:pPr>
      <w:r>
        <w:rPr>
          <w:rFonts w:ascii="Arial" w:cs="Arial" w:eastAsia="Arial" w:hAnsi="Arial"/>
          <w:sz w:val="14"/>
          <w:szCs w:val="14"/>
          <w:color w:val="auto"/>
        </w:rPr>
        <w:t>Kraft Foods North America, Kraft Foods International and their subsidiaries are major purchasers of milk, cheese, nuts, green coffee beans, cocoa, corn products, wheat, rice, pork, poultry, beef, vegetable oil, and sugar and other sweeteners. They also use significant quantities of glass, plastic and cardboard to package their products. They continuously monitor worldwide supply and cost trends of these commodities to enable them to take appropriate action to obtain ingredients and packaging needed for production.</w:t>
      </w:r>
    </w:p>
    <w:p>
      <w:pPr>
        <w:spacing w:after="0" w:line="144" w:lineRule="exact"/>
        <w:rPr>
          <w:sz w:val="20"/>
          <w:szCs w:val="20"/>
          <w:color w:val="auto"/>
        </w:rPr>
      </w:pPr>
    </w:p>
    <w:p>
      <w:pPr>
        <w:ind w:right="400" w:firstLine="294"/>
        <w:spacing w:after="0" w:line="288" w:lineRule="auto"/>
        <w:rPr>
          <w:sz w:val="20"/>
          <w:szCs w:val="20"/>
          <w:color w:val="auto"/>
        </w:rPr>
      </w:pPr>
      <w:r>
        <w:rPr>
          <w:rFonts w:ascii="Arial" w:cs="Arial" w:eastAsia="Arial" w:hAnsi="Arial"/>
          <w:sz w:val="14"/>
          <w:szCs w:val="14"/>
          <w:color w:val="auto"/>
        </w:rPr>
        <w:t>Kraft Foods North America, Kraft Foods International and their subsidiaries purchase a substantial portion of their milk requirements from independent agricultural cooperatives and individual producers, and a substantial portion of their cheese requirements from independent sources. The prices for milk and other dairy product purchases are substantially influenced by government programs, as well as by market supply and demand. Dairy commodity costs on average were lower in 2002 than those seen in 2001.</w:t>
      </w:r>
    </w:p>
    <w:p>
      <w:pPr>
        <w:spacing w:after="0" w:line="144" w:lineRule="exact"/>
        <w:rPr>
          <w:sz w:val="20"/>
          <w:szCs w:val="20"/>
          <w:color w:val="auto"/>
        </w:rPr>
      </w:pPr>
    </w:p>
    <w:p>
      <w:pPr>
        <w:ind w:firstLine="291"/>
        <w:spacing w:after="0" w:line="256" w:lineRule="auto"/>
        <w:rPr>
          <w:sz w:val="20"/>
          <w:szCs w:val="20"/>
          <w:color w:val="auto"/>
        </w:rPr>
      </w:pPr>
      <w:r>
        <w:rPr>
          <w:rFonts w:ascii="Arial" w:cs="Arial" w:eastAsia="Arial" w:hAnsi="Arial"/>
          <w:sz w:val="15"/>
          <w:szCs w:val="15"/>
          <w:color w:val="auto"/>
        </w:rPr>
        <w:t>The most significant cost item in coffee products is green coffee beans, which are purchased on world markets. Green coffee bean prices are affected by the quality and availability of supply, trade agreements among producing and consuming nations, the unilateral policies of the producing nations, changes in the value of the United States dollar in relation to certain other currencies and consumer demand for coffee products. In 2002, coffee bean prices were lower than in 2001. A significant cost item in chocolate confectionery products is cocoa, which is purchased on world markets, and the price of which is affected by the quality and availability of supply and changes in the value of the British pound sterling and the United States dollar relative to certain other currencies. In 2002, cocoa bean prices were higher than in 2001.</w:t>
      </w:r>
    </w:p>
    <w:p>
      <w:pPr>
        <w:spacing w:after="0" w:line="165" w:lineRule="exact"/>
        <w:rPr>
          <w:sz w:val="20"/>
          <w:szCs w:val="20"/>
          <w:color w:val="auto"/>
        </w:rPr>
      </w:pPr>
    </w:p>
    <w:p>
      <w:pPr>
        <w:ind w:right="120" w:firstLine="291"/>
        <w:spacing w:after="0" w:line="279" w:lineRule="auto"/>
        <w:rPr>
          <w:sz w:val="20"/>
          <w:szCs w:val="20"/>
          <w:color w:val="auto"/>
        </w:rPr>
      </w:pPr>
      <w:r>
        <w:rPr>
          <w:rFonts w:ascii="Arial" w:cs="Arial" w:eastAsia="Arial" w:hAnsi="Arial"/>
          <w:sz w:val="14"/>
          <w:szCs w:val="14"/>
          <w:color w:val="auto"/>
        </w:rPr>
        <w:t>The prices paid for raw materials and agricultural materials used in the products of Kraft Foods North America, Kraft Foods International and their subsidiaries generally reflect external factors such as weather conditions, commodity market fluctuations, currency fluctuations and the effects of governmental agricultural programs. Although the prices of the principal raw materials can be expected to fluctuate as a result of these factors, the Company believes such raw materials to be in adequate supply and generally available from numerous sources. The Company uses hedging techniques to minimize the impact of price fluctuations in their principal raw materials. However, they do not fully hedge against changes in commodity prices and these strategies may not protect the Company or its subsidiaries from increases in specific raw material costs.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Regulation</w:t>
      </w:r>
    </w:p>
    <w:p>
      <w:pPr>
        <w:spacing w:after="0" w:line="193" w:lineRule="exact"/>
        <w:rPr>
          <w:sz w:val="20"/>
          <w:szCs w:val="20"/>
          <w:color w:val="auto"/>
        </w:rPr>
      </w:pPr>
    </w:p>
    <w:p>
      <w:pPr>
        <w:ind w:right="80" w:firstLine="286"/>
        <w:spacing w:after="0" w:line="282" w:lineRule="auto"/>
        <w:rPr>
          <w:sz w:val="20"/>
          <w:szCs w:val="20"/>
          <w:color w:val="auto"/>
        </w:rPr>
      </w:pPr>
      <w:r>
        <w:rPr>
          <w:rFonts w:ascii="Arial" w:cs="Arial" w:eastAsia="Arial" w:hAnsi="Arial"/>
          <w:sz w:val="14"/>
          <w:szCs w:val="14"/>
          <w:color w:val="auto"/>
        </w:rPr>
        <w:t>All of Kraft Foods North America's United States food products and packaging materials are subject to regulations administered by the Food and Drug Administration ("FDA") or, with respect to products containing meat and poultry, the United States Department of Agriculture. Among other things, these agencies enforce statutory prohibitions against misbranded and adulterated foods, establish safety standards for food processing, establish ingredients and manufacturing procedures for certain foods, establish standards of identity for certain foods, determine the safety of food additives and establish labeling standards and nutrition labeling requirements for food products.</w:t>
      </w:r>
    </w:p>
    <w:p>
      <w:pPr>
        <w:spacing w:after="0" w:line="147" w:lineRule="exact"/>
        <w:rPr>
          <w:sz w:val="20"/>
          <w:szCs w:val="20"/>
          <w:color w:val="auto"/>
        </w:rPr>
      </w:pPr>
    </w:p>
    <w:p>
      <w:pPr>
        <w:ind w:right="40" w:firstLine="294"/>
        <w:spacing w:after="0" w:line="350" w:lineRule="auto"/>
        <w:rPr>
          <w:sz w:val="20"/>
          <w:szCs w:val="20"/>
          <w:color w:val="auto"/>
        </w:rPr>
      </w:pPr>
      <w:r>
        <w:rPr>
          <w:rFonts w:ascii="Arial" w:cs="Arial" w:eastAsia="Arial" w:hAnsi="Arial"/>
          <w:sz w:val="13"/>
          <w:szCs w:val="13"/>
          <w:color w:val="auto"/>
        </w:rPr>
        <w:t>In addition, various states regulate the business of Kraft Foods North America's operating units by licensing dairy plants, enforcing federal and state standards of identity for selected food products, grading food products, inspecting plants, regulating certain trade practices in connection with the sale of dairy products and imposing their own labeling requirements on food products.</w:t>
      </w:r>
    </w:p>
    <w:p>
      <w:pPr>
        <w:spacing w:after="0" w:line="106" w:lineRule="exact"/>
        <w:rPr>
          <w:sz w:val="20"/>
          <w:szCs w:val="20"/>
          <w:color w:val="auto"/>
        </w:rPr>
      </w:pPr>
    </w:p>
    <w:p>
      <w:pPr>
        <w:ind w:right="300" w:firstLine="294"/>
        <w:spacing w:after="0" w:line="271" w:lineRule="auto"/>
        <w:rPr>
          <w:sz w:val="20"/>
          <w:szCs w:val="20"/>
          <w:color w:val="auto"/>
        </w:rPr>
      </w:pPr>
      <w:r>
        <w:rPr>
          <w:rFonts w:ascii="Arial" w:cs="Arial" w:eastAsia="Arial" w:hAnsi="Arial"/>
          <w:sz w:val="15"/>
          <w:szCs w:val="15"/>
          <w:color w:val="auto"/>
        </w:rPr>
        <w:t>Many of the food commodities on which Kraft Foods North America's United States businesses rely are subject to governmental agricultural programs. These programs have substantial effects on prices and supplies and are subject to Congressional and administrative review.</w:t>
      </w:r>
    </w:p>
    <w:p>
      <w:pPr>
        <w:spacing w:after="0" w:line="153" w:lineRule="exact"/>
        <w:rPr>
          <w:sz w:val="20"/>
          <w:szCs w:val="20"/>
          <w:color w:val="auto"/>
        </w:rPr>
      </w:pPr>
    </w:p>
    <w:p>
      <w:pPr>
        <w:ind w:right="120" w:firstLine="286"/>
        <w:spacing w:after="0" w:line="261" w:lineRule="auto"/>
        <w:rPr>
          <w:sz w:val="20"/>
          <w:szCs w:val="20"/>
          <w:color w:val="auto"/>
        </w:rPr>
      </w:pPr>
      <w:r>
        <w:rPr>
          <w:rFonts w:ascii="Arial" w:cs="Arial" w:eastAsia="Arial" w:hAnsi="Arial"/>
          <w:sz w:val="15"/>
          <w:szCs w:val="15"/>
          <w:color w:val="auto"/>
        </w:rPr>
        <w:t>Almost all of the activities of the Company's food operations outside of the United States are subject to local and national regulations similar to those applicable to Kraft Foods North America's United States businesses and, in some cases, international regulatory provisions, such as those of the European Union relating to labeling, packaging, food content, pricing, marketing and advertising and related areas.</w:t>
      </w:r>
    </w:p>
    <w:p>
      <w:pPr>
        <w:spacing w:after="0" w:line="160" w:lineRule="exact"/>
        <w:rPr>
          <w:sz w:val="20"/>
          <w:szCs w:val="20"/>
          <w:color w:val="auto"/>
        </w:rPr>
      </w:pPr>
    </w:p>
    <w:p>
      <w:pPr>
        <w:ind w:right="720" w:firstLine="291"/>
        <w:spacing w:after="0" w:line="350" w:lineRule="auto"/>
        <w:rPr>
          <w:sz w:val="20"/>
          <w:szCs w:val="20"/>
          <w:color w:val="auto"/>
        </w:rPr>
      </w:pPr>
      <w:r>
        <w:rPr>
          <w:rFonts w:ascii="Arial" w:cs="Arial" w:eastAsia="Arial" w:hAnsi="Arial"/>
          <w:sz w:val="13"/>
          <w:szCs w:val="13"/>
          <w:color w:val="auto"/>
        </w:rPr>
        <w:t>The European Union and certain individual countries require that food products containing genetically modified organisms or classes of ingredients derived from them be labeled accordingly. Other countries may adopt similar regulations. The FDA has concluded that there is no basis for similar mandatory labeling under current United States law.</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Other Matters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Customers</w:t>
      </w:r>
    </w:p>
    <w:p>
      <w:pPr>
        <w:spacing w:after="0" w:line="189" w:lineRule="exact"/>
        <w:rPr>
          <w:sz w:val="20"/>
          <w:szCs w:val="20"/>
          <w:color w:val="auto"/>
        </w:rPr>
      </w:pPr>
    </w:p>
    <w:p>
      <w:pPr>
        <w:ind w:right="140" w:firstLine="294"/>
        <w:spacing w:after="0" w:line="350" w:lineRule="auto"/>
        <w:rPr>
          <w:sz w:val="20"/>
          <w:szCs w:val="20"/>
          <w:color w:val="auto"/>
        </w:rPr>
      </w:pPr>
      <w:r>
        <w:rPr>
          <w:rFonts w:ascii="Arial" w:cs="Arial" w:eastAsia="Arial" w:hAnsi="Arial"/>
          <w:sz w:val="13"/>
          <w:szCs w:val="13"/>
          <w:color w:val="auto"/>
        </w:rPr>
        <w:t>For the year ended December 31, 2002, the Company's five largest customers accounted for approximately 26.9% of its net revenues, while the Company's ten largest customers accounted for approximately 36.9% of its net revenues. One of the Company's customers, Wal-Mart Stores, Inc., accounted for approximately 12.2% of net revenues for 2002.</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Employees</w:t>
      </w:r>
    </w:p>
    <w:p>
      <w:pPr>
        <w:spacing w:after="0" w:line="189" w:lineRule="exact"/>
        <w:rPr>
          <w:sz w:val="20"/>
          <w:szCs w:val="20"/>
          <w:color w:val="auto"/>
        </w:rPr>
      </w:pPr>
    </w:p>
    <w:p>
      <w:pPr>
        <w:ind w:right="20" w:firstLine="286"/>
        <w:spacing w:after="0" w:line="275" w:lineRule="auto"/>
        <w:rPr>
          <w:sz w:val="20"/>
          <w:szCs w:val="20"/>
          <w:color w:val="auto"/>
        </w:rPr>
      </w:pPr>
      <w:r>
        <w:rPr>
          <w:rFonts w:ascii="Arial" w:cs="Arial" w:eastAsia="Arial" w:hAnsi="Arial"/>
          <w:sz w:val="14"/>
          <w:szCs w:val="14"/>
          <w:color w:val="auto"/>
        </w:rPr>
        <w:t>At December 31, 2002, the Company employed approximately 109,000 people worldwide. Approximately one-third of the Company's 50,000 employees in the United States are represented by labor unions. Most of the unionized workers at the Company's domestic locations are represented under contracts with the Bakery, Confectionery, Tobacco Workers and Grain Millers International Union; the United Food and Commercial Workers International Union; and the International Brotherhood of Teamsters. These contracts expire at various times throughout the next several years. Outside the United States, approximately one-half of the Company's 59,000 employees are represented by labor unions or workers' councils. The Company's business units are subject to a number of laws and regulations relating to their relationships with their employees. These laws and regulations are specific to the location of each enterprise. In addition, in accordance with European Union requirements, Kraft Foods International has established European Works Councils composed of management and elected members of its workforce. The Company believes that its relations with employees and their representative organizations are good.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Research and Development</w:t>
      </w:r>
    </w:p>
    <w:p>
      <w:pPr>
        <w:spacing w:after="0" w:line="189" w:lineRule="exact"/>
        <w:rPr>
          <w:sz w:val="20"/>
          <w:szCs w:val="20"/>
          <w:color w:val="auto"/>
        </w:rPr>
      </w:pPr>
    </w:p>
    <w:p>
      <w:pPr>
        <w:ind w:right="80" w:firstLine="291"/>
        <w:spacing w:after="0" w:line="271" w:lineRule="auto"/>
        <w:rPr>
          <w:sz w:val="20"/>
          <w:szCs w:val="20"/>
          <w:color w:val="auto"/>
        </w:rPr>
      </w:pPr>
      <w:r>
        <w:rPr>
          <w:rFonts w:ascii="Arial" w:cs="Arial" w:eastAsia="Arial" w:hAnsi="Arial"/>
          <w:sz w:val="15"/>
          <w:szCs w:val="15"/>
          <w:color w:val="auto"/>
        </w:rPr>
        <w:t>The Company pursues four objectives in research and development: uncompromising product safety and quality; growth through new products; superior consumer satisfaction; and reduced costs.</w:t>
      </w:r>
    </w:p>
    <w:p>
      <w:pPr>
        <w:spacing w:after="0" w:line="153" w:lineRule="exact"/>
        <w:rPr>
          <w:sz w:val="20"/>
          <w:szCs w:val="20"/>
          <w:color w:val="auto"/>
        </w:rPr>
      </w:pPr>
    </w:p>
    <w:p>
      <w:pPr>
        <w:ind w:right="80" w:firstLine="291"/>
        <w:spacing w:after="0" w:line="261" w:lineRule="auto"/>
        <w:rPr>
          <w:sz w:val="20"/>
          <w:szCs w:val="20"/>
          <w:color w:val="auto"/>
        </w:rPr>
      </w:pPr>
      <w:r>
        <w:rPr>
          <w:rFonts w:ascii="Arial" w:cs="Arial" w:eastAsia="Arial" w:hAnsi="Arial"/>
          <w:sz w:val="15"/>
          <w:szCs w:val="15"/>
          <w:color w:val="auto"/>
        </w:rPr>
        <w:t>The Company's research and development resources include more than 2,000 food scientists, chemists and engineers, deployed primarily in five key technology centers: East Hanover, New Jersey; Glenview, Illinois; Tarrytown, New York; Banbury, United Kingdom; and Munich, Germany. These technology centers are equipped with pilot plants and state-of-the-art instruments. Research and development expense was $360 million in 2002, $358 million in 2001 and $270 million in 2000.</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Trademarks and Intellectual Property</w:t>
      </w:r>
    </w:p>
    <w:p>
      <w:pPr>
        <w:spacing w:after="0" w:line="189" w:lineRule="exact"/>
        <w:rPr>
          <w:sz w:val="20"/>
          <w:szCs w:val="20"/>
          <w:color w:val="auto"/>
        </w:rPr>
      </w:pPr>
    </w:p>
    <w:p>
      <w:pPr>
        <w:ind w:right="40" w:firstLine="291"/>
        <w:spacing w:after="0" w:line="261" w:lineRule="auto"/>
        <w:rPr>
          <w:sz w:val="20"/>
          <w:szCs w:val="20"/>
          <w:color w:val="auto"/>
        </w:rPr>
      </w:pPr>
      <w:r>
        <w:rPr>
          <w:rFonts w:ascii="Arial" w:cs="Arial" w:eastAsia="Arial" w:hAnsi="Arial"/>
          <w:sz w:val="15"/>
          <w:szCs w:val="15"/>
          <w:color w:val="auto"/>
        </w:rPr>
        <w:t>Trademarks are of material importance to the Company's businesses and are protected by registration or otherwise in the United States and most other markets where the related products are sold. The Company has from time to time granted various parties exclusive or non-exclusive licenses to use one or more of its trademarks in particular locations. The Company does not believe that these licensing arrangements have had a material effect on the conduct of its business or operating results.</w:t>
      </w:r>
    </w:p>
    <w:p>
      <w:pPr>
        <w:spacing w:after="0" w:line="160" w:lineRule="exact"/>
        <w:rPr>
          <w:sz w:val="20"/>
          <w:szCs w:val="20"/>
          <w:color w:val="auto"/>
        </w:rPr>
      </w:pPr>
    </w:p>
    <w:p>
      <w:pPr>
        <w:jc w:val="both"/>
        <w:ind w:right="40" w:firstLine="294"/>
        <w:spacing w:after="0" w:line="320" w:lineRule="auto"/>
        <w:rPr>
          <w:sz w:val="20"/>
          <w:szCs w:val="20"/>
          <w:color w:val="auto"/>
        </w:rPr>
      </w:pPr>
      <w:r>
        <w:rPr>
          <w:rFonts w:ascii="Arial" w:cs="Arial" w:eastAsia="Arial" w:hAnsi="Arial"/>
          <w:sz w:val="13"/>
          <w:szCs w:val="13"/>
          <w:color w:val="auto"/>
        </w:rPr>
        <w:t xml:space="preserve">Some of the Company's products are sold under brands that have been licensed from others on terms that are generally renewable at the Company's discretion. These licensed brands include </w:t>
      </w:r>
      <w:r>
        <w:rPr>
          <w:rFonts w:ascii="Arial" w:cs="Arial" w:eastAsia="Arial" w:hAnsi="Arial"/>
          <w:sz w:val="13"/>
          <w:szCs w:val="13"/>
          <w:i w:val="1"/>
          <w:iCs w:val="1"/>
          <w:color w:val="auto"/>
        </w:rPr>
        <w:t xml:space="preserve">Starbucks </w:t>
      </w:r>
      <w:r>
        <w:rPr>
          <w:rFonts w:ascii="Arial" w:cs="Arial" w:eastAsia="Arial" w:hAnsi="Arial"/>
          <w:sz w:val="13"/>
          <w:szCs w:val="13"/>
          <w:color w:val="auto"/>
        </w:rPr>
        <w:t>bagged coffee for sale in United States grocery stores,</w:t>
      </w:r>
      <w:r>
        <w:rPr>
          <w:rFonts w:ascii="Arial" w:cs="Arial" w:eastAsia="Arial" w:hAnsi="Arial"/>
          <w:sz w:val="13"/>
          <w:szCs w:val="13"/>
          <w:i w:val="1"/>
          <w:iCs w:val="1"/>
          <w:color w:val="auto"/>
        </w:rPr>
        <w:t xml:space="preserve"> Capri Sun </w:t>
      </w:r>
      <w:r>
        <w:rPr>
          <w:rFonts w:ascii="Arial" w:cs="Arial" w:eastAsia="Arial" w:hAnsi="Arial"/>
          <w:sz w:val="13"/>
          <w:szCs w:val="13"/>
          <w:color w:val="auto"/>
        </w:rPr>
        <w:t>aseptic juice drinks for sale in North America,</w:t>
      </w:r>
      <w:r>
        <w:rPr>
          <w:rFonts w:ascii="Arial" w:cs="Arial" w:eastAsia="Arial" w:hAnsi="Arial"/>
          <w:sz w:val="13"/>
          <w:szCs w:val="13"/>
          <w:i w:val="1"/>
          <w:iCs w:val="1"/>
          <w:color w:val="auto"/>
        </w:rPr>
        <w:t xml:space="preserve"> Taco Bell </w:t>
      </w:r>
      <w:r>
        <w:rPr>
          <w:rFonts w:ascii="Arial" w:cs="Arial" w:eastAsia="Arial" w:hAnsi="Arial"/>
          <w:sz w:val="13"/>
          <w:szCs w:val="13"/>
          <w:color w:val="auto"/>
        </w:rPr>
        <w:t>Mexican style food products for sale in United States grocery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stores, </w:t>
      </w:r>
      <w:r>
        <w:rPr>
          <w:rFonts w:ascii="Arial" w:cs="Arial" w:eastAsia="Arial" w:hAnsi="Arial"/>
          <w:sz w:val="13"/>
          <w:szCs w:val="13"/>
          <w:i w:val="1"/>
          <w:iCs w:val="1"/>
          <w:color w:val="auto"/>
        </w:rPr>
        <w:t>California Pizza Kitchen</w:t>
      </w:r>
      <w:r>
        <w:rPr>
          <w:rFonts w:ascii="Arial" w:cs="Arial" w:eastAsia="Arial" w:hAnsi="Arial"/>
          <w:sz w:val="13"/>
          <w:szCs w:val="13"/>
          <w:color w:val="auto"/>
        </w:rPr>
        <w:t xml:space="preserve"> frozen pizzas for sale in grocery stores in the United States and Canada, </w:t>
      </w:r>
      <w:r>
        <w:rPr>
          <w:rFonts w:ascii="Arial" w:cs="Arial" w:eastAsia="Arial" w:hAnsi="Arial"/>
          <w:sz w:val="13"/>
          <w:szCs w:val="13"/>
          <w:i w:val="1"/>
          <w:iCs w:val="1"/>
          <w:color w:val="auto"/>
        </w:rPr>
        <w:t>Pebbles</w:t>
      </w:r>
      <w:r>
        <w:rPr>
          <w:rFonts w:ascii="Arial" w:cs="Arial" w:eastAsia="Arial" w:hAnsi="Arial"/>
          <w:sz w:val="13"/>
          <w:szCs w:val="13"/>
          <w:color w:val="auto"/>
        </w:rPr>
        <w:t xml:space="preserve"> ready-to-eat cereals and </w:t>
      </w:r>
      <w:r>
        <w:rPr>
          <w:rFonts w:ascii="Arial" w:cs="Arial" w:eastAsia="Arial" w:hAnsi="Arial"/>
          <w:sz w:val="13"/>
          <w:szCs w:val="13"/>
          <w:i w:val="1"/>
          <w:iCs w:val="1"/>
          <w:color w:val="auto"/>
        </w:rPr>
        <w:t>Breyers</w:t>
      </w:r>
      <w:r>
        <w:rPr>
          <w:rFonts w:ascii="Arial" w:cs="Arial" w:eastAsia="Arial" w:hAnsi="Arial"/>
          <w:sz w:val="13"/>
          <w:szCs w:val="13"/>
          <w:color w:val="auto"/>
        </w:rPr>
        <w:t xml:space="preserve"> yogurt products.</w:t>
      </w:r>
    </w:p>
    <w:p>
      <w:pPr>
        <w:spacing w:after="0" w:line="125" w:lineRule="exact"/>
        <w:rPr>
          <w:sz w:val="20"/>
          <w:szCs w:val="20"/>
          <w:color w:val="auto"/>
        </w:rPr>
      </w:pPr>
    </w:p>
    <w:p>
      <w:pPr>
        <w:ind w:right="120" w:firstLine="294"/>
        <w:spacing w:after="0" w:line="350" w:lineRule="auto"/>
        <w:rPr>
          <w:sz w:val="20"/>
          <w:szCs w:val="20"/>
          <w:color w:val="auto"/>
        </w:rPr>
      </w:pPr>
      <w:r>
        <w:rPr>
          <w:rFonts w:ascii="Arial" w:cs="Arial" w:eastAsia="Arial" w:hAnsi="Arial"/>
          <w:sz w:val="13"/>
          <w:szCs w:val="13"/>
          <w:color w:val="auto"/>
        </w:rPr>
        <w:t>Similarly, the Company owns thousands of patents worldwide, and the patent portfolio as a whole is material to the Company's business; however, no one patent or group of related patents is material to the Company. In addition, the Company has proprietary trade secrets, technology, know-how processes and other intellectual property rights that are not registered.</w:t>
      </w:r>
    </w:p>
    <w:p>
      <w:pPr>
        <w:sectPr>
          <w:pgSz w:w="11900" w:h="16906" w:orient="portrait"/>
          <w:cols w:equalWidth="0" w:num="1">
            <w:col w:w="11440"/>
          </w:cols>
          <w:pgMar w:left="240" w:top="132" w:right="219" w:bottom="0" w:gutter="0" w:footer="0" w:header="0"/>
        </w:sectPr>
      </w:pPr>
    </w:p>
    <w:bookmarkStart w:id="5" w:name="page6"/>
    <w:bookmarkEnd w:id="5"/>
    <w:p>
      <w:pPr>
        <w:ind w:left="10"/>
        <w:spacing w:after="0"/>
        <w:rPr>
          <w:sz w:val="20"/>
          <w:szCs w:val="20"/>
          <w:color w:val="auto"/>
        </w:rPr>
      </w:pPr>
      <w:r>
        <w:rPr>
          <w:rFonts w:ascii="Arial" w:cs="Arial" w:eastAsia="Arial" w:hAnsi="Arial"/>
          <w:sz w:val="15"/>
          <w:szCs w:val="15"/>
          <w:i w:val="1"/>
          <w:iCs w:val="1"/>
          <w:color w:val="auto"/>
        </w:rPr>
        <w:t>Environmental Regulation</w:t>
      </w:r>
    </w:p>
    <w:p>
      <w:pPr>
        <w:spacing w:after="0" w:line="189" w:lineRule="exact"/>
        <w:rPr>
          <w:sz w:val="20"/>
          <w:szCs w:val="20"/>
          <w:color w:val="auto"/>
        </w:rPr>
      </w:pPr>
    </w:p>
    <w:p>
      <w:pPr>
        <w:ind w:left="10" w:right="60" w:firstLine="291"/>
        <w:spacing w:after="0" w:line="310" w:lineRule="auto"/>
        <w:rPr>
          <w:sz w:val="20"/>
          <w:szCs w:val="20"/>
          <w:color w:val="auto"/>
        </w:rPr>
      </w:pPr>
      <w:r>
        <w:rPr>
          <w:rFonts w:ascii="Arial" w:cs="Arial" w:eastAsia="Arial" w:hAnsi="Arial"/>
          <w:sz w:val="13"/>
          <w:szCs w:val="13"/>
          <w:color w:val="auto"/>
        </w:rPr>
        <w:t>The Company is subject to various federal, state, local and foreign laws and regulations concerning the discharge of materials into the environment, or otherwise related to environmental protection, including the Clean Air Act, the Clean Water Act, the Resource Conservation and Recovery Act and the Comprehensive Environmental Response, Compensation and Liability Act of 1980 (commonly known as "Superfund"), which imposes joint and several liability on each responsible party. In 2002, subsidiaries of the Company were involved in 96 active Superfund and other actions in the United States related to current operations and certain former or divested operations for which the Company retains liability.</w:t>
      </w:r>
    </w:p>
    <w:p>
      <w:pPr>
        <w:spacing w:after="0" w:line="132" w:lineRule="exact"/>
        <w:rPr>
          <w:sz w:val="20"/>
          <w:szCs w:val="20"/>
          <w:color w:val="auto"/>
        </w:rPr>
      </w:pPr>
    </w:p>
    <w:p>
      <w:pPr>
        <w:ind w:left="10" w:right="380" w:firstLine="294"/>
        <w:spacing w:after="0" w:line="308" w:lineRule="auto"/>
        <w:rPr>
          <w:sz w:val="20"/>
          <w:szCs w:val="20"/>
          <w:color w:val="auto"/>
        </w:rPr>
      </w:pPr>
      <w:r>
        <w:rPr>
          <w:rFonts w:ascii="Arial" w:cs="Arial" w:eastAsia="Arial" w:hAnsi="Arial"/>
          <w:sz w:val="14"/>
          <w:szCs w:val="14"/>
          <w:color w:val="auto"/>
        </w:rPr>
        <w:t>Outside the United States, the Company is subject to applicable multi-national, national and local environmental laws and regulations in the host countries in which the Company does business. The Company has specific programs across its international business units designed to meet applicable environmental compliance requirements.</w:t>
      </w:r>
    </w:p>
    <w:p>
      <w:pPr>
        <w:spacing w:after="0" w:line="129" w:lineRule="exact"/>
        <w:rPr>
          <w:sz w:val="20"/>
          <w:szCs w:val="20"/>
          <w:color w:val="auto"/>
        </w:rPr>
      </w:pPr>
    </w:p>
    <w:p>
      <w:pPr>
        <w:ind w:left="10" w:right="120" w:firstLine="286"/>
        <w:spacing w:after="0" w:line="261" w:lineRule="auto"/>
        <w:rPr>
          <w:sz w:val="20"/>
          <w:szCs w:val="20"/>
          <w:color w:val="auto"/>
        </w:rPr>
      </w:pPr>
      <w:r>
        <w:rPr>
          <w:rFonts w:ascii="Arial" w:cs="Arial" w:eastAsia="Arial" w:hAnsi="Arial"/>
          <w:sz w:val="15"/>
          <w:szCs w:val="15"/>
          <w:color w:val="auto"/>
        </w:rPr>
        <w:t>Although it is not possible to predict precisely the estimated costs for such environmental-related expenditures, compliance with such laws and regulations, including the payment of any remediation costs and the making of such expenditures, has not had, and is not expected to have, a material adverse effect on the Company's results of operations, capital expenditures, financial position, earnings, cash flows or competitive position.</w:t>
      </w:r>
    </w:p>
    <w:p>
      <w:pPr>
        <w:spacing w:after="0" w:line="160" w:lineRule="exact"/>
        <w:rPr>
          <w:sz w:val="20"/>
          <w:szCs w:val="20"/>
          <w:color w:val="auto"/>
        </w:rPr>
      </w:pPr>
    </w:p>
    <w:p>
      <w:pPr>
        <w:ind w:left="10"/>
        <w:spacing w:after="0"/>
        <w:rPr>
          <w:sz w:val="20"/>
          <w:szCs w:val="20"/>
          <w:color w:val="auto"/>
        </w:rPr>
      </w:pPr>
      <w:r>
        <w:rPr>
          <w:rFonts w:ascii="Arial" w:cs="Arial" w:eastAsia="Arial" w:hAnsi="Arial"/>
          <w:sz w:val="15"/>
          <w:szCs w:val="15"/>
          <w:i w:val="1"/>
          <w:iCs w:val="1"/>
          <w:color w:val="auto"/>
        </w:rPr>
        <w:t>Forward-Looking and Cautionary Statements</w:t>
      </w:r>
    </w:p>
    <w:p>
      <w:pPr>
        <w:spacing w:after="0" w:line="189" w:lineRule="exact"/>
        <w:rPr>
          <w:sz w:val="20"/>
          <w:szCs w:val="20"/>
          <w:color w:val="auto"/>
        </w:rPr>
      </w:pPr>
    </w:p>
    <w:p>
      <w:pPr>
        <w:ind w:left="10" w:right="120" w:firstLine="291"/>
        <w:spacing w:after="0" w:line="261" w:lineRule="auto"/>
        <w:rPr>
          <w:sz w:val="20"/>
          <w:szCs w:val="20"/>
          <w:color w:val="auto"/>
        </w:rPr>
      </w:pPr>
      <w:r>
        <w:rPr>
          <w:rFonts w:ascii="Arial" w:cs="Arial" w:eastAsia="Arial" w:hAnsi="Arial"/>
          <w:sz w:val="15"/>
          <w:szCs w:val="15"/>
          <w:color w:val="auto"/>
        </w:rPr>
        <w:t>The Company and its representatives may from time to time make written or oral forward-looking statements, including statements contained in the Company's filings with the SEC and in its reports to shareholders. One can identify these forward-looking statements by use of words such as "strategy," "expects," "plans," "anticipates," "believes," "will," "continues," "estimates," "intends," "projects,"</w:t>
      </w:r>
    </w:p>
    <w:p>
      <w:pPr>
        <w:spacing w:after="0" w:line="160"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4560" cy="196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 w:right="320"/>
        <w:spacing w:after="0" w:line="282" w:lineRule="auto"/>
        <w:rPr>
          <w:sz w:val="20"/>
          <w:szCs w:val="20"/>
          <w:color w:val="auto"/>
        </w:rPr>
      </w:pPr>
      <w:r>
        <w:rPr>
          <w:rFonts w:ascii="Arial" w:cs="Arial" w:eastAsia="Arial" w:hAnsi="Arial"/>
          <w:sz w:val="14"/>
          <w:szCs w:val="14"/>
          <w:color w:val="auto"/>
        </w:rPr>
        <w:t>"goals," "targets" and other words of similar meaning. One can also identify them by the fact that they do not relate strictly to historical or current facts. These statements are based on our assumptions and estimates and are subject to risks and uncertainties. In connection with the "safe harbor" provisions of the Private Securities Litigation Reform Act of 1995, the Company is hereby identifying important factors that could cause actual results and outcomes to differ materially from those contained in any forward-looking statement made by or on behalf of the Company; any such statement is qualified by reference to the following cautionary statements.</w:t>
      </w:r>
    </w:p>
    <w:p>
      <w:pPr>
        <w:spacing w:after="0" w:line="147" w:lineRule="exact"/>
        <w:rPr>
          <w:sz w:val="20"/>
          <w:szCs w:val="20"/>
          <w:color w:val="auto"/>
        </w:rPr>
      </w:pPr>
    </w:p>
    <w:p>
      <w:pPr>
        <w:ind w:left="10" w:right="20" w:firstLine="294"/>
        <w:spacing w:after="0" w:line="296" w:lineRule="auto"/>
        <w:rPr>
          <w:sz w:val="20"/>
          <w:szCs w:val="20"/>
          <w:color w:val="auto"/>
        </w:rPr>
      </w:pPr>
      <w:r>
        <w:rPr>
          <w:rFonts w:ascii="Arial" w:cs="Arial" w:eastAsia="Arial" w:hAnsi="Arial"/>
          <w:sz w:val="13"/>
          <w:szCs w:val="13"/>
          <w:color w:val="auto"/>
        </w:rPr>
        <w:t>Each of the Company's segments is subject to intense competition, changes in consumer preferences, the effects of changing prices for its raw materials and local economic conditions. Their results are dependent upon their continued ability to promote brand equity successfully, to anticipate and respond to new consumer trends, to develop new products and markets, to broaden brand portfolios in order to compete effectively with lower priced products in a consolidating environment at the retail and manufacturing levels, and to improve productivity. The Company's results are also dependent on its ability to consummate and successfully integrate acquisitions, including its ability to derive cost savings from the integration of Nabisco's operations with the Company. In addition, the Company is subject to the effects of foreign economies, currency movements and fluctuations in levels of customer inventories. The Company's benefit expense is subject to the investment performance of pension plan assets, interest rates and cost increases for medical benefits offered to employees and retirees. The food industry continues to be subject to recalls if products become adulterated or misbranded, liability if product consumption causes injury, ingredient disclosure and labeling laws and regulations and the possibility that consumers could lose confidence in the safety and quality of certain food products. Developments in any of these areas, which are more fully described elsewhere in this document and which descriptions are incorporated into this section by reference, could cause the Company's results to differ materially from results that have been or may be projected by or on behalf of the Company. The Company cautions that the foregoing list of important factors is not exclusive. Any forward-looking statements are made as of the date of the document in which they appear. The Company does not undertake to update any forward-looking statement that may be made from time to time by or on behalf of the Company.</w:t>
      </w:r>
    </w:p>
    <w:p>
      <w:pPr>
        <w:spacing w:after="0" w:line="142" w:lineRule="exact"/>
        <w:rPr>
          <w:sz w:val="20"/>
          <w:szCs w:val="20"/>
          <w:color w:val="auto"/>
        </w:rPr>
      </w:pPr>
    </w:p>
    <w:p>
      <w:pPr>
        <w:ind w:left="310" w:hanging="310"/>
        <w:spacing w:after="0"/>
        <w:tabs>
          <w:tab w:leader="none" w:pos="310" w:val="left"/>
        </w:tabs>
        <w:numPr>
          <w:ilvl w:val="0"/>
          <w:numId w:val="8"/>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Financial Information About Foreign and Domestic Operations and Export Sales</w:t>
      </w:r>
    </w:p>
    <w:p>
      <w:pPr>
        <w:spacing w:after="0" w:line="189" w:lineRule="exact"/>
        <w:rPr>
          <w:sz w:val="20"/>
          <w:szCs w:val="20"/>
          <w:color w:val="auto"/>
        </w:rPr>
      </w:pPr>
    </w:p>
    <w:p>
      <w:pPr>
        <w:ind w:left="10" w:right="40" w:firstLine="291"/>
        <w:spacing w:after="0" w:line="271" w:lineRule="auto"/>
        <w:rPr>
          <w:sz w:val="20"/>
          <w:szCs w:val="20"/>
          <w:color w:val="auto"/>
        </w:rPr>
      </w:pPr>
      <w:r>
        <w:rPr>
          <w:rFonts w:ascii="Arial" w:cs="Arial" w:eastAsia="Arial" w:hAnsi="Arial"/>
          <w:sz w:val="15"/>
          <w:szCs w:val="15"/>
          <w:color w:val="auto"/>
        </w:rPr>
        <w:t>The amounts of net revenues, total assets and long-lived assets attributable to each of the Company's geographic segments for each of the last three fiscal years are set forth in Note 13 to the Company's consolidated financial statements, incorporated herein by reference to the 2002 Annual Report.</w:t>
      </w:r>
    </w:p>
    <w:p>
      <w:pPr>
        <w:spacing w:after="0" w:line="153" w:lineRule="exact"/>
        <w:rPr>
          <w:sz w:val="20"/>
          <w:szCs w:val="20"/>
          <w:color w:val="auto"/>
        </w:rPr>
      </w:pPr>
    </w:p>
    <w:p>
      <w:pPr>
        <w:ind w:left="10" w:right="580" w:firstLine="294"/>
        <w:spacing w:after="0" w:line="271" w:lineRule="auto"/>
        <w:rPr>
          <w:sz w:val="20"/>
          <w:szCs w:val="20"/>
          <w:color w:val="auto"/>
        </w:rPr>
      </w:pPr>
      <w:r>
        <w:rPr>
          <w:rFonts w:ascii="Arial" w:cs="Arial" w:eastAsia="Arial" w:hAnsi="Arial"/>
          <w:sz w:val="15"/>
          <w:szCs w:val="15"/>
          <w:color w:val="auto"/>
        </w:rPr>
        <w:t>Kraft's subsidiaries export coffee products, grocery products, cheese and processed meats. In 2002, exports from the United States by these subsidiaries amounted to approximately $170 million.</w:t>
      </w:r>
    </w:p>
    <w:p>
      <w:pPr>
        <w:spacing w:after="0" w:line="153" w:lineRule="exact"/>
        <w:rPr>
          <w:sz w:val="20"/>
          <w:szCs w:val="20"/>
          <w:color w:val="auto"/>
        </w:rPr>
      </w:pPr>
    </w:p>
    <w:p>
      <w:pPr>
        <w:ind w:left="10"/>
        <w:spacing w:after="0"/>
        <w:tabs>
          <w:tab w:leader="none" w:pos="289" w:val="left"/>
        </w:tabs>
        <w:rPr>
          <w:sz w:val="20"/>
          <w:szCs w:val="20"/>
          <w:color w:val="auto"/>
        </w:rPr>
      </w:pPr>
      <w:r>
        <w:rPr>
          <w:rFonts w:ascii="Arial" w:cs="Arial" w:eastAsia="Arial" w:hAnsi="Arial"/>
          <w:sz w:val="15"/>
          <w:szCs w:val="15"/>
          <w:b w:val="1"/>
          <w:bCs w:val="1"/>
          <w:i w:val="1"/>
          <w:iCs w:val="1"/>
          <w:color w:val="auto"/>
        </w:rPr>
        <w:t>(e)</w:t>
      </w:r>
      <w:r>
        <w:rPr>
          <w:sz w:val="20"/>
          <w:szCs w:val="20"/>
          <w:color w:val="auto"/>
        </w:rPr>
        <w:tab/>
      </w:r>
      <w:r>
        <w:rPr>
          <w:rFonts w:ascii="Arial" w:cs="Arial" w:eastAsia="Arial" w:hAnsi="Arial"/>
          <w:sz w:val="13"/>
          <w:szCs w:val="13"/>
          <w:b w:val="1"/>
          <w:bCs w:val="1"/>
          <w:i w:val="1"/>
          <w:iCs w:val="1"/>
          <w:color w:val="auto"/>
        </w:rPr>
        <w:t>Available Information</w:t>
      </w:r>
    </w:p>
    <w:p>
      <w:pPr>
        <w:spacing w:after="0" w:line="189" w:lineRule="exact"/>
        <w:rPr>
          <w:sz w:val="20"/>
          <w:szCs w:val="20"/>
          <w:color w:val="auto"/>
        </w:rPr>
      </w:pPr>
    </w:p>
    <w:p>
      <w:pPr>
        <w:jc w:val="both"/>
        <w:ind w:left="10" w:firstLine="294"/>
        <w:spacing w:after="0" w:line="282" w:lineRule="auto"/>
        <w:rPr>
          <w:sz w:val="20"/>
          <w:szCs w:val="20"/>
          <w:color w:val="auto"/>
        </w:rPr>
      </w:pPr>
      <w:r>
        <w:rPr>
          <w:rFonts w:ascii="Arial" w:cs="Arial" w:eastAsia="Arial" w:hAnsi="Arial"/>
          <w:sz w:val="14"/>
          <w:szCs w:val="14"/>
          <w:color w:val="auto"/>
        </w:rPr>
        <w:t>Kraft is required to file annual, quarterly and special reports, proxy statements and other information with the SEC. Investors may read and copy any document that Kraft files, including this Annual Report on Form 10-K, at the SEC's Public Reference Room at 450 Fifth Street, N.W., Washington, D.C. 20549. Investors may obtain information on the operation of the Public Reference Room by calling the SEC at 1-800-SEC-0330. In addition, the SEC maintains an Internet site at http://www.sec.gov that contains reports, proxy and information statements, and other information regarding issuers that file electronically with the SEC, from which investors can electronically access Kraft's SEC filings.</w:t>
      </w:r>
    </w:p>
    <w:p>
      <w:pPr>
        <w:spacing w:after="0" w:line="147" w:lineRule="exact"/>
        <w:rPr>
          <w:sz w:val="20"/>
          <w:szCs w:val="20"/>
          <w:color w:val="auto"/>
        </w:rPr>
      </w:pPr>
    </w:p>
    <w:p>
      <w:pPr>
        <w:ind w:left="10" w:right="20" w:firstLine="294"/>
        <w:spacing w:after="0" w:line="310" w:lineRule="auto"/>
        <w:rPr>
          <w:sz w:val="20"/>
          <w:szCs w:val="20"/>
          <w:color w:val="auto"/>
        </w:rPr>
      </w:pPr>
      <w:r>
        <w:rPr>
          <w:rFonts w:ascii="Arial" w:cs="Arial" w:eastAsia="Arial" w:hAnsi="Arial"/>
          <w:sz w:val="13"/>
          <w:szCs w:val="13"/>
          <w:color w:val="auto"/>
        </w:rPr>
        <w:t xml:space="preserve">Kraft makes available free of charge on or through its Internet website (www.kraft.com), its Annual Reports on Form 10-K, Quarterly Reports on Form 10-Q, Current Reports on Form 8-K and amendments to those reports filed or furnished pursuant to Section 13(a) or 15(d) of the Securities Exchange Act of 1934, as amended, as soon as reasonably practicable after it electronically files such material with, or furnishes the material to, the SEC. Investors can also access Kraft's filings with the SEC by visiting </w:t>
      </w:r>
      <w:r>
        <w:rPr>
          <w:rFonts w:ascii="Arial" w:cs="Arial" w:eastAsia="Arial" w:hAnsi="Arial"/>
          <w:sz w:val="13"/>
          <w:szCs w:val="13"/>
          <w:i w:val="1"/>
          <w:iCs w:val="1"/>
          <w:color w:val="auto"/>
        </w:rPr>
        <w:t>http://ir.ccbn.com/ir.zhtml?t=kft&amp;s=1901</w:t>
      </w:r>
      <w:r>
        <w:rPr>
          <w:rFonts w:ascii="Arial" w:cs="Arial" w:eastAsia="Arial" w:hAnsi="Arial"/>
          <w:sz w:val="13"/>
          <w:szCs w:val="13"/>
          <w:color w:val="auto"/>
        </w:rPr>
        <w:t>. The information on Kraft's website is not, and shall not be deemed to be, a part of this Report or incorporated into any other filings Kraft makes with the SEC.</w:t>
      </w:r>
    </w:p>
    <w:p>
      <w:pPr>
        <w:spacing w:after="0" w:line="132"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4560" cy="196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10"/>
        <w:spacing w:after="0"/>
        <w:tabs>
          <w:tab w:leader="none" w:pos="569"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2"/>
          <w:szCs w:val="12"/>
          <w:b w:val="1"/>
          <w:bCs w:val="1"/>
          <w:i w:val="1"/>
          <w:iCs w:val="1"/>
          <w:color w:val="auto"/>
        </w:rPr>
        <w:t>Properties.</w:t>
      </w:r>
    </w:p>
    <w:p>
      <w:pPr>
        <w:spacing w:after="0" w:line="193" w:lineRule="exact"/>
        <w:rPr>
          <w:sz w:val="20"/>
          <w:szCs w:val="20"/>
          <w:color w:val="auto"/>
        </w:rPr>
      </w:pPr>
    </w:p>
    <w:p>
      <w:pPr>
        <w:ind w:left="10" w:right="80" w:firstLine="291"/>
        <w:spacing w:after="0" w:line="271" w:lineRule="auto"/>
        <w:rPr>
          <w:sz w:val="20"/>
          <w:szCs w:val="20"/>
          <w:color w:val="auto"/>
        </w:rPr>
      </w:pPr>
      <w:r>
        <w:rPr>
          <w:rFonts w:ascii="Arial" w:cs="Arial" w:eastAsia="Arial" w:hAnsi="Arial"/>
          <w:sz w:val="15"/>
          <w:szCs w:val="15"/>
          <w:color w:val="auto"/>
        </w:rPr>
        <w:t>The Company has 207 manufacturing and processing facilities worldwide. In North America, the Company has 95 facilities, and outside of North America there are 112 facilities located in 44 countries. These manufacturing and processing facilities are located throughout the following territories:</w:t>
      </w:r>
    </w:p>
    <w:p>
      <w:pPr>
        <w:spacing w:after="0" w:line="147" w:lineRule="exact"/>
        <w:rPr>
          <w:sz w:val="20"/>
          <w:szCs w:val="20"/>
          <w:color w:val="auto"/>
        </w:rPr>
      </w:pPr>
    </w:p>
    <w:tbl>
      <w:tblPr>
        <w:tblLayout w:type="fixed"/>
        <w:tblInd w:w="115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6"/>
              </w:rPr>
              <w:t>Number</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5"/>
              </w:rPr>
              <w:t>of</w:t>
            </w:r>
          </w:p>
        </w:tc>
        <w:tc>
          <w:tcPr>
            <w:tcW w:w="0" w:type="dxa"/>
            <w:vAlign w:val="bottom"/>
          </w:tcPr>
          <w:p>
            <w:pPr>
              <w:spacing w:after="0"/>
              <w:rPr>
                <w:sz w:val="1"/>
                <w:szCs w:val="1"/>
                <w:color w:val="auto"/>
              </w:rPr>
            </w:pPr>
          </w:p>
        </w:tc>
      </w:tr>
      <w:tr>
        <w:trPr>
          <w:trHeight w:val="147"/>
        </w:trPr>
        <w:tc>
          <w:tcPr>
            <w:tcW w:w="7960" w:type="dxa"/>
            <w:vAlign w:val="bottom"/>
            <w:gridSpan w:val="2"/>
          </w:tcPr>
          <w:p>
            <w:pPr>
              <w:spacing w:after="0"/>
              <w:rPr>
                <w:sz w:val="20"/>
                <w:szCs w:val="20"/>
                <w:color w:val="auto"/>
              </w:rPr>
            </w:pPr>
            <w:r>
              <w:rPr>
                <w:rFonts w:ascii="Arial" w:cs="Arial" w:eastAsia="Arial" w:hAnsi="Arial"/>
                <w:sz w:val="11"/>
                <w:szCs w:val="11"/>
                <w:b w:val="1"/>
                <w:bCs w:val="1"/>
                <w:color w:val="auto"/>
              </w:rPr>
              <w:t>Territory</w:t>
            </w:r>
          </w:p>
        </w:tc>
        <w:tc>
          <w:tcPr>
            <w:tcW w:w="28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89"/>
              </w:rPr>
              <w:t>Facilities</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9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7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5"/>
                <w:szCs w:val="15"/>
                <w:color w:val="auto"/>
              </w:rPr>
              <w:t>United States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940" w:type="dxa"/>
            <w:vAlign w:val="bottom"/>
          </w:tcPr>
          <w:p>
            <w:pPr>
              <w:spacing w:after="0"/>
              <w:rPr>
                <w:sz w:val="20"/>
                <w:szCs w:val="20"/>
                <w:color w:val="auto"/>
              </w:rPr>
            </w:pPr>
            <w:r>
              <w:rPr>
                <w:rFonts w:ascii="Arial" w:cs="Arial" w:eastAsia="Arial" w:hAnsi="Arial"/>
                <w:sz w:val="15"/>
                <w:szCs w:val="15"/>
                <w:color w:val="auto"/>
              </w:rPr>
              <w:t>Canada</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5"/>
                <w:szCs w:val="15"/>
                <w:color w:val="auto"/>
              </w:rPr>
              <w:t>Mexico</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940" w:type="dxa"/>
            <w:vAlign w:val="bottom"/>
          </w:tcPr>
          <w:p>
            <w:pPr>
              <w:spacing w:after="0"/>
              <w:rPr>
                <w:sz w:val="20"/>
                <w:szCs w:val="20"/>
                <w:color w:val="auto"/>
              </w:rPr>
            </w:pPr>
            <w:r>
              <w:rPr>
                <w:rFonts w:ascii="Arial" w:cs="Arial" w:eastAsia="Arial" w:hAnsi="Arial"/>
                <w:sz w:val="15"/>
                <w:szCs w:val="15"/>
                <w:color w:val="auto"/>
              </w:rPr>
              <w:t>Western Europe</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5"/>
                <w:szCs w:val="15"/>
                <w:color w:val="auto"/>
              </w:rPr>
              <w:t>Central and Eastern Europe, Middle East and Africa</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940" w:type="dxa"/>
            <w:vAlign w:val="bottom"/>
          </w:tcPr>
          <w:p>
            <w:pPr>
              <w:spacing w:after="0"/>
              <w:rPr>
                <w:sz w:val="20"/>
                <w:szCs w:val="20"/>
                <w:color w:val="auto"/>
              </w:rPr>
            </w:pPr>
            <w:r>
              <w:rPr>
                <w:rFonts w:ascii="Arial" w:cs="Arial" w:eastAsia="Arial" w:hAnsi="Arial"/>
                <w:sz w:val="15"/>
                <w:szCs w:val="15"/>
                <w:color w:val="auto"/>
              </w:rPr>
              <w:t>Latin America</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5"/>
                <w:szCs w:val="15"/>
                <w:color w:val="auto"/>
              </w:rPr>
              <w:t>Asia Pacific</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940" w:type="dxa"/>
            <w:vAlign w:val="bottom"/>
          </w:tcPr>
          <w:p>
            <w:pPr>
              <w:ind w:left="260"/>
              <w:spacing w:after="0"/>
              <w:rPr>
                <w:sz w:val="20"/>
                <w:szCs w:val="20"/>
                <w:color w:val="auto"/>
              </w:rPr>
            </w:pPr>
            <w:r>
              <w:rPr>
                <w:rFonts w:ascii="Arial" w:cs="Arial" w:eastAsia="Arial" w:hAnsi="Arial"/>
                <w:sz w:val="15"/>
                <w:szCs w:val="15"/>
                <w:color w:val="auto"/>
              </w:rPr>
              <w:t>Total</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207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5781040</wp:posOffset>
            </wp:positionH>
            <wp:positionV relativeFrom="paragraph">
              <wp:posOffset>-1218565</wp:posOffset>
            </wp:positionV>
            <wp:extent cx="1270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-1218565</wp:posOffset>
            </wp:positionV>
            <wp:extent cx="1270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6534150</wp:posOffset>
            </wp:positionH>
            <wp:positionV relativeFrom="paragraph">
              <wp:posOffset>-1218565</wp:posOffset>
            </wp:positionV>
            <wp:extent cx="1270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5960110</wp:posOffset>
            </wp:positionH>
            <wp:positionV relativeFrom="paragraph">
              <wp:posOffset>-1218565</wp:posOffset>
            </wp:positionV>
            <wp:extent cx="1270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6534150</wp:posOffset>
            </wp:positionH>
            <wp:positionV relativeFrom="paragraph">
              <wp:posOffset>-285750</wp:posOffset>
            </wp:positionV>
            <wp:extent cx="1270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5960110</wp:posOffset>
            </wp:positionH>
            <wp:positionV relativeFrom="paragraph">
              <wp:posOffset>-285750</wp:posOffset>
            </wp:positionV>
            <wp:extent cx="1270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6534150</wp:posOffset>
            </wp:positionH>
            <wp:positionV relativeFrom="paragraph">
              <wp:posOffset>-33655</wp:posOffset>
            </wp:positionV>
            <wp:extent cx="12700"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5960110</wp:posOffset>
            </wp:positionH>
            <wp:positionV relativeFrom="paragraph">
              <wp:posOffset>-33655</wp:posOffset>
            </wp:positionV>
            <wp:extent cx="1270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pacing w:after="0" w:line="240" w:lineRule="exact"/>
        <w:rPr>
          <w:sz w:val="20"/>
          <w:szCs w:val="20"/>
          <w:color w:val="auto"/>
        </w:rPr>
      </w:pPr>
    </w:p>
    <w:p>
      <w:pPr>
        <w:ind w:left="10" w:right="360" w:firstLine="291"/>
        <w:spacing w:after="0" w:line="271" w:lineRule="auto"/>
        <w:rPr>
          <w:sz w:val="20"/>
          <w:szCs w:val="20"/>
          <w:color w:val="auto"/>
        </w:rPr>
      </w:pPr>
      <w:r>
        <w:rPr>
          <w:rFonts w:ascii="Arial" w:cs="Arial" w:eastAsia="Arial" w:hAnsi="Arial"/>
          <w:sz w:val="15"/>
          <w:szCs w:val="15"/>
          <w:color w:val="auto"/>
        </w:rPr>
        <w:t>The Company owns 196 and leases 11 of these manufacturing and processing facilities. All of the Company's plants and properties are maintained in good condition, and the Company believes that they are suitable and adequate for its present needs.</w:t>
      </w:r>
    </w:p>
    <w:p>
      <w:pPr>
        <w:spacing w:after="0" w:line="153" w:lineRule="exact"/>
        <w:rPr>
          <w:sz w:val="20"/>
          <w:szCs w:val="20"/>
          <w:color w:val="auto"/>
        </w:rPr>
      </w:pPr>
    </w:p>
    <w:p>
      <w:pPr>
        <w:ind w:left="290"/>
        <w:spacing w:after="0"/>
        <w:rPr>
          <w:sz w:val="20"/>
          <w:szCs w:val="20"/>
          <w:color w:val="auto"/>
        </w:rPr>
      </w:pPr>
      <w:r>
        <w:rPr>
          <w:rFonts w:ascii="Arial" w:cs="Arial" w:eastAsia="Arial" w:hAnsi="Arial"/>
          <w:sz w:val="15"/>
          <w:szCs w:val="15"/>
          <w:color w:val="auto"/>
        </w:rPr>
        <w:t>The integration of Nabisco into the operations of the Company resulted in the closure of seven Nabisco facilities during 2001 and 10 Nabisco facilities during 2002.</w:t>
      </w:r>
    </w:p>
    <w:p>
      <w:pPr>
        <w:sectPr>
          <w:pgSz w:w="11900" w:h="16838" w:orient="portrait"/>
          <w:cols w:equalWidth="0" w:num="1">
            <w:col w:w="11430"/>
          </w:cols>
          <w:pgMar w:left="230" w:top="132" w:right="239" w:bottom="0" w:gutter="0" w:footer="0" w:header="0"/>
        </w:sectPr>
      </w:pPr>
    </w:p>
    <w:bookmarkStart w:id="6" w:name="page7"/>
    <w:bookmarkEnd w:id="6"/>
    <w:p>
      <w:pPr>
        <w:ind w:right="40" w:firstLine="286"/>
        <w:spacing w:after="0" w:line="258" w:lineRule="auto"/>
        <w:rPr>
          <w:sz w:val="20"/>
          <w:szCs w:val="20"/>
          <w:color w:val="auto"/>
        </w:rPr>
      </w:pPr>
      <w:r>
        <w:rPr>
          <w:rFonts w:ascii="Arial" w:cs="Arial" w:eastAsia="Arial" w:hAnsi="Arial"/>
          <w:sz w:val="15"/>
          <w:szCs w:val="15"/>
          <w:color w:val="auto"/>
        </w:rPr>
        <w:t>As of December 31, 2002, the Company's distribution facilities consisted of 419 distribution centers and depots worldwide. In North America, the Company had 372 distribution centers and depots, more than 80% of which support the Company's direct-store-delivery systems. Outside North America, the Company had 47 distribution centers in 21 countries. The Company owns 80 of these distribution centers and two of these depots and leases 152 of these distribution centers and 185 of these depots. The Company believes that all of these facilities are in good condition and have sufficient capacity to meet the Company's distribution needs for the foreseeable future.</w:t>
      </w:r>
    </w:p>
    <w:p>
      <w:pPr>
        <w:spacing w:after="0" w:line="339"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2"/>
          <w:szCs w:val="12"/>
          <w:b w:val="1"/>
          <w:bCs w:val="1"/>
          <w:i w:val="1"/>
          <w:iCs w:val="1"/>
          <w:color w:val="auto"/>
        </w:rPr>
        <w:t>Legal Proceedings.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Legal Proceedings</w:t>
      </w:r>
    </w:p>
    <w:p>
      <w:pPr>
        <w:spacing w:after="0" w:line="189" w:lineRule="exact"/>
        <w:rPr>
          <w:sz w:val="20"/>
          <w:szCs w:val="20"/>
          <w:color w:val="auto"/>
        </w:rPr>
      </w:pPr>
    </w:p>
    <w:p>
      <w:pPr>
        <w:ind w:right="40" w:firstLine="291"/>
        <w:spacing w:after="0" w:line="350" w:lineRule="auto"/>
        <w:rPr>
          <w:sz w:val="20"/>
          <w:szCs w:val="20"/>
          <w:color w:val="auto"/>
        </w:rPr>
      </w:pPr>
      <w:r>
        <w:rPr>
          <w:rFonts w:ascii="Arial" w:cs="Arial" w:eastAsia="Arial" w:hAnsi="Arial"/>
          <w:sz w:val="13"/>
          <w:szCs w:val="13"/>
          <w:color w:val="auto"/>
        </w:rPr>
        <w:t>The Company is party to a variety of legal proceedings arising out of the normal course of business, including the matters discussed below. While the results of litigation cannot be predicted with certainty, management believes that the final outcome of these proceedings will not have a material adverse effect on the Company's results of operations or financial position.</w:t>
      </w:r>
    </w:p>
    <w:p>
      <w:pPr>
        <w:spacing w:after="0" w:line="106" w:lineRule="exact"/>
        <w:rPr>
          <w:sz w:val="20"/>
          <w:szCs w:val="20"/>
          <w:color w:val="auto"/>
        </w:rPr>
      </w:pPr>
    </w:p>
    <w:p>
      <w:pPr>
        <w:ind w:right="140" w:firstLine="294"/>
        <w:spacing w:after="0" w:line="256" w:lineRule="auto"/>
        <w:rPr>
          <w:sz w:val="20"/>
          <w:szCs w:val="20"/>
          <w:color w:val="auto"/>
        </w:rPr>
      </w:pPr>
      <w:r>
        <w:rPr>
          <w:rFonts w:ascii="Arial" w:cs="Arial" w:eastAsia="Arial" w:hAnsi="Arial"/>
          <w:sz w:val="15"/>
          <w:szCs w:val="15"/>
          <w:color w:val="auto"/>
        </w:rPr>
        <w:t xml:space="preserve">In May 2002, the Company was served with a lawsuit filed in California by the American Environmental Safety Institute against several major chocolate manufacturers alleging that the defendants' chocolate products contain "potentially dangerous levels of lead and cadmium." The suit alleges that these levels, which are not disclosed on the product labels, are a violation of California's </w:t>
      </w:r>
      <w:r>
        <w:rPr>
          <w:rFonts w:ascii="Arial" w:cs="Arial" w:eastAsia="Arial" w:hAnsi="Arial"/>
          <w:sz w:val="15"/>
          <w:szCs w:val="15"/>
          <w:i w:val="1"/>
          <w:iCs w:val="1"/>
          <w:color w:val="auto"/>
        </w:rPr>
        <w:t>Proposition 65</w:t>
      </w:r>
      <w:r>
        <w:rPr>
          <w:rFonts w:ascii="Arial" w:cs="Arial" w:eastAsia="Arial" w:hAnsi="Arial"/>
          <w:sz w:val="15"/>
          <w:szCs w:val="15"/>
          <w:color w:val="auto"/>
        </w:rPr>
        <w:t>, which requires a warning on products containing chemicals "known to the State" to be carcinogens or reproductive toxicants. The suit is in the discovery phase, and various procedural motions and defenses are being pursued. The Company believes that the suit is without merit, and the California Attorney General has publicly stated that the case is without merit.</w:t>
      </w:r>
    </w:p>
    <w:p>
      <w:pPr>
        <w:spacing w:after="0" w:line="165" w:lineRule="exact"/>
        <w:rPr>
          <w:sz w:val="20"/>
          <w:szCs w:val="20"/>
          <w:color w:val="auto"/>
        </w:rPr>
      </w:pPr>
    </w:p>
    <w:p>
      <w:pPr>
        <w:ind w:right="60" w:firstLine="294"/>
        <w:spacing w:after="0" w:line="271" w:lineRule="auto"/>
        <w:rPr>
          <w:sz w:val="20"/>
          <w:szCs w:val="20"/>
          <w:color w:val="auto"/>
        </w:rPr>
      </w:pPr>
      <w:r>
        <w:rPr>
          <w:rFonts w:ascii="Arial" w:cs="Arial" w:eastAsia="Arial" w:hAnsi="Arial"/>
          <w:sz w:val="15"/>
          <w:szCs w:val="15"/>
          <w:color w:val="auto"/>
        </w:rPr>
        <w:t>Since 1996, seven putative class actions have been filed by various dairy farmers alleging that the Company and others engaged in a conspiracy to fix and depress the prices of milk through their trading activity on the National Cheese Exchange. Plaintiffs sought injunctive and equitable relief and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320"/>
        <w:spacing w:after="0" w:line="295" w:lineRule="auto"/>
        <w:rPr>
          <w:sz w:val="20"/>
          <w:szCs w:val="20"/>
          <w:color w:val="auto"/>
        </w:rPr>
      </w:pPr>
      <w:r>
        <w:rPr>
          <w:rFonts w:ascii="Arial" w:cs="Arial" w:eastAsia="Arial" w:hAnsi="Arial"/>
          <w:sz w:val="13"/>
          <w:szCs w:val="13"/>
          <w:color w:val="auto"/>
        </w:rPr>
        <w:t>unspecified treble damages. Two of the actions were voluntarily dismissed by plaintiffs after class certification was denied. Three cases were consolidated in state court in Wisconsin, and, in November 1999, the court granted the Company's motion for summary judgment. In June 2001, the Wisconsin Court of Appeals affirmed the trial court's ruling dismissing the cases. In</w:t>
      </w:r>
    </w:p>
    <w:p>
      <w:pPr>
        <w:spacing w:after="0" w:line="255" w:lineRule="auto"/>
        <w:rPr>
          <w:sz w:val="20"/>
          <w:szCs w:val="20"/>
          <w:color w:val="auto"/>
        </w:rPr>
      </w:pPr>
      <w:r>
        <w:rPr>
          <w:rFonts w:ascii="Arial" w:cs="Arial" w:eastAsia="Arial" w:hAnsi="Arial"/>
          <w:sz w:val="15"/>
          <w:szCs w:val="15"/>
          <w:color w:val="auto"/>
        </w:rPr>
        <w:t>April 2002, the Wisconsin Supreme Court affirmed the intermediate appellate court's ruling, and plaintiffs filed a petition for certiorari to the United States Supreme Court. In December 2002, the Supreme Court denied plaintiffs' petition. In April 2002, the Company's motion for summary judgment dismissing the case was granted in a case pending in the United States District Court for the Central District of California. In June 2002, the parties settled the California case on an individual (non-class) basis, and plaintiffs dismissed their appeal. A case in Illinois state court has been settled and dismissed. No cases remain pending at this time.</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Environmental Matters</w:t>
      </w:r>
    </w:p>
    <w:p>
      <w:pPr>
        <w:spacing w:after="0" w:line="189" w:lineRule="exact"/>
        <w:rPr>
          <w:sz w:val="20"/>
          <w:szCs w:val="20"/>
          <w:color w:val="auto"/>
        </w:rPr>
      </w:pPr>
    </w:p>
    <w:p>
      <w:pPr>
        <w:ind w:right="180" w:firstLine="294"/>
        <w:spacing w:after="0" w:line="261" w:lineRule="auto"/>
        <w:rPr>
          <w:sz w:val="20"/>
          <w:szCs w:val="20"/>
          <w:color w:val="auto"/>
        </w:rPr>
      </w:pPr>
      <w:r>
        <w:rPr>
          <w:rFonts w:ascii="Arial" w:cs="Arial" w:eastAsia="Arial" w:hAnsi="Arial"/>
          <w:sz w:val="15"/>
          <w:szCs w:val="15"/>
          <w:color w:val="auto"/>
        </w:rPr>
        <w:t>In May 2001, the State of Ohio notified the Company that it may be subject to an enforcement action for alleged past violations of the Company's wastewater discharge permit at its production facility in Farmdale, Ohio. The State has offered to attempt to negotiate a settlement of this matter, and the Company has accepted the offer to do so. The State has not yet identified the relief it may seek in this matter.</w:t>
      </w:r>
    </w:p>
    <w:p>
      <w:pPr>
        <w:spacing w:after="0" w:line="160" w:lineRule="exact"/>
        <w:rPr>
          <w:sz w:val="20"/>
          <w:szCs w:val="20"/>
          <w:color w:val="auto"/>
        </w:rPr>
      </w:pPr>
    </w:p>
    <w:p>
      <w:pPr>
        <w:ind w:right="20" w:firstLine="291"/>
        <w:spacing w:after="0" w:line="300" w:lineRule="auto"/>
        <w:rPr>
          <w:sz w:val="20"/>
          <w:szCs w:val="20"/>
          <w:color w:val="auto"/>
        </w:rPr>
      </w:pPr>
      <w:r>
        <w:rPr>
          <w:rFonts w:ascii="Arial" w:cs="Arial" w:eastAsia="Arial" w:hAnsi="Arial"/>
          <w:sz w:val="13"/>
          <w:szCs w:val="13"/>
          <w:color w:val="auto"/>
        </w:rPr>
        <w:t>The Company is potentially liable for certain environmental matters arising from the operations of Nabisco's former wholly owned subsidiary, Rowe Industries. Rowe operated a small engine manufacturing facility in Sag Harbor, New York in the 1950s, 1960s and early 1970s that used various solvents. About 20 homes downgradient from the site were connected to public drinking water in the mid-1980s after solvents were detected in their individual wells. Since 1996, three toxic tort cases have been brought against Nabisco in New York state court, collectively by or on behalf of approximately 80 individuals, including 17 minors. The first case was filed on March 6, 1996, in the Supreme Court of the State of New York and was subsequently dismissed by the trial court. That decision was affirmed on appeal. The other two cases both were filed on January 3, 2000, also in the Supreme Court of the State of New York. That court granted defendant's summary judgment motion as to all but one of the plaintiffs in each of the remaining cases, and the plaintiffs have now withdrawn their appeal of this ruling. In August 2002, the court entered summary judgment against the remaining two plaintiffs. Plaintiffs have appealed this judgment, and the appeal is currently pending.</w:t>
      </w:r>
    </w:p>
    <w:p>
      <w:pPr>
        <w:spacing w:after="0" w:line="31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2"/>
          <w:szCs w:val="12"/>
          <w:b w:val="1"/>
          <w:bCs w:val="1"/>
          <w:i w:val="1"/>
          <w:iCs w:val="1"/>
          <w:color w:val="auto"/>
        </w:rPr>
        <w:t>Submission of Matters to a Vote of Security Holders.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None.</w:t>
      </w:r>
    </w:p>
    <w:p>
      <w:pPr>
        <w:spacing w:after="0" w:line="36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PART II</w:t>
      </w:r>
    </w:p>
    <w:p>
      <w:pPr>
        <w:spacing w:after="0" w:line="189"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Item 5.</w:t>
      </w:r>
      <w:r>
        <w:rPr>
          <w:sz w:val="20"/>
          <w:szCs w:val="20"/>
          <w:color w:val="auto"/>
        </w:rPr>
        <w:tab/>
      </w:r>
      <w:r>
        <w:rPr>
          <w:rFonts w:ascii="Arial" w:cs="Arial" w:eastAsia="Arial" w:hAnsi="Arial"/>
          <w:sz w:val="12"/>
          <w:szCs w:val="12"/>
          <w:b w:val="1"/>
          <w:bCs w:val="1"/>
          <w:i w:val="1"/>
          <w:iCs w:val="1"/>
          <w:color w:val="auto"/>
        </w:rPr>
        <w:t>Market for Registrant's Common Equity and Related Stockholder Matters.</w:t>
      </w:r>
    </w:p>
    <w:p>
      <w:pPr>
        <w:spacing w:after="0" w:line="193" w:lineRule="exact"/>
        <w:rPr>
          <w:sz w:val="20"/>
          <w:szCs w:val="20"/>
          <w:color w:val="auto"/>
        </w:rPr>
      </w:pPr>
    </w:p>
    <w:p>
      <w:pPr>
        <w:ind w:right="240" w:firstLine="291"/>
        <w:spacing w:after="0" w:line="271" w:lineRule="auto"/>
        <w:rPr>
          <w:sz w:val="20"/>
          <w:szCs w:val="20"/>
          <w:color w:val="auto"/>
        </w:rPr>
      </w:pPr>
      <w:r>
        <w:rPr>
          <w:rFonts w:ascii="Arial" w:cs="Arial" w:eastAsia="Arial" w:hAnsi="Arial"/>
          <w:sz w:val="15"/>
          <w:szCs w:val="15"/>
          <w:color w:val="auto"/>
        </w:rPr>
        <w:t>The information called for by this Item is hereby incorporated by reference to the paragraph captioned "Quarterly Financial Data (Unaudited)" on page 62 of the 2002 Annual Report and made a part hereof.</w:t>
      </w:r>
    </w:p>
    <w:p>
      <w:pPr>
        <w:spacing w:after="0" w:line="153" w:lineRule="exact"/>
        <w:rPr>
          <w:sz w:val="20"/>
          <w:szCs w:val="20"/>
          <w:color w:val="auto"/>
        </w:rPr>
      </w:pPr>
    </w:p>
    <w:p>
      <w:pPr>
        <w:ind w:right="260" w:firstLine="291"/>
        <w:spacing w:after="0" w:line="271" w:lineRule="auto"/>
        <w:rPr>
          <w:sz w:val="20"/>
          <w:szCs w:val="20"/>
          <w:color w:val="auto"/>
        </w:rPr>
      </w:pPr>
      <w:r>
        <w:rPr>
          <w:rFonts w:ascii="Arial" w:cs="Arial" w:eastAsia="Arial" w:hAnsi="Arial"/>
          <w:sz w:val="15"/>
          <w:szCs w:val="15"/>
          <w:color w:val="auto"/>
        </w:rPr>
        <w:t>The principal stock exchange on which the Company's Class A common stock is listed is the New York Stock Exchange. At January 31, 2003, there were approximately 2,100 holders of record of the Company's Class A common stock.</w:t>
      </w:r>
    </w:p>
    <w:p>
      <w:pPr>
        <w:spacing w:after="0" w:line="33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Item 6.</w:t>
      </w:r>
      <w:r>
        <w:rPr>
          <w:sz w:val="20"/>
          <w:szCs w:val="20"/>
          <w:color w:val="auto"/>
        </w:rPr>
        <w:tab/>
      </w:r>
      <w:r>
        <w:rPr>
          <w:rFonts w:ascii="Arial" w:cs="Arial" w:eastAsia="Arial" w:hAnsi="Arial"/>
          <w:sz w:val="13"/>
          <w:szCs w:val="13"/>
          <w:b w:val="1"/>
          <w:bCs w:val="1"/>
          <w:i w:val="1"/>
          <w:iCs w:val="1"/>
          <w:color w:val="auto"/>
        </w:rPr>
        <w:t>Selected Financial Data.</w:t>
      </w:r>
    </w:p>
    <w:p>
      <w:pPr>
        <w:spacing w:after="0" w:line="193" w:lineRule="exact"/>
        <w:rPr>
          <w:sz w:val="20"/>
          <w:szCs w:val="20"/>
          <w:color w:val="auto"/>
        </w:rPr>
      </w:pPr>
    </w:p>
    <w:p>
      <w:pPr>
        <w:ind w:right="20" w:firstLine="291"/>
        <w:spacing w:after="0" w:line="271" w:lineRule="auto"/>
        <w:rPr>
          <w:sz w:val="20"/>
          <w:szCs w:val="20"/>
          <w:color w:val="auto"/>
        </w:rPr>
      </w:pPr>
      <w:r>
        <w:rPr>
          <w:rFonts w:ascii="Arial" w:cs="Arial" w:eastAsia="Arial" w:hAnsi="Arial"/>
          <w:sz w:val="15"/>
          <w:szCs w:val="15"/>
          <w:color w:val="auto"/>
        </w:rPr>
        <w:t>The information called for by this Item is hereby incorporated by reference to the information with respect to 1998-2002 appearing under the caption "Selected Financial Data" on page 43 of the 2002 Annual Report and made a part hereof.</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Item 7.</w:t>
      </w:r>
      <w:r>
        <w:rPr>
          <w:sz w:val="20"/>
          <w:szCs w:val="20"/>
          <w:color w:val="auto"/>
        </w:rPr>
        <w:tab/>
      </w:r>
      <w:r>
        <w:rPr>
          <w:rFonts w:ascii="Arial" w:cs="Arial" w:eastAsia="Arial" w:hAnsi="Arial"/>
          <w:sz w:val="12"/>
          <w:szCs w:val="12"/>
          <w:b w:val="1"/>
          <w:bCs w:val="1"/>
          <w:i w:val="1"/>
          <w:iCs w:val="1"/>
          <w:color w:val="auto"/>
        </w:rPr>
        <w:t>Management's Discussion and Analysis of Financial Condition and Results of Operations.</w:t>
      </w:r>
    </w:p>
    <w:p>
      <w:pPr>
        <w:spacing w:after="0" w:line="193" w:lineRule="exact"/>
        <w:rPr>
          <w:sz w:val="20"/>
          <w:szCs w:val="20"/>
          <w:color w:val="auto"/>
        </w:rPr>
      </w:pPr>
    </w:p>
    <w:p>
      <w:pPr>
        <w:ind w:right="420" w:firstLine="291"/>
        <w:spacing w:after="0" w:line="271" w:lineRule="auto"/>
        <w:rPr>
          <w:sz w:val="20"/>
          <w:szCs w:val="20"/>
          <w:color w:val="auto"/>
        </w:rPr>
      </w:pPr>
      <w:r>
        <w:rPr>
          <w:rFonts w:ascii="Arial" w:cs="Arial" w:eastAsia="Arial" w:hAnsi="Arial"/>
          <w:sz w:val="15"/>
          <w:szCs w:val="15"/>
          <w:color w:val="auto"/>
        </w:rPr>
        <w:t>The information called for by this Item is hereby incorporated by reference to the paragraphs captioned "Management's Discussion and Analysis of Financial Condition and Results of Operations" (the "MD&amp;A") on pages 26 to 42 of the 2002 Annual Report and made a part hereof.</w:t>
      </w:r>
    </w:p>
    <w:p>
      <w:pPr>
        <w:spacing w:after="0" w:line="153" w:lineRule="exact"/>
        <w:rPr>
          <w:sz w:val="20"/>
          <w:szCs w:val="20"/>
          <w:color w:val="auto"/>
        </w:rPr>
      </w:pPr>
    </w:p>
    <w:p>
      <w:pPr>
        <w:ind w:right="100" w:firstLine="294"/>
        <w:spacing w:after="0" w:line="282" w:lineRule="auto"/>
        <w:rPr>
          <w:sz w:val="20"/>
          <w:szCs w:val="20"/>
          <w:color w:val="auto"/>
        </w:rPr>
      </w:pPr>
      <w:r>
        <w:rPr>
          <w:rFonts w:ascii="Arial" w:cs="Arial" w:eastAsia="Arial" w:hAnsi="Arial"/>
          <w:sz w:val="14"/>
          <w:szCs w:val="14"/>
          <w:color w:val="auto"/>
        </w:rPr>
        <w:t>Following a $10.1 billion judgment on March 21, 2003 against Altria Group, Inc.'s domestic tobacco subsidiary, Philip Morris USA Inc., the three major credit rating agencies placed Altria Group, Inc.'s credit ratings on watch with negative implications. While the Company is not a party to, and has no exposure to, this litigation, its credit ratings are affected by those of Altria Group, Inc., and accordingly, its ratings were also placed on watch with negative implications. The rating agencies' actions are expected to result in higher short-term borrowing costs for the Company. None of the Company's debt agreements require accelerated repayment in the event of a decrease in credit ratings.</w:t>
      </w:r>
    </w:p>
    <w:p>
      <w:pPr>
        <w:spacing w:after="0" w:line="324"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7A.</w:t>
      </w:r>
      <w:r>
        <w:rPr>
          <w:sz w:val="20"/>
          <w:szCs w:val="20"/>
          <w:color w:val="auto"/>
        </w:rPr>
        <w:tab/>
      </w:r>
      <w:r>
        <w:rPr>
          <w:rFonts w:ascii="Arial" w:cs="Arial" w:eastAsia="Arial" w:hAnsi="Arial"/>
          <w:sz w:val="12"/>
          <w:szCs w:val="12"/>
          <w:b w:val="1"/>
          <w:bCs w:val="1"/>
          <w:i w:val="1"/>
          <w:iCs w:val="1"/>
          <w:color w:val="auto"/>
        </w:rPr>
        <w:t>Quantitative and Qualitative Disclosures About Market Risk.</w:t>
      </w:r>
    </w:p>
    <w:p>
      <w:pPr>
        <w:spacing w:after="0" w:line="193" w:lineRule="exact"/>
        <w:rPr>
          <w:sz w:val="20"/>
          <w:szCs w:val="20"/>
          <w:color w:val="auto"/>
        </w:rPr>
      </w:pPr>
    </w:p>
    <w:p>
      <w:pPr>
        <w:ind w:right="380" w:firstLine="291"/>
        <w:spacing w:after="0" w:line="271" w:lineRule="auto"/>
        <w:rPr>
          <w:sz w:val="20"/>
          <w:szCs w:val="20"/>
          <w:color w:val="auto"/>
        </w:rPr>
      </w:pPr>
      <w:r>
        <w:rPr>
          <w:rFonts w:ascii="Arial" w:cs="Arial" w:eastAsia="Arial" w:hAnsi="Arial"/>
          <w:sz w:val="15"/>
          <w:szCs w:val="15"/>
          <w:color w:val="auto"/>
        </w:rPr>
        <w:t>The information called for by this Item is hereby incorporated by reference to the paragraphs in the MD&amp;A captioned "Market Risk" and "Value at Risk" on pages 40 to 41 of the 2002 Annual Report and made a part hereof.</w:t>
      </w:r>
    </w:p>
    <w:p>
      <w:pPr>
        <w:sectPr>
          <w:pgSz w:w="11900" w:h="16838" w:orient="portrait"/>
          <w:cols w:equalWidth="0" w:num="1">
            <w:col w:w="11440"/>
          </w:cols>
          <w:pgMar w:left="240" w:top="132" w:right="219" w:bottom="0" w:gutter="0" w:footer="0" w:header="0"/>
        </w:sectPr>
      </w:pPr>
    </w:p>
    <w:bookmarkStart w:id="7" w:name="page8"/>
    <w:bookmarkEnd w:id="7"/>
    <w:p>
      <w:pPr>
        <w:spacing w:after="0"/>
        <w:tabs>
          <w:tab w:leader="none" w:pos="560" w:val="left"/>
        </w:tabs>
        <w:rPr>
          <w:sz w:val="20"/>
          <w:szCs w:val="20"/>
          <w:color w:val="auto"/>
        </w:rPr>
      </w:pPr>
      <w:r>
        <w:rPr>
          <w:rFonts w:ascii="Arial" w:cs="Arial" w:eastAsia="Arial" w:hAnsi="Arial"/>
          <w:sz w:val="15"/>
          <w:szCs w:val="15"/>
          <w:b w:val="1"/>
          <w:bCs w:val="1"/>
          <w:color w:val="auto"/>
        </w:rPr>
        <w:t>Item 8.</w:t>
      </w:r>
      <w:r>
        <w:rPr>
          <w:sz w:val="20"/>
          <w:szCs w:val="20"/>
          <w:color w:val="auto"/>
        </w:rPr>
        <w:tab/>
      </w:r>
      <w:r>
        <w:rPr>
          <w:rFonts w:ascii="Arial" w:cs="Arial" w:eastAsia="Arial" w:hAnsi="Arial"/>
          <w:sz w:val="12"/>
          <w:szCs w:val="12"/>
          <w:b w:val="1"/>
          <w:bCs w:val="1"/>
          <w:i w:val="1"/>
          <w:iCs w:val="1"/>
          <w:color w:val="auto"/>
        </w:rPr>
        <w:t>Financial Statements and Supplementary Data.</w:t>
      </w:r>
    </w:p>
    <w:p>
      <w:pPr>
        <w:spacing w:after="0" w:line="193" w:lineRule="exact"/>
        <w:rPr>
          <w:sz w:val="20"/>
          <w:szCs w:val="20"/>
          <w:color w:val="auto"/>
        </w:rPr>
      </w:pPr>
    </w:p>
    <w:p>
      <w:pPr>
        <w:ind w:right="120" w:firstLine="291"/>
        <w:spacing w:after="0" w:line="271" w:lineRule="auto"/>
        <w:rPr>
          <w:sz w:val="20"/>
          <w:szCs w:val="20"/>
          <w:color w:val="auto"/>
        </w:rPr>
      </w:pPr>
      <w:r>
        <w:rPr>
          <w:rFonts w:ascii="Arial" w:cs="Arial" w:eastAsia="Arial" w:hAnsi="Arial"/>
          <w:sz w:val="15"/>
          <w:szCs w:val="15"/>
          <w:color w:val="auto"/>
        </w:rPr>
        <w:t>The information called for by this Item is hereby incorporated by reference to the 2002 Annual Report as set forth under the caption "Quarterly Financial Data (Unaudited)" on page 62 and in the Index to Consolidated Financial Statements and Schedules (see Item 15) and made a part hereof.</w:t>
      </w:r>
    </w:p>
    <w:p>
      <w:pPr>
        <w:spacing w:after="0" w:line="330"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Item 9.</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None.</w:t>
      </w:r>
    </w:p>
    <w:p>
      <w:pPr>
        <w:spacing w:after="0" w:line="36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PART III</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5"/>
          <w:szCs w:val="15"/>
          <w:b w:val="1"/>
          <w:bCs w:val="1"/>
          <w:color w:val="auto"/>
        </w:rPr>
        <w:t>Item 10.</w:t>
      </w:r>
      <w:r>
        <w:rPr>
          <w:sz w:val="20"/>
          <w:szCs w:val="20"/>
          <w:color w:val="auto"/>
        </w:rPr>
        <w:tab/>
      </w:r>
      <w:r>
        <w:rPr>
          <w:rFonts w:ascii="Arial" w:cs="Arial" w:eastAsia="Arial" w:hAnsi="Arial"/>
          <w:sz w:val="12"/>
          <w:szCs w:val="12"/>
          <w:b w:val="1"/>
          <w:bCs w:val="1"/>
          <w:i w:val="1"/>
          <w:iCs w:val="1"/>
          <w:color w:val="auto"/>
        </w:rPr>
        <w:t>Directors and Executive Officers of the Registrant.</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Officers of the Company</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are the executive officers of the Company as of February 28, 2003: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540" w:type="dxa"/>
            <w:vAlign w:val="bottom"/>
            <w:gridSpan w:val="2"/>
          </w:tcPr>
          <w:p>
            <w:pPr>
              <w:spacing w:after="0"/>
              <w:rPr>
                <w:sz w:val="20"/>
                <w:szCs w:val="20"/>
                <w:color w:val="auto"/>
              </w:rPr>
            </w:pPr>
            <w:r>
              <w:rPr>
                <w:rFonts w:ascii="Arial" w:cs="Arial" w:eastAsia="Arial" w:hAnsi="Arial"/>
                <w:sz w:val="11"/>
                <w:szCs w:val="11"/>
                <w:b w:val="1"/>
                <w:bCs w:val="1"/>
                <w:color w:val="auto"/>
              </w:rPr>
              <w:t>Name</w:t>
            </w:r>
          </w:p>
        </w:tc>
        <w:tc>
          <w:tcPr>
            <w:tcW w:w="360" w:type="dxa"/>
            <w:vAlign w:val="bottom"/>
          </w:tcPr>
          <w:p>
            <w:pPr>
              <w:spacing w:after="0"/>
              <w:rPr>
                <w:sz w:val="12"/>
                <w:szCs w:val="12"/>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rPr>
              <w:t>Age</w:t>
            </w:r>
          </w:p>
        </w:tc>
        <w:tc>
          <w:tcPr>
            <w:tcW w:w="6640" w:type="dxa"/>
            <w:vAlign w:val="bottom"/>
          </w:tcPr>
          <w:p>
            <w:pPr>
              <w:ind w:left="3200"/>
              <w:spacing w:after="0"/>
              <w:rPr>
                <w:sz w:val="20"/>
                <w:szCs w:val="20"/>
                <w:color w:val="auto"/>
              </w:rPr>
            </w:pPr>
            <w:r>
              <w:rPr>
                <w:rFonts w:ascii="Arial" w:cs="Arial" w:eastAsia="Arial" w:hAnsi="Arial"/>
                <w:sz w:val="11"/>
                <w:szCs w:val="11"/>
                <w:b w:val="1"/>
                <w:bCs w:val="1"/>
                <w:color w:val="auto"/>
              </w:rPr>
              <w:t>Title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52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66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3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5"/>
                <w:szCs w:val="15"/>
                <w:color w:val="auto"/>
              </w:rPr>
              <w:t>Roger K. Deromedi</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49</w:t>
            </w:r>
          </w:p>
        </w:tc>
        <w:tc>
          <w:tcPr>
            <w:tcW w:w="6640" w:type="dxa"/>
            <w:vAlign w:val="bottom"/>
            <w:shd w:val="clear" w:color="auto" w:fill="CCEEFF"/>
          </w:tcPr>
          <w:p>
            <w:pPr>
              <w:spacing w:after="0"/>
              <w:rPr>
                <w:sz w:val="20"/>
                <w:szCs w:val="20"/>
                <w:color w:val="auto"/>
              </w:rPr>
            </w:pPr>
            <w:r>
              <w:rPr>
                <w:rFonts w:ascii="Arial" w:cs="Arial" w:eastAsia="Arial" w:hAnsi="Arial"/>
                <w:sz w:val="15"/>
                <w:szCs w:val="15"/>
                <w:color w:val="auto"/>
              </w:rPr>
              <w:t>Co-Chief Executive Officer; and President and Chief Executive Officer, Kraft Foods International</w:t>
            </w:r>
          </w:p>
        </w:tc>
        <w:tc>
          <w:tcPr>
            <w:tcW w:w="0" w:type="dxa"/>
            <w:vAlign w:val="bottom"/>
          </w:tcPr>
          <w:p>
            <w:pPr>
              <w:spacing w:after="0"/>
              <w:rPr>
                <w:sz w:val="1"/>
                <w:szCs w:val="1"/>
                <w:color w:val="auto"/>
              </w:rPr>
            </w:pPr>
          </w:p>
        </w:tc>
      </w:tr>
      <w:tr>
        <w:trPr>
          <w:trHeight w:val="361"/>
        </w:trPr>
        <w:tc>
          <w:tcPr>
            <w:tcW w:w="3540" w:type="dxa"/>
            <w:vAlign w:val="bottom"/>
            <w:gridSpan w:val="2"/>
          </w:tcPr>
          <w:p>
            <w:pPr>
              <w:spacing w:after="0"/>
              <w:rPr>
                <w:sz w:val="20"/>
                <w:szCs w:val="20"/>
                <w:color w:val="auto"/>
              </w:rPr>
            </w:pPr>
            <w:r>
              <w:rPr>
                <w:rFonts w:ascii="Arial" w:cs="Arial" w:eastAsia="Arial" w:hAnsi="Arial"/>
                <w:sz w:val="15"/>
                <w:szCs w:val="15"/>
                <w:color w:val="auto"/>
              </w:rPr>
              <w:t>Betsy D. Holden</w:t>
            </w:r>
          </w:p>
        </w:tc>
        <w:tc>
          <w:tcPr>
            <w:tcW w:w="1260" w:type="dxa"/>
            <w:vAlign w:val="bottom"/>
            <w:gridSpan w:val="3"/>
          </w:tcPr>
          <w:p>
            <w:pPr>
              <w:jc w:val="right"/>
              <w:ind w:right="340"/>
              <w:spacing w:after="0"/>
              <w:rPr>
                <w:sz w:val="20"/>
                <w:szCs w:val="20"/>
                <w:color w:val="auto"/>
              </w:rPr>
            </w:pPr>
            <w:r>
              <w:rPr>
                <w:rFonts w:ascii="Arial" w:cs="Arial" w:eastAsia="Arial" w:hAnsi="Arial"/>
                <w:sz w:val="15"/>
                <w:szCs w:val="15"/>
                <w:color w:val="auto"/>
              </w:rPr>
              <w:t>47</w:t>
            </w:r>
          </w:p>
        </w:tc>
        <w:tc>
          <w:tcPr>
            <w:tcW w:w="6640" w:type="dxa"/>
            <w:vAlign w:val="bottom"/>
          </w:tcPr>
          <w:p>
            <w:pPr>
              <w:spacing w:after="0"/>
              <w:rPr>
                <w:sz w:val="20"/>
                <w:szCs w:val="20"/>
                <w:color w:val="auto"/>
              </w:rPr>
            </w:pPr>
            <w:r>
              <w:rPr>
                <w:rFonts w:ascii="Arial" w:cs="Arial" w:eastAsia="Arial" w:hAnsi="Arial"/>
                <w:sz w:val="15"/>
                <w:szCs w:val="15"/>
                <w:color w:val="auto"/>
              </w:rPr>
              <w:t>Co-Chief Executive Officer; and President and Chief Executive Officer, Kraft Foods North America</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5"/>
                <w:szCs w:val="15"/>
                <w:color w:val="auto"/>
              </w:rPr>
              <w:t>John F. Baxter</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43</w:t>
            </w:r>
          </w:p>
        </w:tc>
        <w:tc>
          <w:tcPr>
            <w:tcW w:w="6640" w:type="dxa"/>
            <w:vAlign w:val="bottom"/>
            <w:shd w:val="clear" w:color="auto" w:fill="CCEEFF"/>
          </w:tcPr>
          <w:p>
            <w:pPr>
              <w:spacing w:after="0"/>
              <w:rPr>
                <w:sz w:val="20"/>
                <w:szCs w:val="20"/>
                <w:color w:val="auto"/>
              </w:rPr>
            </w:pPr>
            <w:r>
              <w:rPr>
                <w:rFonts w:ascii="Arial" w:cs="Arial" w:eastAsia="Arial" w:hAnsi="Arial"/>
                <w:sz w:val="15"/>
                <w:szCs w:val="15"/>
                <w:color w:val="auto"/>
              </w:rPr>
              <w:t>Senior Vice President, Research and Development/Quality, Kraft Foods International</w:t>
            </w:r>
          </w:p>
        </w:tc>
        <w:tc>
          <w:tcPr>
            <w:tcW w:w="0" w:type="dxa"/>
            <w:vAlign w:val="bottom"/>
          </w:tcPr>
          <w:p>
            <w:pPr>
              <w:spacing w:after="0"/>
              <w:rPr>
                <w:sz w:val="1"/>
                <w:szCs w:val="1"/>
                <w:color w:val="auto"/>
              </w:rPr>
            </w:pPr>
          </w:p>
        </w:tc>
      </w:tr>
      <w:tr>
        <w:trPr>
          <w:trHeight w:val="361"/>
        </w:trPr>
        <w:tc>
          <w:tcPr>
            <w:tcW w:w="3540" w:type="dxa"/>
            <w:vAlign w:val="bottom"/>
            <w:gridSpan w:val="2"/>
          </w:tcPr>
          <w:p>
            <w:pPr>
              <w:spacing w:after="0"/>
              <w:rPr>
                <w:sz w:val="20"/>
                <w:szCs w:val="20"/>
                <w:color w:val="auto"/>
              </w:rPr>
            </w:pPr>
            <w:r>
              <w:rPr>
                <w:rFonts w:ascii="Arial" w:cs="Arial" w:eastAsia="Arial" w:hAnsi="Arial"/>
                <w:sz w:val="15"/>
                <w:szCs w:val="15"/>
                <w:color w:val="auto"/>
              </w:rPr>
              <w:t>Ronald J.S. Bell</w:t>
            </w:r>
          </w:p>
        </w:tc>
        <w:tc>
          <w:tcPr>
            <w:tcW w:w="1260" w:type="dxa"/>
            <w:vAlign w:val="bottom"/>
            <w:gridSpan w:val="3"/>
          </w:tcPr>
          <w:p>
            <w:pPr>
              <w:jc w:val="right"/>
              <w:ind w:right="340"/>
              <w:spacing w:after="0"/>
              <w:rPr>
                <w:sz w:val="20"/>
                <w:szCs w:val="20"/>
                <w:color w:val="auto"/>
              </w:rPr>
            </w:pPr>
            <w:r>
              <w:rPr>
                <w:rFonts w:ascii="Arial" w:cs="Arial" w:eastAsia="Arial" w:hAnsi="Arial"/>
                <w:sz w:val="15"/>
                <w:szCs w:val="15"/>
                <w:color w:val="auto"/>
              </w:rPr>
              <w:t>52</w:t>
            </w:r>
          </w:p>
        </w:tc>
        <w:tc>
          <w:tcPr>
            <w:tcW w:w="6640" w:type="dxa"/>
            <w:vAlign w:val="bottom"/>
          </w:tcPr>
          <w:p>
            <w:pPr>
              <w:spacing w:after="0"/>
              <w:rPr>
                <w:sz w:val="20"/>
                <w:szCs w:val="20"/>
                <w:color w:val="auto"/>
              </w:rPr>
            </w:pPr>
            <w:r>
              <w:rPr>
                <w:rFonts w:ascii="Arial" w:cs="Arial" w:eastAsia="Arial" w:hAnsi="Arial"/>
                <w:sz w:val="15"/>
                <w:szCs w:val="15"/>
                <w:color w:val="auto"/>
              </w:rPr>
              <w:t>Group Vice President, Kraft Foods International, and President, European Union Region</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5"/>
                <w:szCs w:val="15"/>
                <w:color w:val="auto"/>
              </w:rPr>
              <w:t>David A. Brearton</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42</w:t>
            </w:r>
          </w:p>
        </w:tc>
        <w:tc>
          <w:tcPr>
            <w:tcW w:w="6640" w:type="dxa"/>
            <w:vAlign w:val="bottom"/>
            <w:shd w:val="clear" w:color="auto" w:fill="CCEEFF"/>
          </w:tcPr>
          <w:p>
            <w:pPr>
              <w:spacing w:after="0"/>
              <w:rPr>
                <w:sz w:val="20"/>
                <w:szCs w:val="20"/>
                <w:color w:val="auto"/>
              </w:rPr>
            </w:pPr>
            <w:r>
              <w:rPr>
                <w:rFonts w:ascii="Arial" w:cs="Arial" w:eastAsia="Arial" w:hAnsi="Arial"/>
                <w:sz w:val="15"/>
                <w:szCs w:val="15"/>
                <w:color w:val="auto"/>
              </w:rPr>
              <w:t>Senior Vice President, Finance, Kraft Foods International</w:t>
            </w:r>
          </w:p>
        </w:tc>
        <w:tc>
          <w:tcPr>
            <w:tcW w:w="0" w:type="dxa"/>
            <w:vAlign w:val="bottom"/>
          </w:tcPr>
          <w:p>
            <w:pPr>
              <w:spacing w:after="0"/>
              <w:rPr>
                <w:sz w:val="1"/>
                <w:szCs w:val="1"/>
                <w:color w:val="auto"/>
              </w:rPr>
            </w:pPr>
          </w:p>
        </w:tc>
      </w:tr>
      <w:tr>
        <w:trPr>
          <w:trHeight w:val="361"/>
        </w:trPr>
        <w:tc>
          <w:tcPr>
            <w:tcW w:w="3540" w:type="dxa"/>
            <w:vAlign w:val="bottom"/>
            <w:gridSpan w:val="2"/>
          </w:tcPr>
          <w:p>
            <w:pPr>
              <w:spacing w:after="0"/>
              <w:rPr>
                <w:sz w:val="20"/>
                <w:szCs w:val="20"/>
                <w:color w:val="auto"/>
              </w:rPr>
            </w:pPr>
            <w:r>
              <w:rPr>
                <w:rFonts w:ascii="Arial" w:cs="Arial" w:eastAsia="Arial" w:hAnsi="Arial"/>
                <w:sz w:val="15"/>
                <w:szCs w:val="15"/>
                <w:color w:val="auto"/>
              </w:rPr>
              <w:t>Daryl Brewster</w:t>
            </w:r>
          </w:p>
        </w:tc>
        <w:tc>
          <w:tcPr>
            <w:tcW w:w="1260" w:type="dxa"/>
            <w:vAlign w:val="bottom"/>
            <w:gridSpan w:val="3"/>
          </w:tcPr>
          <w:p>
            <w:pPr>
              <w:jc w:val="right"/>
              <w:ind w:right="340"/>
              <w:spacing w:after="0"/>
              <w:rPr>
                <w:sz w:val="20"/>
                <w:szCs w:val="20"/>
                <w:color w:val="auto"/>
              </w:rPr>
            </w:pPr>
            <w:r>
              <w:rPr>
                <w:rFonts w:ascii="Arial" w:cs="Arial" w:eastAsia="Arial" w:hAnsi="Arial"/>
                <w:sz w:val="15"/>
                <w:szCs w:val="15"/>
                <w:color w:val="auto"/>
              </w:rPr>
              <w:t>46</w:t>
            </w:r>
          </w:p>
        </w:tc>
        <w:tc>
          <w:tcPr>
            <w:tcW w:w="6640" w:type="dxa"/>
            <w:vAlign w:val="bottom"/>
          </w:tcPr>
          <w:p>
            <w:pPr>
              <w:spacing w:after="0"/>
              <w:rPr>
                <w:sz w:val="20"/>
                <w:szCs w:val="20"/>
                <w:color w:val="auto"/>
              </w:rPr>
            </w:pPr>
            <w:r>
              <w:rPr>
                <w:rFonts w:ascii="Arial" w:cs="Arial" w:eastAsia="Arial" w:hAnsi="Arial"/>
                <w:sz w:val="15"/>
                <w:szCs w:val="15"/>
                <w:color w:val="auto"/>
              </w:rPr>
              <w:t>Group Vice President, Kraft Foods North America, and President, Canada, Mexico and Puerto Rico</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3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40" w:type="dxa"/>
            <w:vAlign w:val="bottom"/>
          </w:tcPr>
          <w:p>
            <w:pPr>
              <w:ind w:left="840"/>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20" w:type="dxa"/>
            <w:vAlign w:val="bottom"/>
            <w:tcBorders>
              <w:bottom w:val="single" w:sz="8" w:color="808080"/>
            </w:tcBorders>
          </w:tcPr>
          <w:p>
            <w:pPr>
              <w:spacing w:after="0"/>
              <w:rPr>
                <w:sz w:val="16"/>
                <w:szCs w:val="16"/>
                <w:color w:val="auto"/>
              </w:rPr>
            </w:pPr>
          </w:p>
        </w:tc>
        <w:tc>
          <w:tcPr>
            <w:tcW w:w="1260" w:type="dxa"/>
            <w:vAlign w:val="bottom"/>
            <w:tcBorders>
              <w:bottom w:val="single" w:sz="8" w:color="808080"/>
            </w:tcBorders>
            <w:gridSpan w:val="3"/>
          </w:tcPr>
          <w:p>
            <w:pPr>
              <w:spacing w:after="0"/>
              <w:rPr>
                <w:sz w:val="16"/>
                <w:szCs w:val="16"/>
                <w:color w:val="auto"/>
              </w:rPr>
            </w:pPr>
          </w:p>
        </w:tc>
        <w:tc>
          <w:tcPr>
            <w:tcW w:w="66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3540" w:type="dxa"/>
            <w:vAlign w:val="bottom"/>
            <w:gridSpan w:val="2"/>
          </w:tcPr>
          <w:p>
            <w:pPr>
              <w:spacing w:after="0"/>
              <w:rPr>
                <w:sz w:val="7"/>
                <w:szCs w:val="7"/>
                <w:color w:val="auto"/>
              </w:rPr>
            </w:pPr>
          </w:p>
        </w:tc>
        <w:tc>
          <w:tcPr>
            <w:tcW w:w="1260" w:type="dxa"/>
            <w:vAlign w:val="bottom"/>
            <w:gridSpan w:val="3"/>
          </w:tcPr>
          <w:p>
            <w:pPr>
              <w:spacing w:after="0"/>
              <w:rPr>
                <w:sz w:val="7"/>
                <w:szCs w:val="7"/>
                <w:color w:val="auto"/>
              </w:rPr>
            </w:pPr>
          </w:p>
        </w:tc>
        <w:tc>
          <w:tcPr>
            <w:tcW w:w="6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5"/>
                <w:szCs w:val="15"/>
                <w:color w:val="auto"/>
              </w:rPr>
              <w:t>Maurizio Calenti</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48</w:t>
            </w:r>
          </w:p>
        </w:tc>
        <w:tc>
          <w:tcPr>
            <w:tcW w:w="6640" w:type="dxa"/>
            <w:vAlign w:val="bottom"/>
            <w:shd w:val="clear" w:color="auto" w:fill="CCEEFF"/>
          </w:tcPr>
          <w:p>
            <w:pPr>
              <w:spacing w:after="0"/>
              <w:rPr>
                <w:sz w:val="20"/>
                <w:szCs w:val="20"/>
                <w:color w:val="auto"/>
              </w:rPr>
            </w:pPr>
            <w:r>
              <w:rPr>
                <w:rFonts w:ascii="Arial" w:cs="Arial" w:eastAsia="Arial" w:hAnsi="Arial"/>
                <w:sz w:val="15"/>
                <w:szCs w:val="15"/>
                <w:color w:val="auto"/>
                <w:w w:val="91"/>
              </w:rPr>
              <w:t>Group Vice President, Kraft Foods International, and President, Central and Eastern Europe, Middle East and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5"/>
                <w:szCs w:val="15"/>
                <w:color w:val="auto"/>
              </w:rPr>
              <w:t>Africa Region</w:t>
            </w:r>
          </w:p>
        </w:tc>
        <w:tc>
          <w:tcPr>
            <w:tcW w:w="0" w:type="dxa"/>
            <w:vAlign w:val="bottom"/>
          </w:tcPr>
          <w:p>
            <w:pPr>
              <w:spacing w:after="0"/>
              <w:rPr>
                <w:sz w:val="1"/>
                <w:szCs w:val="1"/>
                <w:color w:val="auto"/>
              </w:rPr>
            </w:pPr>
          </w:p>
        </w:tc>
      </w:tr>
      <w:tr>
        <w:trPr>
          <w:trHeight w:val="361"/>
        </w:trPr>
        <w:tc>
          <w:tcPr>
            <w:tcW w:w="3540" w:type="dxa"/>
            <w:vAlign w:val="bottom"/>
            <w:gridSpan w:val="2"/>
          </w:tcPr>
          <w:p>
            <w:pPr>
              <w:spacing w:after="0"/>
              <w:rPr>
                <w:sz w:val="20"/>
                <w:szCs w:val="20"/>
                <w:color w:val="auto"/>
              </w:rPr>
            </w:pPr>
            <w:r>
              <w:rPr>
                <w:rFonts w:ascii="Arial" w:cs="Arial" w:eastAsia="Arial" w:hAnsi="Arial"/>
                <w:sz w:val="15"/>
                <w:szCs w:val="15"/>
                <w:color w:val="auto"/>
              </w:rPr>
              <w:t>Calvin J. Collier</w:t>
            </w:r>
          </w:p>
        </w:tc>
        <w:tc>
          <w:tcPr>
            <w:tcW w:w="1260" w:type="dxa"/>
            <w:vAlign w:val="bottom"/>
            <w:gridSpan w:val="3"/>
          </w:tcPr>
          <w:p>
            <w:pPr>
              <w:jc w:val="right"/>
              <w:ind w:right="340"/>
              <w:spacing w:after="0"/>
              <w:rPr>
                <w:sz w:val="20"/>
                <w:szCs w:val="20"/>
                <w:color w:val="auto"/>
              </w:rPr>
            </w:pPr>
            <w:r>
              <w:rPr>
                <w:rFonts w:ascii="Arial" w:cs="Arial" w:eastAsia="Arial" w:hAnsi="Arial"/>
                <w:sz w:val="15"/>
                <w:szCs w:val="15"/>
                <w:color w:val="auto"/>
              </w:rPr>
              <w:t>61</w:t>
            </w:r>
          </w:p>
        </w:tc>
        <w:tc>
          <w:tcPr>
            <w:tcW w:w="6640" w:type="dxa"/>
            <w:vAlign w:val="bottom"/>
          </w:tcPr>
          <w:p>
            <w:pPr>
              <w:spacing w:after="0"/>
              <w:rPr>
                <w:sz w:val="20"/>
                <w:szCs w:val="20"/>
                <w:color w:val="auto"/>
              </w:rPr>
            </w:pPr>
            <w:r>
              <w:rPr>
                <w:rFonts w:ascii="Arial" w:cs="Arial" w:eastAsia="Arial" w:hAnsi="Arial"/>
                <w:sz w:val="15"/>
                <w:szCs w:val="15"/>
                <w:color w:val="auto"/>
              </w:rPr>
              <w:t>Senior Vice President, General Counsel and Corporate Secretary</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5"/>
                <w:szCs w:val="15"/>
                <w:color w:val="auto"/>
              </w:rPr>
              <w:t>James P. Dollive</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51</w:t>
            </w:r>
          </w:p>
        </w:tc>
        <w:tc>
          <w:tcPr>
            <w:tcW w:w="6640" w:type="dxa"/>
            <w:vAlign w:val="bottom"/>
            <w:shd w:val="clear" w:color="auto" w:fill="CCEEFF"/>
          </w:tcPr>
          <w:p>
            <w:pPr>
              <w:spacing w:after="0"/>
              <w:rPr>
                <w:sz w:val="20"/>
                <w:szCs w:val="20"/>
                <w:color w:val="auto"/>
              </w:rPr>
            </w:pPr>
            <w:r>
              <w:rPr>
                <w:rFonts w:ascii="Arial" w:cs="Arial" w:eastAsia="Arial" w:hAnsi="Arial"/>
                <w:sz w:val="15"/>
                <w:szCs w:val="15"/>
                <w:color w:val="auto"/>
              </w:rPr>
              <w:t>Senior Vice President and Chief Financial Officer</w:t>
            </w:r>
          </w:p>
        </w:tc>
        <w:tc>
          <w:tcPr>
            <w:tcW w:w="0" w:type="dxa"/>
            <w:vAlign w:val="bottom"/>
          </w:tcPr>
          <w:p>
            <w:pPr>
              <w:spacing w:after="0"/>
              <w:rPr>
                <w:sz w:val="1"/>
                <w:szCs w:val="1"/>
                <w:color w:val="auto"/>
              </w:rPr>
            </w:pPr>
          </w:p>
        </w:tc>
      </w:tr>
      <w:tr>
        <w:trPr>
          <w:trHeight w:val="361"/>
        </w:trPr>
        <w:tc>
          <w:tcPr>
            <w:tcW w:w="3540" w:type="dxa"/>
            <w:vAlign w:val="bottom"/>
            <w:gridSpan w:val="2"/>
          </w:tcPr>
          <w:p>
            <w:pPr>
              <w:spacing w:after="0"/>
              <w:rPr>
                <w:sz w:val="20"/>
                <w:szCs w:val="20"/>
                <w:color w:val="auto"/>
              </w:rPr>
            </w:pPr>
            <w:r>
              <w:rPr>
                <w:rFonts w:ascii="Arial" w:cs="Arial" w:eastAsia="Arial" w:hAnsi="Arial"/>
                <w:sz w:val="15"/>
                <w:szCs w:val="15"/>
                <w:color w:val="auto"/>
              </w:rPr>
              <w:t>Terry M. Faulk</w:t>
            </w:r>
          </w:p>
        </w:tc>
        <w:tc>
          <w:tcPr>
            <w:tcW w:w="1260" w:type="dxa"/>
            <w:vAlign w:val="bottom"/>
            <w:gridSpan w:val="3"/>
          </w:tcPr>
          <w:p>
            <w:pPr>
              <w:jc w:val="right"/>
              <w:ind w:right="340"/>
              <w:spacing w:after="0"/>
              <w:rPr>
                <w:sz w:val="20"/>
                <w:szCs w:val="20"/>
                <w:color w:val="auto"/>
              </w:rPr>
            </w:pPr>
            <w:r>
              <w:rPr>
                <w:rFonts w:ascii="Arial" w:cs="Arial" w:eastAsia="Arial" w:hAnsi="Arial"/>
                <w:sz w:val="15"/>
                <w:szCs w:val="15"/>
                <w:color w:val="auto"/>
              </w:rPr>
              <w:t>57</w:t>
            </w:r>
          </w:p>
        </w:tc>
        <w:tc>
          <w:tcPr>
            <w:tcW w:w="6640" w:type="dxa"/>
            <w:vAlign w:val="bottom"/>
          </w:tcPr>
          <w:p>
            <w:pPr>
              <w:spacing w:after="0"/>
              <w:rPr>
                <w:sz w:val="20"/>
                <w:szCs w:val="20"/>
                <w:color w:val="auto"/>
              </w:rPr>
            </w:pPr>
            <w:r>
              <w:rPr>
                <w:rFonts w:ascii="Arial" w:cs="Arial" w:eastAsia="Arial" w:hAnsi="Arial"/>
                <w:sz w:val="15"/>
                <w:szCs w:val="15"/>
                <w:color w:val="auto"/>
              </w:rPr>
              <w:t>Senior Vice President, Human Resources</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5"/>
                <w:szCs w:val="15"/>
                <w:color w:val="auto"/>
              </w:rPr>
              <w:t>Mary Kay Haben</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46</w:t>
            </w:r>
          </w:p>
        </w:tc>
        <w:tc>
          <w:tcPr>
            <w:tcW w:w="6640" w:type="dxa"/>
            <w:vAlign w:val="bottom"/>
            <w:shd w:val="clear" w:color="auto" w:fill="CCEEFF"/>
          </w:tcPr>
          <w:p>
            <w:pPr>
              <w:spacing w:after="0"/>
              <w:rPr>
                <w:sz w:val="20"/>
                <w:szCs w:val="20"/>
                <w:color w:val="auto"/>
              </w:rPr>
            </w:pPr>
            <w:r>
              <w:rPr>
                <w:rFonts w:ascii="Arial" w:cs="Arial" w:eastAsia="Arial" w:hAnsi="Arial"/>
                <w:sz w:val="15"/>
                <w:szCs w:val="15"/>
                <w:color w:val="auto"/>
                <w:w w:val="96"/>
              </w:rPr>
              <w:t>Group Vice President, Kraft Foods North America and President, Cheese, Meals and Enhancers Group</w:t>
            </w:r>
          </w:p>
        </w:tc>
        <w:tc>
          <w:tcPr>
            <w:tcW w:w="0" w:type="dxa"/>
            <w:vAlign w:val="bottom"/>
          </w:tcPr>
          <w:p>
            <w:pPr>
              <w:spacing w:after="0"/>
              <w:rPr>
                <w:sz w:val="1"/>
                <w:szCs w:val="1"/>
                <w:color w:val="auto"/>
              </w:rPr>
            </w:pPr>
          </w:p>
        </w:tc>
      </w:tr>
      <w:tr>
        <w:trPr>
          <w:trHeight w:val="354"/>
        </w:trPr>
        <w:tc>
          <w:tcPr>
            <w:tcW w:w="3540" w:type="dxa"/>
            <w:vAlign w:val="bottom"/>
            <w:gridSpan w:val="2"/>
          </w:tcPr>
          <w:p>
            <w:pPr>
              <w:spacing w:after="0"/>
              <w:rPr>
                <w:sz w:val="20"/>
                <w:szCs w:val="20"/>
                <w:color w:val="auto"/>
              </w:rPr>
            </w:pPr>
            <w:r>
              <w:rPr>
                <w:rFonts w:ascii="Arial" w:cs="Arial" w:eastAsia="Arial" w:hAnsi="Arial"/>
                <w:sz w:val="15"/>
                <w:szCs w:val="15"/>
                <w:color w:val="auto"/>
              </w:rPr>
              <w:t>David S. Johnson</w:t>
            </w:r>
          </w:p>
        </w:tc>
        <w:tc>
          <w:tcPr>
            <w:tcW w:w="1260" w:type="dxa"/>
            <w:vAlign w:val="bottom"/>
            <w:gridSpan w:val="3"/>
          </w:tcPr>
          <w:p>
            <w:pPr>
              <w:jc w:val="right"/>
              <w:ind w:right="340"/>
              <w:spacing w:after="0"/>
              <w:rPr>
                <w:sz w:val="20"/>
                <w:szCs w:val="20"/>
                <w:color w:val="auto"/>
              </w:rPr>
            </w:pPr>
            <w:r>
              <w:rPr>
                <w:rFonts w:ascii="Arial" w:cs="Arial" w:eastAsia="Arial" w:hAnsi="Arial"/>
                <w:sz w:val="15"/>
                <w:szCs w:val="15"/>
                <w:color w:val="auto"/>
              </w:rPr>
              <w:t>46</w:t>
            </w:r>
          </w:p>
        </w:tc>
        <w:tc>
          <w:tcPr>
            <w:tcW w:w="6640" w:type="dxa"/>
            <w:vAlign w:val="bottom"/>
          </w:tcPr>
          <w:p>
            <w:pPr>
              <w:spacing w:after="0"/>
              <w:rPr>
                <w:sz w:val="20"/>
                <w:szCs w:val="20"/>
                <w:color w:val="auto"/>
              </w:rPr>
            </w:pPr>
            <w:r>
              <w:rPr>
                <w:rFonts w:ascii="Arial" w:cs="Arial" w:eastAsia="Arial" w:hAnsi="Arial"/>
                <w:sz w:val="15"/>
                <w:szCs w:val="15"/>
                <w:color w:val="auto"/>
                <w:w w:val="91"/>
              </w:rPr>
              <w:t>Group Vice President, Kraft Foods North America, and President, Operations, Technology, Procurement and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Arial" w:cs="Arial" w:eastAsia="Arial" w:hAnsi="Arial"/>
                <w:sz w:val="15"/>
                <w:szCs w:val="15"/>
                <w:color w:val="auto"/>
              </w:rPr>
              <w:t>Information Services</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5"/>
                <w:szCs w:val="15"/>
                <w:color w:val="auto"/>
              </w:rPr>
              <w:t>Joachim Krawczyk</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51</w:t>
            </w:r>
          </w:p>
        </w:tc>
        <w:tc>
          <w:tcPr>
            <w:tcW w:w="6640" w:type="dxa"/>
            <w:vAlign w:val="bottom"/>
            <w:shd w:val="clear" w:color="auto" w:fill="CCEEFF"/>
          </w:tcPr>
          <w:p>
            <w:pPr>
              <w:spacing w:after="0"/>
              <w:rPr>
                <w:sz w:val="20"/>
                <w:szCs w:val="20"/>
                <w:color w:val="auto"/>
              </w:rPr>
            </w:pPr>
            <w:r>
              <w:rPr>
                <w:rFonts w:ascii="Arial" w:cs="Arial" w:eastAsia="Arial" w:hAnsi="Arial"/>
                <w:sz w:val="15"/>
                <w:szCs w:val="15"/>
                <w:color w:val="auto"/>
              </w:rPr>
              <w:t>Group Vice President, Kraft Foods International, and President, Latin America Region</w:t>
            </w:r>
          </w:p>
        </w:tc>
        <w:tc>
          <w:tcPr>
            <w:tcW w:w="0" w:type="dxa"/>
            <w:vAlign w:val="bottom"/>
          </w:tcPr>
          <w:p>
            <w:pPr>
              <w:spacing w:after="0"/>
              <w:rPr>
                <w:sz w:val="1"/>
                <w:szCs w:val="1"/>
                <w:color w:val="auto"/>
              </w:rPr>
            </w:pPr>
          </w:p>
        </w:tc>
      </w:tr>
      <w:tr>
        <w:trPr>
          <w:trHeight w:val="361"/>
        </w:trPr>
        <w:tc>
          <w:tcPr>
            <w:tcW w:w="3540" w:type="dxa"/>
            <w:vAlign w:val="bottom"/>
            <w:gridSpan w:val="2"/>
          </w:tcPr>
          <w:p>
            <w:pPr>
              <w:spacing w:after="0"/>
              <w:rPr>
                <w:sz w:val="20"/>
                <w:szCs w:val="20"/>
                <w:color w:val="auto"/>
              </w:rPr>
            </w:pPr>
            <w:r>
              <w:rPr>
                <w:rFonts w:ascii="Arial" w:cs="Arial" w:eastAsia="Arial" w:hAnsi="Arial"/>
                <w:sz w:val="15"/>
                <w:szCs w:val="15"/>
                <w:color w:val="auto"/>
              </w:rPr>
              <w:t>John F. Mowrer III</w:t>
            </w:r>
          </w:p>
        </w:tc>
        <w:tc>
          <w:tcPr>
            <w:tcW w:w="1260" w:type="dxa"/>
            <w:vAlign w:val="bottom"/>
            <w:gridSpan w:val="3"/>
          </w:tcPr>
          <w:p>
            <w:pPr>
              <w:jc w:val="right"/>
              <w:ind w:right="340"/>
              <w:spacing w:after="0"/>
              <w:rPr>
                <w:sz w:val="20"/>
                <w:szCs w:val="20"/>
                <w:color w:val="auto"/>
              </w:rPr>
            </w:pPr>
            <w:r>
              <w:rPr>
                <w:rFonts w:ascii="Arial" w:cs="Arial" w:eastAsia="Arial" w:hAnsi="Arial"/>
                <w:sz w:val="15"/>
                <w:szCs w:val="15"/>
                <w:color w:val="auto"/>
              </w:rPr>
              <w:t>53</w:t>
            </w:r>
          </w:p>
        </w:tc>
        <w:tc>
          <w:tcPr>
            <w:tcW w:w="6640" w:type="dxa"/>
            <w:vAlign w:val="bottom"/>
          </w:tcPr>
          <w:p>
            <w:pPr>
              <w:spacing w:after="0"/>
              <w:rPr>
                <w:sz w:val="20"/>
                <w:szCs w:val="20"/>
                <w:color w:val="auto"/>
              </w:rPr>
            </w:pPr>
            <w:r>
              <w:rPr>
                <w:rFonts w:ascii="Arial" w:cs="Arial" w:eastAsia="Arial" w:hAnsi="Arial"/>
                <w:sz w:val="15"/>
                <w:szCs w:val="15"/>
                <w:color w:val="auto"/>
              </w:rPr>
              <w:t>Vice President and Controller</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5"/>
                <w:szCs w:val="15"/>
                <w:color w:val="auto"/>
              </w:rPr>
              <w:t>Edward J. Moy</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59</w:t>
            </w:r>
          </w:p>
        </w:tc>
        <w:tc>
          <w:tcPr>
            <w:tcW w:w="6640" w:type="dxa"/>
            <w:vAlign w:val="bottom"/>
            <w:shd w:val="clear" w:color="auto" w:fill="CCEEFF"/>
          </w:tcPr>
          <w:p>
            <w:pPr>
              <w:spacing w:after="0"/>
              <w:rPr>
                <w:sz w:val="20"/>
                <w:szCs w:val="20"/>
                <w:color w:val="auto"/>
              </w:rPr>
            </w:pPr>
            <w:r>
              <w:rPr>
                <w:rFonts w:ascii="Arial" w:cs="Arial" w:eastAsia="Arial" w:hAnsi="Arial"/>
                <w:sz w:val="15"/>
                <w:szCs w:val="15"/>
                <w:color w:val="auto"/>
              </w:rPr>
              <w:t>Senior Vice President and General Counsel, Kraft Foods International</w:t>
            </w:r>
          </w:p>
        </w:tc>
        <w:tc>
          <w:tcPr>
            <w:tcW w:w="0" w:type="dxa"/>
            <w:vAlign w:val="bottom"/>
          </w:tcPr>
          <w:p>
            <w:pPr>
              <w:spacing w:after="0"/>
              <w:rPr>
                <w:sz w:val="1"/>
                <w:szCs w:val="1"/>
                <w:color w:val="auto"/>
              </w:rPr>
            </w:pPr>
          </w:p>
        </w:tc>
      </w:tr>
      <w:tr>
        <w:trPr>
          <w:trHeight w:val="361"/>
        </w:trPr>
        <w:tc>
          <w:tcPr>
            <w:tcW w:w="3540" w:type="dxa"/>
            <w:vAlign w:val="bottom"/>
            <w:gridSpan w:val="2"/>
          </w:tcPr>
          <w:p>
            <w:pPr>
              <w:spacing w:after="0"/>
              <w:rPr>
                <w:sz w:val="20"/>
                <w:szCs w:val="20"/>
                <w:color w:val="auto"/>
              </w:rPr>
            </w:pPr>
            <w:r>
              <w:rPr>
                <w:rFonts w:ascii="Arial" w:cs="Arial" w:eastAsia="Arial" w:hAnsi="Arial"/>
                <w:sz w:val="15"/>
                <w:szCs w:val="15"/>
                <w:color w:val="auto"/>
              </w:rPr>
              <w:t>Ralph J. Nicoletti</w:t>
            </w:r>
          </w:p>
        </w:tc>
        <w:tc>
          <w:tcPr>
            <w:tcW w:w="1260" w:type="dxa"/>
            <w:vAlign w:val="bottom"/>
            <w:gridSpan w:val="3"/>
          </w:tcPr>
          <w:p>
            <w:pPr>
              <w:jc w:val="right"/>
              <w:ind w:right="340"/>
              <w:spacing w:after="0"/>
              <w:rPr>
                <w:sz w:val="20"/>
                <w:szCs w:val="20"/>
                <w:color w:val="auto"/>
              </w:rPr>
            </w:pPr>
            <w:r>
              <w:rPr>
                <w:rFonts w:ascii="Arial" w:cs="Arial" w:eastAsia="Arial" w:hAnsi="Arial"/>
                <w:sz w:val="15"/>
                <w:szCs w:val="15"/>
                <w:color w:val="auto"/>
              </w:rPr>
              <w:t>45</w:t>
            </w:r>
          </w:p>
        </w:tc>
        <w:tc>
          <w:tcPr>
            <w:tcW w:w="6640" w:type="dxa"/>
            <w:vAlign w:val="bottom"/>
          </w:tcPr>
          <w:p>
            <w:pPr>
              <w:spacing w:after="0"/>
              <w:rPr>
                <w:sz w:val="20"/>
                <w:szCs w:val="20"/>
                <w:color w:val="auto"/>
              </w:rPr>
            </w:pPr>
            <w:r>
              <w:rPr>
                <w:rFonts w:ascii="Arial" w:cs="Arial" w:eastAsia="Arial" w:hAnsi="Arial"/>
                <w:sz w:val="15"/>
                <w:szCs w:val="15"/>
                <w:color w:val="auto"/>
              </w:rPr>
              <w:t>Senior Vice President, Finance, Kraft Foods North America</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5"/>
                <w:szCs w:val="15"/>
                <w:color w:val="auto"/>
              </w:rPr>
              <w:t>David G. Owens</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51</w:t>
            </w:r>
          </w:p>
        </w:tc>
        <w:tc>
          <w:tcPr>
            <w:tcW w:w="6640" w:type="dxa"/>
            <w:vAlign w:val="bottom"/>
            <w:shd w:val="clear" w:color="auto" w:fill="CCEEFF"/>
          </w:tcPr>
          <w:p>
            <w:pPr>
              <w:spacing w:after="0"/>
              <w:rPr>
                <w:sz w:val="20"/>
                <w:szCs w:val="20"/>
                <w:color w:val="auto"/>
              </w:rPr>
            </w:pPr>
            <w:r>
              <w:rPr>
                <w:rFonts w:ascii="Arial" w:cs="Arial" w:eastAsia="Arial" w:hAnsi="Arial"/>
                <w:sz w:val="15"/>
                <w:szCs w:val="15"/>
                <w:color w:val="auto"/>
              </w:rPr>
              <w:t>Senior Vice President, Strategy</w:t>
            </w:r>
          </w:p>
        </w:tc>
        <w:tc>
          <w:tcPr>
            <w:tcW w:w="0" w:type="dxa"/>
            <w:vAlign w:val="bottom"/>
          </w:tcPr>
          <w:p>
            <w:pPr>
              <w:spacing w:after="0"/>
              <w:rPr>
                <w:sz w:val="1"/>
                <w:szCs w:val="1"/>
                <w:color w:val="auto"/>
              </w:rPr>
            </w:pPr>
          </w:p>
        </w:tc>
      </w:tr>
      <w:tr>
        <w:trPr>
          <w:trHeight w:val="361"/>
        </w:trPr>
        <w:tc>
          <w:tcPr>
            <w:tcW w:w="3540" w:type="dxa"/>
            <w:vAlign w:val="bottom"/>
            <w:gridSpan w:val="2"/>
          </w:tcPr>
          <w:p>
            <w:pPr>
              <w:spacing w:after="0"/>
              <w:rPr>
                <w:sz w:val="20"/>
                <w:szCs w:val="20"/>
                <w:color w:val="auto"/>
              </w:rPr>
            </w:pPr>
            <w:r>
              <w:rPr>
                <w:rFonts w:ascii="Arial" w:cs="Arial" w:eastAsia="Arial" w:hAnsi="Arial"/>
                <w:sz w:val="15"/>
                <w:szCs w:val="15"/>
                <w:color w:val="auto"/>
              </w:rPr>
              <w:t>Philip F. Pellegrino</w:t>
            </w:r>
          </w:p>
        </w:tc>
        <w:tc>
          <w:tcPr>
            <w:tcW w:w="1260" w:type="dxa"/>
            <w:vAlign w:val="bottom"/>
            <w:gridSpan w:val="3"/>
          </w:tcPr>
          <w:p>
            <w:pPr>
              <w:jc w:val="right"/>
              <w:ind w:right="340"/>
              <w:spacing w:after="0"/>
              <w:rPr>
                <w:sz w:val="20"/>
                <w:szCs w:val="20"/>
                <w:color w:val="auto"/>
              </w:rPr>
            </w:pPr>
            <w:r>
              <w:rPr>
                <w:rFonts w:ascii="Arial" w:cs="Arial" w:eastAsia="Arial" w:hAnsi="Arial"/>
                <w:sz w:val="15"/>
                <w:szCs w:val="15"/>
                <w:color w:val="auto"/>
              </w:rPr>
              <w:t>63</w:t>
            </w:r>
          </w:p>
        </w:tc>
        <w:tc>
          <w:tcPr>
            <w:tcW w:w="6640" w:type="dxa"/>
            <w:vAlign w:val="bottom"/>
          </w:tcPr>
          <w:p>
            <w:pPr>
              <w:spacing w:after="0"/>
              <w:rPr>
                <w:sz w:val="20"/>
                <w:szCs w:val="20"/>
                <w:color w:val="auto"/>
              </w:rPr>
            </w:pPr>
            <w:r>
              <w:rPr>
                <w:rFonts w:ascii="Arial" w:cs="Arial" w:eastAsia="Arial" w:hAnsi="Arial"/>
                <w:sz w:val="15"/>
                <w:szCs w:val="15"/>
                <w:color w:val="auto"/>
              </w:rPr>
              <w:t>Senior Vice President, Sales and Customer Service, Kraft Foods North America</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5"/>
                <w:szCs w:val="15"/>
                <w:color w:val="auto"/>
              </w:rPr>
              <w:t>Michael B. Polk</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42</w:t>
            </w:r>
          </w:p>
        </w:tc>
        <w:tc>
          <w:tcPr>
            <w:tcW w:w="6640" w:type="dxa"/>
            <w:vAlign w:val="bottom"/>
            <w:shd w:val="clear" w:color="auto" w:fill="CCEEFF"/>
          </w:tcPr>
          <w:p>
            <w:pPr>
              <w:spacing w:after="0"/>
              <w:rPr>
                <w:sz w:val="20"/>
                <w:szCs w:val="20"/>
                <w:color w:val="auto"/>
              </w:rPr>
            </w:pPr>
            <w:r>
              <w:rPr>
                <w:rFonts w:ascii="Arial" w:cs="Arial" w:eastAsia="Arial" w:hAnsi="Arial"/>
                <w:sz w:val="15"/>
                <w:szCs w:val="15"/>
                <w:color w:val="auto"/>
                <w:w w:val="93"/>
              </w:rPr>
              <w:t>Group Vice President, Kraft Foods North America, and President, Biscuit, Snacks and Confectionery Group</w:t>
            </w:r>
          </w:p>
        </w:tc>
        <w:tc>
          <w:tcPr>
            <w:tcW w:w="0" w:type="dxa"/>
            <w:vAlign w:val="bottom"/>
          </w:tcPr>
          <w:p>
            <w:pPr>
              <w:spacing w:after="0"/>
              <w:rPr>
                <w:sz w:val="1"/>
                <w:szCs w:val="1"/>
                <w:color w:val="auto"/>
              </w:rPr>
            </w:pPr>
          </w:p>
        </w:tc>
      </w:tr>
      <w:tr>
        <w:trPr>
          <w:trHeight w:val="361"/>
        </w:trPr>
        <w:tc>
          <w:tcPr>
            <w:tcW w:w="3540" w:type="dxa"/>
            <w:vAlign w:val="bottom"/>
            <w:gridSpan w:val="2"/>
          </w:tcPr>
          <w:p>
            <w:pPr>
              <w:spacing w:after="0"/>
              <w:rPr>
                <w:sz w:val="20"/>
                <w:szCs w:val="20"/>
                <w:color w:val="auto"/>
              </w:rPr>
            </w:pPr>
            <w:r>
              <w:rPr>
                <w:rFonts w:ascii="Arial" w:cs="Arial" w:eastAsia="Arial" w:hAnsi="Arial"/>
                <w:sz w:val="15"/>
                <w:szCs w:val="15"/>
                <w:color w:val="auto"/>
              </w:rPr>
              <w:t>David K. Ratcliffe</w:t>
            </w:r>
          </w:p>
        </w:tc>
        <w:tc>
          <w:tcPr>
            <w:tcW w:w="1260" w:type="dxa"/>
            <w:vAlign w:val="bottom"/>
            <w:gridSpan w:val="3"/>
          </w:tcPr>
          <w:p>
            <w:pPr>
              <w:jc w:val="right"/>
              <w:ind w:right="340"/>
              <w:spacing w:after="0"/>
              <w:rPr>
                <w:sz w:val="20"/>
                <w:szCs w:val="20"/>
                <w:color w:val="auto"/>
              </w:rPr>
            </w:pPr>
            <w:r>
              <w:rPr>
                <w:rFonts w:ascii="Arial" w:cs="Arial" w:eastAsia="Arial" w:hAnsi="Arial"/>
                <w:sz w:val="15"/>
                <w:szCs w:val="15"/>
                <w:color w:val="auto"/>
              </w:rPr>
              <w:t>58</w:t>
            </w:r>
          </w:p>
        </w:tc>
        <w:tc>
          <w:tcPr>
            <w:tcW w:w="6640" w:type="dxa"/>
            <w:vAlign w:val="bottom"/>
          </w:tcPr>
          <w:p>
            <w:pPr>
              <w:spacing w:after="0"/>
              <w:rPr>
                <w:sz w:val="20"/>
                <w:szCs w:val="20"/>
                <w:color w:val="auto"/>
              </w:rPr>
            </w:pPr>
            <w:r>
              <w:rPr>
                <w:rFonts w:ascii="Arial" w:cs="Arial" w:eastAsia="Arial" w:hAnsi="Arial"/>
                <w:sz w:val="15"/>
                <w:szCs w:val="15"/>
                <w:color w:val="auto"/>
              </w:rPr>
              <w:t>Senior Vice President, Sales, Kraft Foods International</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5"/>
                <w:szCs w:val="15"/>
                <w:color w:val="auto"/>
              </w:rPr>
              <w:t>Hugh H. Roberts</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51</w:t>
            </w:r>
          </w:p>
        </w:tc>
        <w:tc>
          <w:tcPr>
            <w:tcW w:w="6640" w:type="dxa"/>
            <w:vAlign w:val="bottom"/>
            <w:shd w:val="clear" w:color="auto" w:fill="CCEEFF"/>
          </w:tcPr>
          <w:p>
            <w:pPr>
              <w:spacing w:after="0"/>
              <w:rPr>
                <w:sz w:val="20"/>
                <w:szCs w:val="20"/>
                <w:color w:val="auto"/>
              </w:rPr>
            </w:pPr>
            <w:r>
              <w:rPr>
                <w:rFonts w:ascii="Arial" w:cs="Arial" w:eastAsia="Arial" w:hAnsi="Arial"/>
                <w:sz w:val="15"/>
                <w:szCs w:val="15"/>
                <w:color w:val="auto"/>
              </w:rPr>
              <w:t>Group Vice President, Kraft Foods International, and President, Asia Pacific Region</w:t>
            </w:r>
          </w:p>
        </w:tc>
        <w:tc>
          <w:tcPr>
            <w:tcW w:w="0" w:type="dxa"/>
            <w:vAlign w:val="bottom"/>
          </w:tcPr>
          <w:p>
            <w:pPr>
              <w:spacing w:after="0"/>
              <w:rPr>
                <w:sz w:val="1"/>
                <w:szCs w:val="1"/>
                <w:color w:val="auto"/>
              </w:rPr>
            </w:pPr>
          </w:p>
        </w:tc>
      </w:tr>
      <w:tr>
        <w:trPr>
          <w:trHeight w:val="361"/>
        </w:trPr>
        <w:tc>
          <w:tcPr>
            <w:tcW w:w="3540" w:type="dxa"/>
            <w:vAlign w:val="bottom"/>
            <w:gridSpan w:val="2"/>
          </w:tcPr>
          <w:p>
            <w:pPr>
              <w:spacing w:after="0"/>
              <w:rPr>
                <w:sz w:val="20"/>
                <w:szCs w:val="20"/>
                <w:color w:val="auto"/>
              </w:rPr>
            </w:pPr>
            <w:r>
              <w:rPr>
                <w:rFonts w:ascii="Arial" w:cs="Arial" w:eastAsia="Arial" w:hAnsi="Arial"/>
                <w:sz w:val="15"/>
                <w:szCs w:val="15"/>
                <w:color w:val="auto"/>
              </w:rPr>
              <w:t>Irene B. Rosenfeld</w:t>
            </w:r>
          </w:p>
        </w:tc>
        <w:tc>
          <w:tcPr>
            <w:tcW w:w="1260" w:type="dxa"/>
            <w:vAlign w:val="bottom"/>
            <w:gridSpan w:val="3"/>
          </w:tcPr>
          <w:p>
            <w:pPr>
              <w:jc w:val="right"/>
              <w:ind w:right="340"/>
              <w:spacing w:after="0"/>
              <w:rPr>
                <w:sz w:val="20"/>
                <w:szCs w:val="20"/>
                <w:color w:val="auto"/>
              </w:rPr>
            </w:pPr>
            <w:r>
              <w:rPr>
                <w:rFonts w:ascii="Arial" w:cs="Arial" w:eastAsia="Arial" w:hAnsi="Arial"/>
                <w:sz w:val="15"/>
                <w:szCs w:val="15"/>
                <w:color w:val="auto"/>
              </w:rPr>
              <w:t>49</w:t>
            </w:r>
          </w:p>
        </w:tc>
        <w:tc>
          <w:tcPr>
            <w:tcW w:w="6640" w:type="dxa"/>
            <w:vAlign w:val="bottom"/>
          </w:tcPr>
          <w:p>
            <w:pPr>
              <w:spacing w:after="0"/>
              <w:rPr>
                <w:sz w:val="20"/>
                <w:szCs w:val="20"/>
                <w:color w:val="auto"/>
              </w:rPr>
            </w:pPr>
            <w:r>
              <w:rPr>
                <w:rFonts w:ascii="Arial" w:cs="Arial" w:eastAsia="Arial" w:hAnsi="Arial"/>
                <w:sz w:val="15"/>
                <w:szCs w:val="15"/>
                <w:color w:val="auto"/>
              </w:rPr>
              <w:t>President, North American Businesses, Kraft Foods North America</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5"/>
                <w:szCs w:val="15"/>
                <w:color w:val="auto"/>
              </w:rPr>
              <w:t>Richard G. Searer</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49</w:t>
            </w:r>
          </w:p>
        </w:tc>
        <w:tc>
          <w:tcPr>
            <w:tcW w:w="6640" w:type="dxa"/>
            <w:vAlign w:val="bottom"/>
            <w:shd w:val="clear" w:color="auto" w:fill="CCEEFF"/>
          </w:tcPr>
          <w:p>
            <w:pPr>
              <w:spacing w:after="0"/>
              <w:rPr>
                <w:sz w:val="20"/>
                <w:szCs w:val="20"/>
                <w:color w:val="auto"/>
              </w:rPr>
            </w:pPr>
            <w:r>
              <w:rPr>
                <w:rFonts w:ascii="Arial" w:cs="Arial" w:eastAsia="Arial" w:hAnsi="Arial"/>
                <w:sz w:val="15"/>
                <w:szCs w:val="15"/>
                <w:color w:val="auto"/>
              </w:rPr>
              <w:t>Group Vice President, Kraft Foods North America, and President, Oscar Mayer and Pizza Group</w:t>
            </w:r>
          </w:p>
        </w:tc>
        <w:tc>
          <w:tcPr>
            <w:tcW w:w="0" w:type="dxa"/>
            <w:vAlign w:val="bottom"/>
          </w:tcPr>
          <w:p>
            <w:pPr>
              <w:spacing w:after="0"/>
              <w:rPr>
                <w:sz w:val="1"/>
                <w:szCs w:val="1"/>
                <w:color w:val="auto"/>
              </w:rPr>
            </w:pPr>
          </w:p>
        </w:tc>
      </w:tr>
      <w:tr>
        <w:trPr>
          <w:trHeight w:val="361"/>
        </w:trPr>
        <w:tc>
          <w:tcPr>
            <w:tcW w:w="3540" w:type="dxa"/>
            <w:vAlign w:val="bottom"/>
            <w:gridSpan w:val="2"/>
          </w:tcPr>
          <w:p>
            <w:pPr>
              <w:spacing w:after="0"/>
              <w:rPr>
                <w:sz w:val="20"/>
                <w:szCs w:val="20"/>
                <w:color w:val="auto"/>
              </w:rPr>
            </w:pPr>
            <w:r>
              <w:rPr>
                <w:rFonts w:ascii="Arial" w:cs="Arial" w:eastAsia="Arial" w:hAnsi="Arial"/>
                <w:sz w:val="15"/>
                <w:szCs w:val="15"/>
                <w:color w:val="auto"/>
              </w:rPr>
              <w:t>Elizabeth A. Smith</w:t>
            </w:r>
          </w:p>
        </w:tc>
        <w:tc>
          <w:tcPr>
            <w:tcW w:w="1260" w:type="dxa"/>
            <w:vAlign w:val="bottom"/>
            <w:gridSpan w:val="3"/>
          </w:tcPr>
          <w:p>
            <w:pPr>
              <w:jc w:val="right"/>
              <w:ind w:right="340"/>
              <w:spacing w:after="0"/>
              <w:rPr>
                <w:sz w:val="20"/>
                <w:szCs w:val="20"/>
                <w:color w:val="auto"/>
              </w:rPr>
            </w:pPr>
            <w:r>
              <w:rPr>
                <w:rFonts w:ascii="Arial" w:cs="Arial" w:eastAsia="Arial" w:hAnsi="Arial"/>
                <w:sz w:val="15"/>
                <w:szCs w:val="15"/>
                <w:color w:val="auto"/>
              </w:rPr>
              <w:t>39</w:t>
            </w:r>
          </w:p>
        </w:tc>
        <w:tc>
          <w:tcPr>
            <w:tcW w:w="6640" w:type="dxa"/>
            <w:vAlign w:val="bottom"/>
          </w:tcPr>
          <w:p>
            <w:pPr>
              <w:spacing w:after="0"/>
              <w:rPr>
                <w:sz w:val="20"/>
                <w:szCs w:val="20"/>
                <w:color w:val="auto"/>
              </w:rPr>
            </w:pPr>
            <w:r>
              <w:rPr>
                <w:rFonts w:ascii="Arial" w:cs="Arial" w:eastAsia="Arial" w:hAnsi="Arial"/>
                <w:sz w:val="15"/>
                <w:szCs w:val="15"/>
                <w:color w:val="auto"/>
                <w:w w:val="93"/>
              </w:rPr>
              <w:t>Group Vice President, Kraft Foods North America, and President, Beverages, Desserts and Cereals Group</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5"/>
                <w:szCs w:val="15"/>
                <w:color w:val="auto"/>
              </w:rPr>
              <w:t>Paula A. Sneed</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55</w:t>
            </w:r>
          </w:p>
        </w:tc>
        <w:tc>
          <w:tcPr>
            <w:tcW w:w="6640" w:type="dxa"/>
            <w:vAlign w:val="bottom"/>
            <w:shd w:val="clear" w:color="auto" w:fill="CCEEFF"/>
          </w:tcPr>
          <w:p>
            <w:pPr>
              <w:spacing w:after="0"/>
              <w:rPr>
                <w:sz w:val="20"/>
                <w:szCs w:val="20"/>
                <w:color w:val="auto"/>
              </w:rPr>
            </w:pPr>
            <w:r>
              <w:rPr>
                <w:rFonts w:ascii="Arial" w:cs="Arial" w:eastAsia="Arial" w:hAnsi="Arial"/>
                <w:sz w:val="15"/>
                <w:szCs w:val="15"/>
                <w:color w:val="auto"/>
                <w:w w:val="96"/>
              </w:rPr>
              <w:t>Group Vice President, Kraft Foods North America, and President, E-Commerce and Marketing Services</w:t>
            </w:r>
          </w:p>
        </w:tc>
        <w:tc>
          <w:tcPr>
            <w:tcW w:w="0" w:type="dxa"/>
            <w:vAlign w:val="bottom"/>
          </w:tcPr>
          <w:p>
            <w:pPr>
              <w:spacing w:after="0"/>
              <w:rPr>
                <w:sz w:val="1"/>
                <w:szCs w:val="1"/>
                <w:color w:val="auto"/>
              </w:rPr>
            </w:pPr>
          </w:p>
        </w:tc>
      </w:tr>
      <w:tr>
        <w:trPr>
          <w:trHeight w:val="360"/>
        </w:trPr>
        <w:tc>
          <w:tcPr>
            <w:tcW w:w="3540" w:type="dxa"/>
            <w:vAlign w:val="bottom"/>
            <w:gridSpan w:val="2"/>
          </w:tcPr>
          <w:p>
            <w:pPr>
              <w:spacing w:after="0"/>
              <w:rPr>
                <w:sz w:val="20"/>
                <w:szCs w:val="20"/>
                <w:color w:val="auto"/>
              </w:rPr>
            </w:pPr>
            <w:r>
              <w:rPr>
                <w:rFonts w:ascii="Arial" w:cs="Arial" w:eastAsia="Arial" w:hAnsi="Arial"/>
                <w:sz w:val="15"/>
                <w:szCs w:val="15"/>
                <w:color w:val="auto"/>
              </w:rPr>
              <w:t>Franz-Josef H. Vogelsang</w:t>
            </w:r>
          </w:p>
        </w:tc>
        <w:tc>
          <w:tcPr>
            <w:tcW w:w="1260" w:type="dxa"/>
            <w:vAlign w:val="bottom"/>
            <w:gridSpan w:val="3"/>
          </w:tcPr>
          <w:p>
            <w:pPr>
              <w:jc w:val="right"/>
              <w:ind w:right="340"/>
              <w:spacing w:after="0"/>
              <w:rPr>
                <w:sz w:val="20"/>
                <w:szCs w:val="20"/>
                <w:color w:val="auto"/>
              </w:rPr>
            </w:pPr>
            <w:r>
              <w:rPr>
                <w:rFonts w:ascii="Arial" w:cs="Arial" w:eastAsia="Arial" w:hAnsi="Arial"/>
                <w:sz w:val="15"/>
                <w:szCs w:val="15"/>
                <w:color w:val="auto"/>
              </w:rPr>
              <w:t>52</w:t>
            </w:r>
          </w:p>
        </w:tc>
        <w:tc>
          <w:tcPr>
            <w:tcW w:w="6640" w:type="dxa"/>
            <w:vAlign w:val="bottom"/>
          </w:tcPr>
          <w:p>
            <w:pPr>
              <w:spacing w:after="0"/>
              <w:rPr>
                <w:sz w:val="20"/>
                <w:szCs w:val="20"/>
                <w:color w:val="auto"/>
              </w:rPr>
            </w:pPr>
            <w:r>
              <w:rPr>
                <w:rFonts w:ascii="Arial" w:cs="Arial" w:eastAsia="Arial" w:hAnsi="Arial"/>
                <w:sz w:val="15"/>
                <w:szCs w:val="15"/>
                <w:color w:val="auto"/>
              </w:rPr>
              <w:t>Senior Vice President, Operations, Procurement and Supply Chain, Kraft Foods International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-6797675</wp:posOffset>
            </wp:positionV>
            <wp:extent cx="1270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-6797675</wp:posOffset>
            </wp:positionV>
            <wp:extent cx="1270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-6797675</wp:posOffset>
            </wp:positionV>
            <wp:extent cx="1270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-6797675</wp:posOffset>
            </wp:positionV>
            <wp:extent cx="1270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7252970</wp:posOffset>
            </wp:positionH>
            <wp:positionV relativeFrom="paragraph">
              <wp:posOffset>-6797675</wp:posOffset>
            </wp:positionV>
            <wp:extent cx="1270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-6797675</wp:posOffset>
            </wp:positionV>
            <wp:extent cx="1270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7252970</wp:posOffset>
            </wp:positionH>
            <wp:positionV relativeFrom="paragraph">
              <wp:posOffset>-4888865</wp:posOffset>
            </wp:positionV>
            <wp:extent cx="1270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-4888865</wp:posOffset>
            </wp:positionV>
            <wp:extent cx="1270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All of the above-named officers have been employed by the Company in various capacities during the past five years.</w:t>
      </w:r>
    </w:p>
    <w:p>
      <w:pPr>
        <w:spacing w:after="0" w:line="189"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309" w:right="2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Item 11.</w:t>
      </w:r>
      <w:r>
        <w:rPr>
          <w:sz w:val="20"/>
          <w:szCs w:val="20"/>
          <w:color w:val="auto"/>
        </w:rPr>
        <w:tab/>
      </w:r>
      <w:r>
        <w:rPr>
          <w:rFonts w:ascii="Arial" w:cs="Arial" w:eastAsia="Arial" w:hAnsi="Arial"/>
          <w:sz w:val="12"/>
          <w:szCs w:val="12"/>
          <w:b w:val="1"/>
          <w:bCs w:val="1"/>
          <w:i w:val="1"/>
          <w:iCs w:val="1"/>
          <w:color w:val="auto"/>
        </w:rPr>
        <w:t>Executive Compensation.</w:t>
      </w:r>
    </w:p>
    <w:p>
      <w:pPr>
        <w:sectPr>
          <w:pgSz w:w="11900" w:h="16838" w:orient="portrait"/>
          <w:cols w:equalWidth="0" w:num="1">
            <w:col w:w="11440"/>
          </w:cols>
          <w:pgMar w:left="240" w:top="309" w:right="219" w:bottom="0" w:gutter="0" w:footer="0" w:header="0"/>
          <w:type w:val="continuous"/>
        </w:sectPr>
      </w:pPr>
    </w:p>
    <w:bookmarkStart w:id="8" w:name="page9"/>
    <w:bookmarkEnd w:id="8"/>
    <w:p>
      <w:pPr>
        <w:spacing w:after="0" w:line="13" w:lineRule="exact"/>
        <w:rPr>
          <w:sz w:val="20"/>
          <w:szCs w:val="20"/>
          <w:color w:val="auto"/>
        </w:rPr>
      </w:pPr>
    </w:p>
    <w:p>
      <w:pPr>
        <w:spacing w:after="0"/>
        <w:tabs>
          <w:tab w:leader="none" w:pos="640" w:val="left"/>
        </w:tabs>
        <w:rPr>
          <w:sz w:val="20"/>
          <w:szCs w:val="20"/>
          <w:color w:val="auto"/>
        </w:rPr>
      </w:pPr>
      <w:r>
        <w:rPr>
          <w:rFonts w:ascii="Arial" w:cs="Arial" w:eastAsia="Arial" w:hAnsi="Arial"/>
          <w:sz w:val="15"/>
          <w:szCs w:val="15"/>
          <w:b w:val="1"/>
          <w:bCs w:val="1"/>
          <w:color w:val="auto"/>
        </w:rPr>
        <w:t>Item 12.</w:t>
      </w:r>
      <w:r>
        <w:rPr>
          <w:sz w:val="20"/>
          <w:szCs w:val="20"/>
          <w:color w:val="auto"/>
        </w:rPr>
        <w:tab/>
      </w:r>
      <w:r>
        <w:rPr>
          <w:rFonts w:ascii="Arial" w:cs="Arial" w:eastAsia="Arial" w:hAnsi="Arial"/>
          <w:sz w:val="12"/>
          <w:szCs w:val="12"/>
          <w:b w:val="1"/>
          <w:bCs w:val="1"/>
          <w:i w:val="1"/>
          <w:iCs w:val="1"/>
          <w:color w:val="auto"/>
        </w:rPr>
        <w:t>Security Ownership of Certain Beneficial Owners and Management and Related Stockholder Matters.</w:t>
      </w:r>
    </w:p>
    <w:p>
      <w:pPr>
        <w:spacing w:after="0" w:line="193" w:lineRule="exact"/>
        <w:rPr>
          <w:sz w:val="20"/>
          <w:szCs w:val="20"/>
          <w:color w:val="auto"/>
        </w:rPr>
      </w:pPr>
    </w:p>
    <w:p>
      <w:pPr>
        <w:ind w:right="240" w:firstLine="291"/>
        <w:spacing w:after="0" w:line="271" w:lineRule="auto"/>
        <w:rPr>
          <w:sz w:val="20"/>
          <w:szCs w:val="20"/>
          <w:color w:val="auto"/>
        </w:rPr>
      </w:pPr>
      <w:r>
        <w:rPr>
          <w:rFonts w:ascii="Arial" w:cs="Arial" w:eastAsia="Arial" w:hAnsi="Arial"/>
          <w:sz w:val="15"/>
          <w:szCs w:val="15"/>
          <w:color w:val="auto"/>
        </w:rPr>
        <w:t>The number of shares to be issued upon exercise and the number of shares remaining available for future issuance under the Company's equity compensation plans at December 31, 2002 were as follows:</w:t>
      </w: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Equity Compensation Plan Information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Number of Shares</w:t>
            </w:r>
          </w:p>
        </w:tc>
        <w:tc>
          <w:tcPr>
            <w:tcW w:w="4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60" w:type="dxa"/>
            <w:vAlign w:val="bottom"/>
            <w:gridSpan w:val="2"/>
          </w:tcPr>
          <w:p>
            <w:pPr>
              <w:jc w:val="center"/>
              <w:spacing w:after="0"/>
              <w:rPr>
                <w:sz w:val="20"/>
                <w:szCs w:val="20"/>
                <w:color w:val="auto"/>
              </w:rPr>
            </w:pPr>
            <w:r>
              <w:rPr>
                <w:rFonts w:ascii="Arial" w:cs="Arial" w:eastAsia="Arial" w:hAnsi="Arial"/>
                <w:sz w:val="11"/>
                <w:szCs w:val="11"/>
                <w:b w:val="1"/>
                <w:bCs w:val="1"/>
                <w:color w:val="auto"/>
                <w:w w:val="92"/>
              </w:rPr>
              <w:t>Number of Shares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60" w:type="dxa"/>
            <w:vAlign w:val="bottom"/>
            <w:gridSpan w:val="2"/>
          </w:tcPr>
          <w:p>
            <w:pPr>
              <w:jc w:val="center"/>
              <w:ind w:right="240"/>
              <w:spacing w:after="0" w:line="124" w:lineRule="exact"/>
              <w:rPr>
                <w:sz w:val="20"/>
                <w:szCs w:val="20"/>
                <w:color w:val="auto"/>
              </w:rPr>
            </w:pPr>
            <w:r>
              <w:rPr>
                <w:rFonts w:ascii="Arial" w:cs="Arial" w:eastAsia="Arial" w:hAnsi="Arial"/>
                <w:sz w:val="11"/>
                <w:szCs w:val="11"/>
                <w:b w:val="1"/>
                <w:bCs w:val="1"/>
                <w:color w:val="auto"/>
                <w:w w:val="87"/>
              </w:rPr>
              <w:t>to be Issued</w:t>
            </w:r>
          </w:p>
        </w:tc>
        <w:tc>
          <w:tcPr>
            <w:tcW w:w="420" w:type="dxa"/>
            <w:vAlign w:val="bottom"/>
          </w:tcPr>
          <w:p>
            <w:pPr>
              <w:spacing w:after="0"/>
              <w:rPr>
                <w:sz w:val="10"/>
                <w:szCs w:val="10"/>
                <w:color w:val="auto"/>
              </w:rPr>
            </w:pPr>
          </w:p>
        </w:tc>
        <w:tc>
          <w:tcPr>
            <w:tcW w:w="2340" w:type="dxa"/>
            <w:vAlign w:val="bottom"/>
            <w:gridSpan w:val="2"/>
          </w:tcPr>
          <w:p>
            <w:pPr>
              <w:jc w:val="center"/>
              <w:ind w:right="620"/>
              <w:spacing w:after="0" w:line="124" w:lineRule="exact"/>
              <w:rPr>
                <w:sz w:val="20"/>
                <w:szCs w:val="20"/>
                <w:color w:val="auto"/>
              </w:rPr>
            </w:pPr>
            <w:r>
              <w:rPr>
                <w:rFonts w:ascii="Arial" w:cs="Arial" w:eastAsia="Arial" w:hAnsi="Arial"/>
                <w:sz w:val="11"/>
                <w:szCs w:val="11"/>
                <w:b w:val="1"/>
                <w:bCs w:val="1"/>
                <w:color w:val="auto"/>
                <w:w w:val="91"/>
              </w:rPr>
              <w:t>Weighted Average</w:t>
            </w:r>
          </w:p>
        </w:tc>
        <w:tc>
          <w:tcPr>
            <w:tcW w:w="2360" w:type="dxa"/>
            <w:vAlign w:val="bottom"/>
            <w:gridSpan w:val="2"/>
          </w:tcPr>
          <w:p>
            <w:pPr>
              <w:jc w:val="center"/>
              <w:ind w:right="20"/>
              <w:spacing w:after="0" w:line="124" w:lineRule="exact"/>
              <w:rPr>
                <w:sz w:val="20"/>
                <w:szCs w:val="20"/>
                <w:color w:val="auto"/>
              </w:rPr>
            </w:pPr>
            <w:r>
              <w:rPr>
                <w:rFonts w:ascii="Arial" w:cs="Arial" w:eastAsia="Arial" w:hAnsi="Arial"/>
                <w:sz w:val="11"/>
                <w:szCs w:val="11"/>
                <w:b w:val="1"/>
                <w:bCs w:val="1"/>
                <w:color w:val="auto"/>
                <w:w w:val="94"/>
              </w:rPr>
              <w:t>Remaining Available for</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60" w:type="dxa"/>
            <w:vAlign w:val="bottom"/>
            <w:gridSpan w:val="2"/>
          </w:tcPr>
          <w:p>
            <w:pPr>
              <w:jc w:val="center"/>
              <w:ind w:right="220"/>
              <w:spacing w:after="0" w:line="124" w:lineRule="exact"/>
              <w:rPr>
                <w:sz w:val="20"/>
                <w:szCs w:val="20"/>
                <w:color w:val="auto"/>
              </w:rPr>
            </w:pPr>
            <w:r>
              <w:rPr>
                <w:rFonts w:ascii="Arial" w:cs="Arial" w:eastAsia="Arial" w:hAnsi="Arial"/>
                <w:sz w:val="11"/>
                <w:szCs w:val="11"/>
                <w:b w:val="1"/>
                <w:bCs w:val="1"/>
                <w:color w:val="auto"/>
                <w:w w:val="91"/>
              </w:rPr>
              <w:t>Upon Exercise of</w:t>
            </w:r>
          </w:p>
        </w:tc>
        <w:tc>
          <w:tcPr>
            <w:tcW w:w="420" w:type="dxa"/>
            <w:vAlign w:val="bottom"/>
          </w:tcPr>
          <w:p>
            <w:pPr>
              <w:spacing w:after="0"/>
              <w:rPr>
                <w:sz w:val="10"/>
                <w:szCs w:val="10"/>
                <w:color w:val="auto"/>
              </w:rPr>
            </w:pPr>
          </w:p>
        </w:tc>
        <w:tc>
          <w:tcPr>
            <w:tcW w:w="2340" w:type="dxa"/>
            <w:vAlign w:val="bottom"/>
            <w:gridSpan w:val="2"/>
          </w:tcPr>
          <w:p>
            <w:pPr>
              <w:jc w:val="center"/>
              <w:ind w:right="640"/>
              <w:spacing w:after="0" w:line="124" w:lineRule="exact"/>
              <w:rPr>
                <w:sz w:val="20"/>
                <w:szCs w:val="20"/>
                <w:color w:val="auto"/>
              </w:rPr>
            </w:pPr>
            <w:r>
              <w:rPr>
                <w:rFonts w:ascii="Arial" w:cs="Arial" w:eastAsia="Arial" w:hAnsi="Arial"/>
                <w:sz w:val="11"/>
                <w:szCs w:val="11"/>
                <w:b w:val="1"/>
                <w:bCs w:val="1"/>
                <w:color w:val="auto"/>
                <w:w w:val="92"/>
              </w:rPr>
              <w:t>Exercise Price of</w:t>
            </w:r>
          </w:p>
        </w:tc>
        <w:tc>
          <w:tcPr>
            <w:tcW w:w="2360" w:type="dxa"/>
            <w:vAlign w:val="bottom"/>
            <w:gridSpan w:val="2"/>
          </w:tcPr>
          <w:p>
            <w:pPr>
              <w:jc w:val="center"/>
              <w:ind w:right="20"/>
              <w:spacing w:after="0" w:line="124" w:lineRule="exact"/>
              <w:rPr>
                <w:sz w:val="20"/>
                <w:szCs w:val="20"/>
                <w:color w:val="auto"/>
              </w:rPr>
            </w:pPr>
            <w:r>
              <w:rPr>
                <w:rFonts w:ascii="Arial" w:cs="Arial" w:eastAsia="Arial" w:hAnsi="Arial"/>
                <w:sz w:val="11"/>
                <w:szCs w:val="11"/>
                <w:b w:val="1"/>
                <w:bCs w:val="1"/>
                <w:color w:val="auto"/>
                <w:w w:val="93"/>
              </w:rPr>
              <w:t>Future Issuance under</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Outstanding Options</w:t>
            </w:r>
          </w:p>
        </w:tc>
        <w:tc>
          <w:tcPr>
            <w:tcW w:w="420" w:type="dxa"/>
            <w:vAlign w:val="bottom"/>
          </w:tcPr>
          <w:p>
            <w:pPr>
              <w:spacing w:after="0"/>
              <w:rPr>
                <w:sz w:val="12"/>
                <w:szCs w:val="12"/>
                <w:color w:val="auto"/>
              </w:rPr>
            </w:pPr>
          </w:p>
        </w:tc>
        <w:tc>
          <w:tcPr>
            <w:tcW w:w="2340" w:type="dxa"/>
            <w:vAlign w:val="bottom"/>
            <w:gridSpan w:val="2"/>
          </w:tcPr>
          <w:p>
            <w:pPr>
              <w:jc w:val="center"/>
              <w:ind w:right="640"/>
              <w:spacing w:after="0"/>
              <w:rPr>
                <w:sz w:val="20"/>
                <w:szCs w:val="20"/>
                <w:color w:val="auto"/>
              </w:rPr>
            </w:pPr>
            <w:r>
              <w:rPr>
                <w:rFonts w:ascii="Arial" w:cs="Arial" w:eastAsia="Arial" w:hAnsi="Arial"/>
                <w:sz w:val="11"/>
                <w:szCs w:val="11"/>
                <w:b w:val="1"/>
                <w:bCs w:val="1"/>
                <w:color w:val="auto"/>
                <w:w w:val="93"/>
              </w:rPr>
              <w:t>Outstanding Options</w:t>
            </w:r>
          </w:p>
        </w:tc>
        <w:tc>
          <w:tcPr>
            <w:tcW w:w="236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92"/>
              </w:rPr>
              <w:t>Equity Compensation Plans</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54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21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3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3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9"/>
              </w:rPr>
              <w:t>Equity compensation plans approved by stockholders</w:t>
            </w:r>
          </w:p>
        </w:tc>
        <w:tc>
          <w:tcPr>
            <w:tcW w:w="2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19,291,672</w:t>
            </w: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31.00</w:t>
            </w:r>
          </w:p>
        </w:tc>
        <w:tc>
          <w:tcPr>
            <w:tcW w:w="220" w:type="dxa"/>
            <w:vAlign w:val="bottom"/>
            <w:shd w:val="clear" w:color="auto" w:fill="CCEEFF"/>
          </w:tcPr>
          <w:p>
            <w:pPr>
              <w:spacing w:after="0"/>
              <w:rPr>
                <w:sz w:val="15"/>
                <w:szCs w:val="15"/>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56,199,406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5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3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40" w:type="dxa"/>
            <w:vAlign w:val="bottom"/>
          </w:tcPr>
          <w:p>
            <w:pPr>
              <w:jc w:val="right"/>
              <w:spacing w:after="0"/>
              <w:rPr>
                <w:sz w:val="20"/>
                <w:szCs w:val="20"/>
                <w:color w:val="auto"/>
              </w:rPr>
            </w:pPr>
            <w:r>
              <w:rPr>
                <w:rFonts w:ascii="Arial" w:cs="Arial" w:eastAsia="Arial" w:hAnsi="Arial"/>
                <w:sz w:val="15"/>
                <w:szCs w:val="15"/>
                <w:color w:val="auto"/>
              </w:rPr>
              <w:t>19,291,672</w:t>
            </w:r>
          </w:p>
        </w:tc>
        <w:tc>
          <w:tcPr>
            <w:tcW w:w="220" w:type="dxa"/>
            <w:vAlign w:val="bottom"/>
          </w:tcPr>
          <w:p>
            <w:pPr>
              <w:spacing w:after="0"/>
              <w:rPr>
                <w:sz w:val="23"/>
                <w:szCs w:val="23"/>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2120" w:type="dxa"/>
            <w:vAlign w:val="bottom"/>
          </w:tcPr>
          <w:p>
            <w:pPr>
              <w:jc w:val="right"/>
              <w:spacing w:after="0"/>
              <w:rPr>
                <w:sz w:val="20"/>
                <w:szCs w:val="20"/>
                <w:color w:val="auto"/>
              </w:rPr>
            </w:pPr>
            <w:r>
              <w:rPr>
                <w:rFonts w:ascii="Arial" w:cs="Arial" w:eastAsia="Arial" w:hAnsi="Arial"/>
                <w:sz w:val="15"/>
                <w:szCs w:val="15"/>
                <w:color w:val="auto"/>
              </w:rPr>
              <w:t>31.00</w:t>
            </w:r>
          </w:p>
        </w:tc>
        <w:tc>
          <w:tcPr>
            <w:tcW w:w="220" w:type="dxa"/>
            <w:vAlign w:val="bottom"/>
          </w:tcPr>
          <w:p>
            <w:pPr>
              <w:spacing w:after="0"/>
              <w:rPr>
                <w:sz w:val="23"/>
                <w:szCs w:val="23"/>
                <w:color w:val="auto"/>
              </w:rPr>
            </w:pPr>
          </w:p>
        </w:tc>
        <w:tc>
          <w:tcPr>
            <w:tcW w:w="2360" w:type="dxa"/>
            <w:vAlign w:val="bottom"/>
            <w:gridSpan w:val="2"/>
          </w:tcPr>
          <w:p>
            <w:pPr>
              <w:jc w:val="right"/>
              <w:ind w:right="20"/>
              <w:spacing w:after="0"/>
              <w:rPr>
                <w:sz w:val="20"/>
                <w:szCs w:val="20"/>
                <w:color w:val="auto"/>
              </w:rPr>
            </w:pPr>
            <w:r>
              <w:rPr>
                <w:rFonts w:ascii="Arial" w:cs="Arial" w:eastAsia="Arial" w:hAnsi="Arial"/>
                <w:sz w:val="15"/>
                <w:szCs w:val="15"/>
                <w:color w:val="auto"/>
              </w:rPr>
              <w:t>56,199,406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5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3873500</wp:posOffset>
            </wp:positionH>
            <wp:positionV relativeFrom="paragraph">
              <wp:posOffset>-514985</wp:posOffset>
            </wp:positionV>
            <wp:extent cx="1270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-514985</wp:posOffset>
            </wp:positionV>
            <wp:extent cx="1270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5631180</wp:posOffset>
            </wp:positionH>
            <wp:positionV relativeFrom="paragraph">
              <wp:posOffset>-514985</wp:posOffset>
            </wp:positionV>
            <wp:extent cx="1270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-514985</wp:posOffset>
            </wp:positionV>
            <wp:extent cx="1270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7252970</wp:posOffset>
            </wp:positionH>
            <wp:positionV relativeFrom="paragraph">
              <wp:posOffset>-514985</wp:posOffset>
            </wp:positionV>
            <wp:extent cx="1270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5781675</wp:posOffset>
            </wp:positionH>
            <wp:positionV relativeFrom="paragraph">
              <wp:posOffset>-514985</wp:posOffset>
            </wp:positionV>
            <wp:extent cx="1270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3873500</wp:posOffset>
            </wp:positionH>
            <wp:positionV relativeFrom="paragraph">
              <wp:posOffset>-271145</wp:posOffset>
            </wp:positionV>
            <wp:extent cx="1270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-271145</wp:posOffset>
            </wp:positionV>
            <wp:extent cx="1270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5631180</wp:posOffset>
            </wp:positionH>
            <wp:positionV relativeFrom="paragraph">
              <wp:posOffset>-271145</wp:posOffset>
            </wp:positionV>
            <wp:extent cx="1270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-271145</wp:posOffset>
            </wp:positionV>
            <wp:extent cx="1270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7252970</wp:posOffset>
            </wp:positionH>
            <wp:positionV relativeFrom="paragraph">
              <wp:posOffset>-271145</wp:posOffset>
            </wp:positionV>
            <wp:extent cx="1270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5781675</wp:posOffset>
            </wp:positionH>
            <wp:positionV relativeFrom="paragraph">
              <wp:posOffset>-271145</wp:posOffset>
            </wp:positionV>
            <wp:extent cx="1270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3873500</wp:posOffset>
            </wp:positionH>
            <wp:positionV relativeFrom="paragraph">
              <wp:posOffset>-33655</wp:posOffset>
            </wp:positionV>
            <wp:extent cx="1270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-33655</wp:posOffset>
            </wp:positionV>
            <wp:extent cx="12700"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5631180</wp:posOffset>
            </wp:positionH>
            <wp:positionV relativeFrom="paragraph">
              <wp:posOffset>-33655</wp:posOffset>
            </wp:positionV>
            <wp:extent cx="1270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-33655</wp:posOffset>
            </wp:positionV>
            <wp:extent cx="12700" cy="34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7252970</wp:posOffset>
            </wp:positionH>
            <wp:positionV relativeFrom="paragraph">
              <wp:posOffset>-33655</wp:posOffset>
            </wp:positionV>
            <wp:extent cx="1270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5781675</wp:posOffset>
            </wp:positionH>
            <wp:positionV relativeFrom="paragraph">
              <wp:posOffset>-33655</wp:posOffset>
            </wp:positionV>
            <wp:extent cx="12700"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15"/>
          <w:szCs w:val="15"/>
          <w:b w:val="1"/>
          <w:bCs w:val="1"/>
          <w:color w:val="auto"/>
        </w:rPr>
        <w:t>Item 13.</w:t>
      </w:r>
      <w:r>
        <w:rPr>
          <w:sz w:val="20"/>
          <w:szCs w:val="20"/>
          <w:color w:val="auto"/>
        </w:rPr>
        <w:tab/>
      </w:r>
      <w:r>
        <w:rPr>
          <w:rFonts w:ascii="Arial" w:cs="Arial" w:eastAsia="Arial" w:hAnsi="Arial"/>
          <w:sz w:val="12"/>
          <w:szCs w:val="12"/>
          <w:b w:val="1"/>
          <w:bCs w:val="1"/>
          <w:i w:val="1"/>
          <w:iCs w:val="1"/>
          <w:color w:val="auto"/>
        </w:rPr>
        <w:t>Certain Relationships and Related Transactions.</w:t>
      </w:r>
    </w:p>
    <w:p>
      <w:pPr>
        <w:spacing w:after="0" w:line="193" w:lineRule="exact"/>
        <w:rPr>
          <w:sz w:val="20"/>
          <w:szCs w:val="20"/>
          <w:color w:val="auto"/>
        </w:rPr>
      </w:pPr>
    </w:p>
    <w:p>
      <w:pPr>
        <w:ind w:right="60" w:firstLine="294"/>
        <w:spacing w:after="0" w:line="261" w:lineRule="auto"/>
        <w:rPr>
          <w:sz w:val="20"/>
          <w:szCs w:val="20"/>
          <w:color w:val="auto"/>
        </w:rPr>
      </w:pPr>
      <w:r>
        <w:rPr>
          <w:rFonts w:ascii="Arial" w:cs="Arial" w:eastAsia="Arial" w:hAnsi="Arial"/>
          <w:sz w:val="15"/>
          <w:szCs w:val="15"/>
          <w:color w:val="auto"/>
        </w:rPr>
        <w:t>Except for the information relating to the executive officers of the Company set forth in Part I of this Report and the information regarding equity compensation plans set forth in Item 12 above, the information called for by Items 10-13 is hereby incorporated by reference to the Company's definitive proxy statement for use in connection with its annual meeting of shareholders to be held on April 22, 2003, filed with the SEC on March 7, 2003, and, except as indicated therein, is made a part hereof.</w:t>
      </w:r>
    </w:p>
    <w:p>
      <w:pPr>
        <w:spacing w:after="0" w:line="337" w:lineRule="exact"/>
        <w:rPr>
          <w:sz w:val="20"/>
          <w:szCs w:val="20"/>
          <w:color w:val="auto"/>
        </w:rPr>
      </w:pPr>
    </w:p>
    <w:p>
      <w:pPr>
        <w:spacing w:after="0"/>
        <w:tabs>
          <w:tab w:leader="none" w:pos="640" w:val="left"/>
        </w:tabs>
        <w:rPr>
          <w:sz w:val="20"/>
          <w:szCs w:val="20"/>
          <w:color w:val="auto"/>
        </w:rPr>
      </w:pPr>
      <w:r>
        <w:rPr>
          <w:rFonts w:ascii="Arial" w:cs="Arial" w:eastAsia="Arial" w:hAnsi="Arial"/>
          <w:sz w:val="15"/>
          <w:szCs w:val="15"/>
          <w:b w:val="1"/>
          <w:bCs w:val="1"/>
          <w:color w:val="auto"/>
        </w:rPr>
        <w:t>Item 14.</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193" w:lineRule="exact"/>
        <w:rPr>
          <w:sz w:val="20"/>
          <w:szCs w:val="20"/>
          <w:color w:val="auto"/>
        </w:rPr>
      </w:pPr>
    </w:p>
    <w:p>
      <w:pPr>
        <w:ind w:right="220" w:firstLine="291"/>
        <w:spacing w:after="0" w:line="255" w:lineRule="auto"/>
        <w:rPr>
          <w:sz w:val="20"/>
          <w:szCs w:val="20"/>
          <w:color w:val="auto"/>
        </w:rPr>
      </w:pPr>
      <w:r>
        <w:rPr>
          <w:rFonts w:ascii="Arial" w:cs="Arial" w:eastAsia="Arial" w:hAnsi="Arial"/>
          <w:sz w:val="15"/>
          <w:szCs w:val="15"/>
          <w:color w:val="auto"/>
        </w:rPr>
        <w:t>Within the 90 days prior to the filing date of this report, the Company carried out an evaluation, under the supervision and with the participation of the Company's management, including the Company's Chairman, Co-Chief Executive Officers, and Chief Financial Officer, of the effectiveness of the design and operation of the Company's disclosure controls and procedures pursuant to Rule 13a-14 under the Securities Exchange Act of 1934. Based upon that evaluation, the Chairman, Co-Chief Executive Officers, and Chief Financial Officer concluded that the Company's disclosure controls and procedures are effective in timely alerting them to material information relating to the Company (including its consolidated subsidiaries) required to be included in the Company's periodic SEC filings. Since the date of the evaluation, there have been no significant changes in the Company's internal controls or in other factors that could significantly affect the controls.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300" w:type="dxa"/>
            <w:vAlign w:val="bottom"/>
            <w:gridSpan w:val="2"/>
          </w:tcPr>
          <w:p>
            <w:pPr>
              <w:ind w:left="4660"/>
              <w:spacing w:after="0"/>
              <w:rPr>
                <w:sz w:val="20"/>
                <w:szCs w:val="20"/>
                <w:color w:val="auto"/>
              </w:rPr>
            </w:pPr>
            <w:r>
              <w:rPr>
                <w:rFonts w:ascii="Arial" w:cs="Arial" w:eastAsia="Arial" w:hAnsi="Arial"/>
                <w:sz w:val="15"/>
                <w:szCs w:val="15"/>
                <w:b w:val="1"/>
                <w:bCs w:val="1"/>
                <w:color w:val="auto"/>
              </w:rPr>
              <w:t>PART IV</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9040" w:type="dxa"/>
            <w:vAlign w:val="bottom"/>
            <w:gridSpan w:val="4"/>
          </w:tcPr>
          <w:p>
            <w:pPr>
              <w:spacing w:after="0"/>
              <w:rPr>
                <w:sz w:val="20"/>
                <w:szCs w:val="20"/>
                <w:color w:val="auto"/>
              </w:rPr>
            </w:pPr>
            <w:r>
              <w:rPr>
                <w:rFonts w:ascii="Arial" w:cs="Arial" w:eastAsia="Arial" w:hAnsi="Arial"/>
                <w:sz w:val="15"/>
                <w:szCs w:val="15"/>
                <w:b w:val="1"/>
                <w:bCs w:val="1"/>
                <w:color w:val="auto"/>
              </w:rPr>
              <w:t xml:space="preserve">Item 15.  </w:t>
            </w:r>
            <w:r>
              <w:rPr>
                <w:rFonts w:ascii="Arial" w:cs="Arial" w:eastAsia="Arial" w:hAnsi="Arial"/>
                <w:sz w:val="15"/>
                <w:szCs w:val="15"/>
                <w:b w:val="1"/>
                <w:bCs w:val="1"/>
                <w:i w:val="1"/>
                <w:iCs w:val="1"/>
                <w:color w:val="auto"/>
              </w:rPr>
              <w:t>Exhibits, Financial Statement Schedules, and Reports on Form 8-K.</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720" w:type="dxa"/>
            <w:vAlign w:val="bottom"/>
          </w:tcPr>
          <w:p>
            <w:pPr>
              <w:ind w:left="420"/>
              <w:spacing w:after="0"/>
              <w:rPr>
                <w:sz w:val="20"/>
                <w:szCs w:val="20"/>
                <w:color w:val="auto"/>
              </w:rPr>
            </w:pPr>
            <w:r>
              <w:rPr>
                <w:rFonts w:ascii="Arial" w:cs="Arial" w:eastAsia="Arial" w:hAnsi="Arial"/>
                <w:sz w:val="15"/>
                <w:szCs w:val="15"/>
                <w:color w:val="auto"/>
              </w:rPr>
              <w:t>(a)</w:t>
            </w:r>
          </w:p>
        </w:tc>
        <w:tc>
          <w:tcPr>
            <w:tcW w:w="8300" w:type="dxa"/>
            <w:vAlign w:val="bottom"/>
            <w:gridSpan w:val="2"/>
          </w:tcPr>
          <w:p>
            <w:pPr>
              <w:ind w:left="160"/>
              <w:spacing w:after="0"/>
              <w:rPr>
                <w:sz w:val="20"/>
                <w:szCs w:val="20"/>
                <w:color w:val="auto"/>
              </w:rPr>
            </w:pPr>
            <w:r>
              <w:rPr>
                <w:rFonts w:ascii="Arial" w:cs="Arial" w:eastAsia="Arial" w:hAnsi="Arial"/>
                <w:sz w:val="15"/>
                <w:szCs w:val="15"/>
                <w:color w:val="auto"/>
              </w:rPr>
              <w:t>Index to Consolidated Financial Statements and Schedules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right"/>
              <w:ind w:right="1415"/>
              <w:spacing w:after="0"/>
              <w:rPr>
                <w:sz w:val="20"/>
                <w:szCs w:val="20"/>
                <w:color w:val="auto"/>
              </w:rPr>
            </w:pPr>
            <w:r>
              <w:rPr>
                <w:rFonts w:ascii="Arial" w:cs="Arial" w:eastAsia="Arial" w:hAnsi="Arial"/>
                <w:sz w:val="11"/>
                <w:szCs w:val="11"/>
                <w:b w:val="1"/>
                <w:bCs w:val="1"/>
                <w:color w:val="auto"/>
              </w:rPr>
              <w:t>Reference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8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1020" w:type="dxa"/>
            <w:vAlign w:val="bottom"/>
          </w:tcPr>
          <w:p>
            <w:pPr>
              <w:jc w:val="center"/>
              <w:ind w:left="163"/>
              <w:spacing w:after="0"/>
              <w:rPr>
                <w:sz w:val="20"/>
                <w:szCs w:val="20"/>
                <w:color w:val="auto"/>
              </w:rPr>
            </w:pPr>
            <w:r>
              <w:rPr>
                <w:rFonts w:ascii="Arial" w:cs="Arial" w:eastAsia="Arial" w:hAnsi="Arial"/>
                <w:sz w:val="11"/>
                <w:szCs w:val="11"/>
                <w:b w:val="1"/>
                <w:bCs w:val="1"/>
                <w:color w:val="auto"/>
                <w:w w:val="95"/>
              </w:rPr>
              <w:t>Form 10-K</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2"/>
          </w:tcPr>
          <w:p>
            <w:pPr>
              <w:jc w:val="right"/>
              <w:ind w:right="735"/>
              <w:spacing w:after="0"/>
              <w:rPr>
                <w:sz w:val="20"/>
                <w:szCs w:val="20"/>
                <w:color w:val="auto"/>
              </w:rPr>
            </w:pPr>
            <w:r>
              <w:rPr>
                <w:rFonts w:ascii="Arial" w:cs="Arial" w:eastAsia="Arial" w:hAnsi="Arial"/>
                <w:sz w:val="11"/>
                <w:szCs w:val="11"/>
                <w:b w:val="1"/>
                <w:bCs w:val="1"/>
                <w:color w:val="auto"/>
              </w:rPr>
              <w:t>2002</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1020" w:type="dxa"/>
            <w:vAlign w:val="bottom"/>
          </w:tcPr>
          <w:p>
            <w:pPr>
              <w:jc w:val="center"/>
              <w:ind w:left="163"/>
              <w:spacing w:after="0" w:line="124" w:lineRule="exact"/>
              <w:rPr>
                <w:sz w:val="20"/>
                <w:szCs w:val="20"/>
                <w:color w:val="auto"/>
              </w:rPr>
            </w:pPr>
            <w:r>
              <w:rPr>
                <w:rFonts w:ascii="Arial" w:cs="Arial" w:eastAsia="Arial" w:hAnsi="Arial"/>
                <w:sz w:val="11"/>
                <w:szCs w:val="11"/>
                <w:b w:val="1"/>
                <w:bCs w:val="1"/>
                <w:color w:val="auto"/>
                <w:w w:val="94"/>
              </w:rPr>
              <w:t>Annual Report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40" w:type="dxa"/>
            <w:vAlign w:val="bottom"/>
          </w:tcPr>
          <w:p>
            <w:pPr>
              <w:jc w:val="right"/>
              <w:ind w:right="495"/>
              <w:spacing w:after="0" w:line="124" w:lineRule="exact"/>
              <w:rPr>
                <w:sz w:val="20"/>
                <w:szCs w:val="20"/>
                <w:color w:val="auto"/>
              </w:rPr>
            </w:pPr>
            <w:r>
              <w:rPr>
                <w:rFonts w:ascii="Arial" w:cs="Arial" w:eastAsia="Arial" w:hAnsi="Arial"/>
                <w:sz w:val="11"/>
                <w:szCs w:val="11"/>
                <w:b w:val="1"/>
                <w:bCs w:val="1"/>
                <w:color w:val="auto"/>
              </w:rPr>
              <w:t>Annual Report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020" w:type="dxa"/>
            <w:vAlign w:val="bottom"/>
          </w:tcPr>
          <w:p>
            <w:pPr>
              <w:jc w:val="center"/>
              <w:ind w:left="163"/>
              <w:spacing w:after="0"/>
              <w:rPr>
                <w:sz w:val="20"/>
                <w:szCs w:val="20"/>
                <w:color w:val="auto"/>
              </w:rPr>
            </w:pPr>
            <w:r>
              <w:rPr>
                <w:rFonts w:ascii="Arial" w:cs="Arial" w:eastAsia="Arial" w:hAnsi="Arial"/>
                <w:sz w:val="11"/>
                <w:szCs w:val="11"/>
                <w:b w:val="1"/>
                <w:bCs w:val="1"/>
                <w:color w:val="auto"/>
                <w:w w:val="91"/>
              </w:rPr>
              <w:t>Page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tcPr>
          <w:p>
            <w:pPr>
              <w:jc w:val="right"/>
              <w:ind w:right="735"/>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00" w:type="dxa"/>
            <w:vAlign w:val="bottom"/>
            <w:gridSpan w:val="2"/>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720" w:type="dxa"/>
            <w:vAlign w:val="bottom"/>
          </w:tcPr>
          <w:p>
            <w:pPr>
              <w:spacing w:after="0"/>
              <w:rPr>
                <w:sz w:val="7"/>
                <w:szCs w:val="7"/>
                <w:color w:val="auto"/>
              </w:rPr>
            </w:pPr>
          </w:p>
        </w:tc>
        <w:tc>
          <w:tcPr>
            <w:tcW w:w="7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90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Data incorporated by reference to the Company's 2002 Annual Report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20" w:type="dxa"/>
            <w:vAlign w:val="bottom"/>
            <w:gridSpan w:val="3"/>
          </w:tcPr>
          <w:p>
            <w:pPr>
              <w:ind w:left="200"/>
              <w:spacing w:after="0"/>
              <w:rPr>
                <w:sz w:val="20"/>
                <w:szCs w:val="20"/>
                <w:color w:val="auto"/>
              </w:rPr>
            </w:pPr>
            <w:r>
              <w:rPr>
                <w:rFonts w:ascii="Arial" w:cs="Arial" w:eastAsia="Arial" w:hAnsi="Arial"/>
                <w:sz w:val="15"/>
                <w:szCs w:val="15"/>
                <w:color w:val="auto"/>
              </w:rPr>
              <w:t>Consolidated Balance Sheets at December 31, 2002 and 2001</w:t>
            </w:r>
          </w:p>
        </w:tc>
        <w:tc>
          <w:tcPr>
            <w:tcW w:w="3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60" w:type="dxa"/>
            <w:vAlign w:val="bottom"/>
            <w:gridSpan w:val="2"/>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02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rPr>
              <w:t>Consolidated Statements of Earnings for the years ended December 31, 2002, 2001 and 2000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80" w:type="dxa"/>
            <w:vAlign w:val="bottom"/>
          </w:tcPr>
          <w:p>
            <w:pPr>
              <w:jc w:val="right"/>
              <w:ind w:right="2167"/>
              <w:spacing w:after="0"/>
              <w:rPr>
                <w:sz w:val="20"/>
                <w:szCs w:val="20"/>
                <w:color w:val="auto"/>
              </w:rPr>
            </w:pPr>
            <w:r>
              <w:rPr>
                <w:rFonts w:ascii="Arial" w:cs="Arial" w:eastAsia="Arial" w:hAnsi="Arial"/>
                <w:sz w:val="15"/>
                <w:szCs w:val="15"/>
                <w:color w:val="auto"/>
              </w:rPr>
              <w:t>15</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20" w:type="dxa"/>
            <w:vAlign w:val="bottom"/>
            <w:tcBorders>
              <w:bottom w:val="single" w:sz="8" w:color="808080"/>
            </w:tcBorders>
            <w:gridSpan w:val="3"/>
          </w:tcPr>
          <w:p>
            <w:pPr>
              <w:spacing w:after="0"/>
              <w:rPr>
                <w:sz w:val="16"/>
                <w:szCs w:val="16"/>
                <w:color w:val="auto"/>
              </w:rPr>
            </w:pPr>
          </w:p>
        </w:tc>
        <w:tc>
          <w:tcPr>
            <w:tcW w:w="340" w:type="dxa"/>
            <w:vAlign w:val="bottom"/>
            <w:tcBorders>
              <w:bottom w:val="single" w:sz="8" w:color="808080"/>
            </w:tcBorders>
            <w:gridSpan w:val="2"/>
          </w:tcPr>
          <w:p>
            <w:pPr>
              <w:spacing w:after="0"/>
              <w:rPr>
                <w:sz w:val="16"/>
                <w:szCs w:val="16"/>
                <w:color w:val="auto"/>
              </w:rPr>
            </w:pPr>
          </w:p>
        </w:tc>
        <w:tc>
          <w:tcPr>
            <w:tcW w:w="2060" w:type="dxa"/>
            <w:vAlign w:val="bottom"/>
            <w:tcBorders>
              <w:bottom w:val="single" w:sz="8" w:color="808080"/>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9020" w:type="dxa"/>
            <w:vAlign w:val="bottom"/>
            <w:gridSpan w:val="3"/>
          </w:tcPr>
          <w:p>
            <w:pPr>
              <w:spacing w:after="0"/>
              <w:rPr>
                <w:sz w:val="7"/>
                <w:szCs w:val="7"/>
                <w:color w:val="auto"/>
              </w:rPr>
            </w:pPr>
          </w:p>
        </w:tc>
        <w:tc>
          <w:tcPr>
            <w:tcW w:w="340" w:type="dxa"/>
            <w:vAlign w:val="bottom"/>
            <w:gridSpan w:val="2"/>
          </w:tcPr>
          <w:p>
            <w:pPr>
              <w:spacing w:after="0"/>
              <w:rPr>
                <w:sz w:val="7"/>
                <w:szCs w:val="7"/>
                <w:color w:val="auto"/>
              </w:rPr>
            </w:pPr>
          </w:p>
        </w:tc>
        <w:tc>
          <w:tcPr>
            <w:tcW w:w="206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2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rPr>
              <w:t>Consolidated Statements of Cash Flows for the years ended December 31, 2002, 2001 and 2000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20" w:type="dxa"/>
            <w:vAlign w:val="bottom"/>
            <w:gridSpan w:val="3"/>
          </w:tcPr>
          <w:p>
            <w:pPr>
              <w:ind w:left="200"/>
              <w:spacing w:after="0"/>
              <w:rPr>
                <w:sz w:val="20"/>
                <w:szCs w:val="20"/>
                <w:color w:val="auto"/>
              </w:rPr>
            </w:pPr>
            <w:r>
              <w:rPr>
                <w:rFonts w:ascii="Arial" w:cs="Arial" w:eastAsia="Arial" w:hAnsi="Arial"/>
                <w:sz w:val="15"/>
                <w:szCs w:val="15"/>
                <w:color w:val="auto"/>
              </w:rPr>
              <w:t>Consolidated Statements of Shareholders' Equity for the years ended December 31, 2002, 2001 and 2000</w:t>
            </w:r>
          </w:p>
        </w:tc>
        <w:tc>
          <w:tcPr>
            <w:tcW w:w="3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60" w:type="dxa"/>
            <w:vAlign w:val="bottom"/>
            <w:gridSpan w:val="2"/>
          </w:tcPr>
          <w:p>
            <w:pPr>
              <w:jc w:val="right"/>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02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rPr>
              <w:t>Notes to Consolidated Financial Statements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48-62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20" w:type="dxa"/>
            <w:vAlign w:val="bottom"/>
            <w:gridSpan w:val="3"/>
          </w:tcPr>
          <w:p>
            <w:pPr>
              <w:ind w:left="200"/>
              <w:spacing w:after="0"/>
              <w:rPr>
                <w:sz w:val="20"/>
                <w:szCs w:val="20"/>
                <w:color w:val="auto"/>
              </w:rPr>
            </w:pPr>
            <w:r>
              <w:rPr>
                <w:rFonts w:ascii="Arial" w:cs="Arial" w:eastAsia="Arial" w:hAnsi="Arial"/>
                <w:sz w:val="15"/>
                <w:szCs w:val="15"/>
                <w:color w:val="auto"/>
              </w:rPr>
              <w:t>Report of Independent Accountants</w:t>
            </w:r>
          </w:p>
        </w:tc>
        <w:tc>
          <w:tcPr>
            <w:tcW w:w="3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60" w:type="dxa"/>
            <w:vAlign w:val="bottom"/>
            <w:gridSpan w:val="2"/>
          </w:tcPr>
          <w:p>
            <w:pPr>
              <w:jc w:val="right"/>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0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Data submitted herewith:</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20" w:type="dxa"/>
            <w:vAlign w:val="bottom"/>
            <w:gridSpan w:val="3"/>
          </w:tcPr>
          <w:p>
            <w:pPr>
              <w:ind w:left="200"/>
              <w:spacing w:after="0"/>
              <w:rPr>
                <w:sz w:val="20"/>
                <w:szCs w:val="20"/>
                <w:color w:val="auto"/>
              </w:rPr>
            </w:pPr>
            <w:r>
              <w:rPr>
                <w:rFonts w:ascii="Arial" w:cs="Arial" w:eastAsia="Arial" w:hAnsi="Arial"/>
                <w:sz w:val="15"/>
                <w:szCs w:val="15"/>
                <w:color w:val="auto"/>
              </w:rPr>
              <w:t>Report of Independent Accountants on Financial Statement Schedule</w:t>
            </w:r>
          </w:p>
        </w:tc>
        <w:tc>
          <w:tcPr>
            <w:tcW w:w="340" w:type="dxa"/>
            <w:vAlign w:val="bottom"/>
            <w:gridSpan w:val="2"/>
          </w:tcPr>
          <w:p>
            <w:pPr>
              <w:jc w:val="right"/>
              <w:ind w:right="120"/>
              <w:spacing w:after="0"/>
              <w:rPr>
                <w:sz w:val="20"/>
                <w:szCs w:val="20"/>
                <w:color w:val="auto"/>
              </w:rPr>
            </w:pPr>
            <w:r>
              <w:rPr>
                <w:rFonts w:ascii="Arial" w:cs="Arial" w:eastAsia="Arial" w:hAnsi="Arial"/>
                <w:sz w:val="15"/>
                <w:szCs w:val="15"/>
                <w:color w:val="auto"/>
                <w:w w:val="85"/>
              </w:rPr>
              <w:t>S-1</w:t>
            </w:r>
          </w:p>
        </w:tc>
        <w:tc>
          <w:tcPr>
            <w:tcW w:w="2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02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rPr>
              <w:t>Financial Statement Schedule—Valuation and Qualifying Accounts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5"/>
              </w:rPr>
              <w:t>S-2</w:t>
            </w: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-2112645</wp:posOffset>
            </wp:positionV>
            <wp:extent cx="1270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5085715</wp:posOffset>
            </wp:positionH>
            <wp:positionV relativeFrom="paragraph">
              <wp:posOffset>-2112645</wp:posOffset>
            </wp:positionV>
            <wp:extent cx="1270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-1746885</wp:posOffset>
            </wp:positionV>
            <wp:extent cx="1270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5085715</wp:posOffset>
            </wp:positionH>
            <wp:positionV relativeFrom="paragraph">
              <wp:posOffset>-1746885</wp:posOffset>
            </wp:positionV>
            <wp:extent cx="1270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7252970</wp:posOffset>
            </wp:positionH>
            <wp:positionV relativeFrom="paragraph">
              <wp:posOffset>-1746885</wp:posOffset>
            </wp:positionV>
            <wp:extent cx="1270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6097905</wp:posOffset>
            </wp:positionH>
            <wp:positionV relativeFrom="paragraph">
              <wp:posOffset>-1746885</wp:posOffset>
            </wp:positionV>
            <wp:extent cx="1270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7252970</wp:posOffset>
            </wp:positionH>
            <wp:positionV relativeFrom="paragraph">
              <wp:posOffset>-957580</wp:posOffset>
            </wp:positionV>
            <wp:extent cx="1270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-957580</wp:posOffset>
            </wp:positionV>
            <wp:extent cx="1270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Schedules other than those listed above have been omitted either because such schedules are not required or are not applicable.</w:t>
      </w:r>
    </w:p>
    <w:p>
      <w:pPr>
        <w:spacing w:after="0" w:line="212" w:lineRule="exact"/>
        <w:rPr>
          <w:sz w:val="20"/>
          <w:szCs w:val="20"/>
          <w:color w:val="auto"/>
        </w:rPr>
      </w:pPr>
    </w:p>
    <w:p>
      <w:pPr>
        <w:ind w:left="900" w:right="20" w:hanging="458"/>
        <w:spacing w:after="0" w:line="282" w:lineRule="auto"/>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Reports on Form 8-K. During the last quarter of 2002, the Company filed a Current Report on Form 8-K on November 26, 2002, covering Item 5 (Other Events) and Item 7 (Financial Statements and Exhibits), which contained the terms agreement and certain other documents related to the Company's public offering of debt. Subsequent to December 31, 2002, the Company filed a Current Report on Form 8-K on January 29, 2003, covering Item 5 (Other Events) and Item 7 (Financial Statements and Exhibits), which contained the Company's consolidated financial statements as of and for the year ended December 31, 2002.</w:t>
      </w:r>
    </w:p>
    <w:p>
      <w:pPr>
        <w:spacing w:after="0" w:line="158" w:lineRule="exact"/>
        <w:rPr>
          <w:rFonts w:ascii="Arial" w:cs="Arial" w:eastAsia="Arial" w:hAnsi="Arial"/>
          <w:sz w:val="14"/>
          <w:szCs w:val="14"/>
          <w:color w:val="auto"/>
        </w:rPr>
      </w:pPr>
    </w:p>
    <w:p>
      <w:pPr>
        <w:ind w:left="900" w:hanging="458"/>
        <w:spacing w:after="0"/>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following exhibits are filed as part of this Report (Exhibit Nos. 10.4-10.14 are management contracts, compensatory plans or arrangements):</w:t>
      </w:r>
    </w:p>
    <w:p>
      <w:pPr>
        <w:spacing w:after="0" w:line="393" w:lineRule="exact"/>
        <w:rPr>
          <w:sz w:val="20"/>
          <w:szCs w:val="20"/>
          <w:color w:val="auto"/>
        </w:rPr>
      </w:pPr>
    </w:p>
    <w:p>
      <w:pPr>
        <w:ind w:left="1800"/>
        <w:spacing w:after="0"/>
        <w:tabs>
          <w:tab w:leader="none" w:pos="2260" w:val="left"/>
        </w:tabs>
        <w:rPr>
          <w:sz w:val="20"/>
          <w:szCs w:val="20"/>
          <w:color w:val="auto"/>
        </w:rPr>
      </w:pPr>
      <w:r>
        <w:rPr>
          <w:rFonts w:ascii="Arial" w:cs="Arial" w:eastAsia="Arial" w:hAnsi="Arial"/>
          <w:sz w:val="15"/>
          <w:szCs w:val="15"/>
          <w:color w:val="auto"/>
        </w:rPr>
        <w:t>3.1</w:t>
      </w:r>
      <w:r>
        <w:rPr>
          <w:sz w:val="20"/>
          <w:szCs w:val="20"/>
          <w:color w:val="auto"/>
        </w:rPr>
        <w:tab/>
      </w:r>
      <w:r>
        <w:rPr>
          <w:rFonts w:ascii="Arial" w:cs="Arial" w:eastAsia="Arial" w:hAnsi="Arial"/>
          <w:sz w:val="13"/>
          <w:szCs w:val="13"/>
          <w:color w:val="auto"/>
        </w:rPr>
        <w:t>Articles of Incorporation of the Registrant(1)</w:t>
      </w:r>
    </w:p>
    <w:p>
      <w:pPr>
        <w:spacing w:after="0" w:line="14" w:lineRule="exact"/>
        <w:rPr>
          <w:sz w:val="20"/>
          <w:szCs w:val="20"/>
          <w:color w:val="auto"/>
        </w:rPr>
      </w:pPr>
    </w:p>
    <w:p>
      <w:pPr>
        <w:ind w:left="1800"/>
        <w:spacing w:after="0"/>
        <w:tabs>
          <w:tab w:leader="none" w:pos="2260" w:val="left"/>
        </w:tabs>
        <w:rPr>
          <w:sz w:val="20"/>
          <w:szCs w:val="20"/>
          <w:color w:val="auto"/>
        </w:rPr>
      </w:pPr>
      <w:r>
        <w:rPr>
          <w:rFonts w:ascii="Arial" w:cs="Arial" w:eastAsia="Arial" w:hAnsi="Arial"/>
          <w:sz w:val="15"/>
          <w:szCs w:val="15"/>
          <w:color w:val="auto"/>
        </w:rPr>
        <w:t>3.2</w:t>
      </w:r>
      <w:r>
        <w:rPr>
          <w:sz w:val="20"/>
          <w:szCs w:val="20"/>
          <w:color w:val="auto"/>
        </w:rPr>
        <w:tab/>
      </w:r>
      <w:r>
        <w:rPr>
          <w:rFonts w:ascii="Arial" w:cs="Arial" w:eastAsia="Arial" w:hAnsi="Arial"/>
          <w:sz w:val="13"/>
          <w:szCs w:val="13"/>
          <w:color w:val="auto"/>
        </w:rPr>
        <w:t>Articles of Amendment to the Articles of Incorporation of the Registrant(1)</w:t>
      </w:r>
    </w:p>
    <w:p>
      <w:pPr>
        <w:spacing w:after="0" w:line="8" w:lineRule="exact"/>
        <w:rPr>
          <w:sz w:val="20"/>
          <w:szCs w:val="20"/>
          <w:color w:val="auto"/>
        </w:rPr>
      </w:pPr>
    </w:p>
    <w:p>
      <w:pPr>
        <w:ind w:left="1800"/>
        <w:spacing w:after="0"/>
        <w:tabs>
          <w:tab w:leader="none" w:pos="2260" w:val="left"/>
        </w:tabs>
        <w:rPr>
          <w:sz w:val="20"/>
          <w:szCs w:val="20"/>
          <w:color w:val="auto"/>
        </w:rPr>
      </w:pPr>
      <w:r>
        <w:rPr>
          <w:rFonts w:ascii="Arial" w:cs="Arial" w:eastAsia="Arial" w:hAnsi="Arial"/>
          <w:sz w:val="15"/>
          <w:szCs w:val="15"/>
          <w:color w:val="auto"/>
        </w:rPr>
        <w:t>3.3</w:t>
      </w:r>
      <w:r>
        <w:rPr>
          <w:sz w:val="20"/>
          <w:szCs w:val="20"/>
          <w:color w:val="auto"/>
        </w:rPr>
        <w:tab/>
      </w:r>
      <w:r>
        <w:rPr>
          <w:rFonts w:ascii="Arial" w:cs="Arial" w:eastAsia="Arial" w:hAnsi="Arial"/>
          <w:sz w:val="13"/>
          <w:szCs w:val="13"/>
          <w:color w:val="auto"/>
        </w:rPr>
        <w:t>Registrant's Amended and Restated By-Laws(4)</w:t>
      </w:r>
    </w:p>
    <w:p>
      <w:pPr>
        <w:spacing w:after="0" w:line="8" w:lineRule="exact"/>
        <w:rPr>
          <w:sz w:val="20"/>
          <w:szCs w:val="20"/>
          <w:color w:val="auto"/>
        </w:rPr>
      </w:pPr>
    </w:p>
    <w:p>
      <w:pPr>
        <w:ind w:left="1800"/>
        <w:spacing w:after="0"/>
        <w:tabs>
          <w:tab w:leader="none" w:pos="2260" w:val="left"/>
        </w:tabs>
        <w:rPr>
          <w:sz w:val="20"/>
          <w:szCs w:val="20"/>
          <w:color w:val="auto"/>
        </w:rPr>
      </w:pPr>
      <w:r>
        <w:rPr>
          <w:rFonts w:ascii="Arial" w:cs="Arial" w:eastAsia="Arial" w:hAnsi="Arial"/>
          <w:sz w:val="15"/>
          <w:szCs w:val="15"/>
          <w:color w:val="auto"/>
        </w:rPr>
        <w:t>4.1</w:t>
      </w:r>
      <w:r>
        <w:rPr>
          <w:sz w:val="20"/>
          <w:szCs w:val="20"/>
          <w:color w:val="auto"/>
        </w:rPr>
        <w:tab/>
      </w:r>
      <w:r>
        <w:rPr>
          <w:rFonts w:ascii="Arial" w:cs="Arial" w:eastAsia="Arial" w:hAnsi="Arial"/>
          <w:sz w:val="13"/>
          <w:szCs w:val="13"/>
          <w:color w:val="auto"/>
        </w:rPr>
        <w:t>Indenture between the Registrant and JPMorgan Chase Bank, Trustee, dated as of October 17, 2001(5)</w:t>
      </w:r>
    </w:p>
    <w:p>
      <w:pPr>
        <w:spacing w:after="0" w:line="8" w:lineRule="exact"/>
        <w:rPr>
          <w:sz w:val="20"/>
          <w:szCs w:val="20"/>
          <w:color w:val="auto"/>
        </w:rPr>
      </w:pPr>
    </w:p>
    <w:p>
      <w:pPr>
        <w:ind w:left="2280" w:right="600" w:hanging="488"/>
        <w:spacing w:after="0" w:line="290" w:lineRule="auto"/>
        <w:tabs>
          <w:tab w:leader="none" w:pos="2260" w:val="left"/>
        </w:tabs>
        <w:rPr>
          <w:sz w:val="20"/>
          <w:szCs w:val="20"/>
          <w:color w:val="auto"/>
        </w:rPr>
      </w:pPr>
      <w:r>
        <w:rPr>
          <w:rFonts w:ascii="Arial" w:cs="Arial" w:eastAsia="Arial" w:hAnsi="Arial"/>
          <w:sz w:val="15"/>
          <w:szCs w:val="15"/>
          <w:color w:val="auto"/>
        </w:rPr>
        <w:t>4.2</w:t>
      </w:r>
      <w:r>
        <w:rPr>
          <w:sz w:val="20"/>
          <w:szCs w:val="20"/>
          <w:color w:val="auto"/>
        </w:rPr>
        <w:tab/>
      </w:r>
      <w:r>
        <w:rPr>
          <w:rFonts w:ascii="Arial" w:cs="Arial" w:eastAsia="Arial" w:hAnsi="Arial"/>
          <w:sz w:val="13"/>
          <w:szCs w:val="13"/>
          <w:color w:val="auto"/>
        </w:rPr>
        <w:t>The Registrant agrees to furnish copies of any instruments defining the rights of holders of long-term debt of the Registrant and its consolidated subsidiaries that does not exceed 10 percent of the total assets of the Registrant and its consolidated subsidiaries to the Commission upon request.</w:t>
      </w:r>
    </w:p>
    <w:p>
      <w:pPr>
        <w:ind w:left="1720"/>
        <w:spacing w:after="0"/>
        <w:tabs>
          <w:tab w:leader="none" w:pos="2260" w:val="left"/>
        </w:tabs>
        <w:rPr>
          <w:sz w:val="20"/>
          <w:szCs w:val="20"/>
          <w:color w:val="auto"/>
        </w:rPr>
      </w:pPr>
      <w:r>
        <w:rPr>
          <w:rFonts w:ascii="Arial" w:cs="Arial" w:eastAsia="Arial" w:hAnsi="Arial"/>
          <w:sz w:val="15"/>
          <w:szCs w:val="15"/>
          <w:color w:val="auto"/>
        </w:rPr>
        <w:t>10.1</w:t>
      </w:r>
      <w:r>
        <w:rPr>
          <w:sz w:val="20"/>
          <w:szCs w:val="20"/>
          <w:color w:val="auto"/>
        </w:rPr>
        <w:tab/>
      </w:r>
      <w:r>
        <w:rPr>
          <w:rFonts w:ascii="Arial" w:cs="Arial" w:eastAsia="Arial" w:hAnsi="Arial"/>
          <w:sz w:val="13"/>
          <w:szCs w:val="13"/>
          <w:color w:val="auto"/>
        </w:rPr>
        <w:t>Corporate Agreement between Altria Group, Inc. and the Registrant(4)</w:t>
      </w:r>
    </w:p>
    <w:p>
      <w:pPr>
        <w:spacing w:after="0" w:line="8" w:lineRule="exact"/>
        <w:rPr>
          <w:sz w:val="20"/>
          <w:szCs w:val="20"/>
          <w:color w:val="auto"/>
        </w:rPr>
      </w:pPr>
    </w:p>
    <w:p>
      <w:pPr>
        <w:ind w:left="1720"/>
        <w:spacing w:after="0"/>
        <w:tabs>
          <w:tab w:leader="none" w:pos="2260" w:val="left"/>
        </w:tabs>
        <w:rPr>
          <w:sz w:val="20"/>
          <w:szCs w:val="20"/>
          <w:color w:val="auto"/>
        </w:rPr>
      </w:pPr>
      <w:r>
        <w:rPr>
          <w:rFonts w:ascii="Arial" w:cs="Arial" w:eastAsia="Arial" w:hAnsi="Arial"/>
          <w:sz w:val="15"/>
          <w:szCs w:val="15"/>
          <w:color w:val="auto"/>
        </w:rPr>
        <w:t>10.2</w:t>
      </w:r>
      <w:r>
        <w:rPr>
          <w:sz w:val="20"/>
          <w:szCs w:val="20"/>
          <w:color w:val="auto"/>
        </w:rPr>
        <w:tab/>
      </w:r>
      <w:r>
        <w:rPr>
          <w:rFonts w:ascii="Arial" w:cs="Arial" w:eastAsia="Arial" w:hAnsi="Arial"/>
          <w:sz w:val="13"/>
          <w:szCs w:val="13"/>
          <w:color w:val="auto"/>
        </w:rPr>
        <w:t>Services Agreement between Altria Corporate Services, Inc. and the Registrant (including Exhibits)(3)</w:t>
      </w:r>
    </w:p>
    <w:p>
      <w:pPr>
        <w:spacing w:after="0" w:line="8" w:lineRule="exact"/>
        <w:rPr>
          <w:sz w:val="20"/>
          <w:szCs w:val="20"/>
          <w:color w:val="auto"/>
        </w:rPr>
      </w:pPr>
    </w:p>
    <w:p>
      <w:pPr>
        <w:ind w:left="1720"/>
        <w:spacing w:after="0"/>
        <w:tabs>
          <w:tab w:leader="none" w:pos="2260" w:val="left"/>
        </w:tabs>
        <w:rPr>
          <w:sz w:val="20"/>
          <w:szCs w:val="20"/>
          <w:color w:val="auto"/>
        </w:rPr>
      </w:pPr>
      <w:r>
        <w:rPr>
          <w:rFonts w:ascii="Arial" w:cs="Arial" w:eastAsia="Arial" w:hAnsi="Arial"/>
          <w:sz w:val="15"/>
          <w:szCs w:val="15"/>
          <w:color w:val="auto"/>
        </w:rPr>
        <w:t>10.3</w:t>
      </w:r>
      <w:r>
        <w:rPr>
          <w:sz w:val="20"/>
          <w:szCs w:val="20"/>
          <w:color w:val="auto"/>
        </w:rPr>
        <w:tab/>
      </w:r>
      <w:r>
        <w:rPr>
          <w:rFonts w:ascii="Arial" w:cs="Arial" w:eastAsia="Arial" w:hAnsi="Arial"/>
          <w:sz w:val="13"/>
          <w:szCs w:val="13"/>
          <w:color w:val="auto"/>
        </w:rPr>
        <w:t>Tax-Sharing Agreement between Altria Group, Inc. and the Registrant(2)</w:t>
      </w:r>
    </w:p>
    <w:p>
      <w:pPr>
        <w:spacing w:after="0" w:line="8" w:lineRule="exact"/>
        <w:rPr>
          <w:sz w:val="20"/>
          <w:szCs w:val="20"/>
          <w:color w:val="auto"/>
        </w:rPr>
      </w:pPr>
    </w:p>
    <w:p>
      <w:pPr>
        <w:ind w:left="1720"/>
        <w:spacing w:after="0"/>
        <w:tabs>
          <w:tab w:leader="none" w:pos="2260" w:val="left"/>
        </w:tabs>
        <w:rPr>
          <w:sz w:val="20"/>
          <w:szCs w:val="20"/>
          <w:color w:val="auto"/>
        </w:rPr>
      </w:pPr>
      <w:r>
        <w:rPr>
          <w:rFonts w:ascii="Arial" w:cs="Arial" w:eastAsia="Arial" w:hAnsi="Arial"/>
          <w:sz w:val="15"/>
          <w:szCs w:val="15"/>
          <w:color w:val="auto"/>
        </w:rPr>
        <w:t>10.4</w:t>
      </w:r>
      <w:r>
        <w:rPr>
          <w:sz w:val="20"/>
          <w:szCs w:val="20"/>
          <w:color w:val="auto"/>
        </w:rPr>
        <w:tab/>
      </w:r>
      <w:r>
        <w:rPr>
          <w:rFonts w:ascii="Arial" w:cs="Arial" w:eastAsia="Arial" w:hAnsi="Arial"/>
          <w:sz w:val="13"/>
          <w:szCs w:val="13"/>
          <w:color w:val="auto"/>
        </w:rPr>
        <w:t>2001 Kraft Foods Inc. Performance Incentive Plan(4)</w:t>
      </w:r>
    </w:p>
    <w:p>
      <w:pPr>
        <w:spacing w:after="0" w:line="8" w:lineRule="exact"/>
        <w:rPr>
          <w:sz w:val="20"/>
          <w:szCs w:val="20"/>
          <w:color w:val="auto"/>
        </w:rPr>
      </w:pPr>
    </w:p>
    <w:p>
      <w:pPr>
        <w:ind w:left="1720"/>
        <w:spacing w:after="0"/>
        <w:tabs>
          <w:tab w:leader="none" w:pos="2260" w:val="left"/>
        </w:tabs>
        <w:rPr>
          <w:sz w:val="20"/>
          <w:szCs w:val="20"/>
          <w:color w:val="auto"/>
        </w:rPr>
      </w:pPr>
      <w:r>
        <w:rPr>
          <w:rFonts w:ascii="Arial" w:cs="Arial" w:eastAsia="Arial" w:hAnsi="Arial"/>
          <w:sz w:val="15"/>
          <w:szCs w:val="15"/>
          <w:color w:val="auto"/>
        </w:rPr>
        <w:t>10.5</w:t>
      </w:r>
      <w:r>
        <w:rPr>
          <w:sz w:val="20"/>
          <w:szCs w:val="20"/>
          <w:color w:val="auto"/>
        </w:rPr>
        <w:tab/>
      </w:r>
      <w:r>
        <w:rPr>
          <w:rFonts w:ascii="Arial" w:cs="Arial" w:eastAsia="Arial" w:hAnsi="Arial"/>
          <w:sz w:val="13"/>
          <w:szCs w:val="13"/>
          <w:color w:val="auto"/>
        </w:rPr>
        <w:t>2001 Kraft Foods Inc. Compensation Plan for Non-Employee Directors(2)</w:t>
      </w:r>
    </w:p>
    <w:p>
      <w:pPr>
        <w:spacing w:after="0" w:line="8" w:lineRule="exact"/>
        <w:rPr>
          <w:sz w:val="20"/>
          <w:szCs w:val="20"/>
          <w:color w:val="auto"/>
        </w:rPr>
      </w:pPr>
    </w:p>
    <w:p>
      <w:pPr>
        <w:ind w:left="1720"/>
        <w:spacing w:after="0"/>
        <w:tabs>
          <w:tab w:leader="none" w:pos="2260" w:val="left"/>
        </w:tabs>
        <w:rPr>
          <w:sz w:val="20"/>
          <w:szCs w:val="20"/>
          <w:color w:val="auto"/>
        </w:rPr>
      </w:pPr>
      <w:r>
        <w:rPr>
          <w:rFonts w:ascii="Arial" w:cs="Arial" w:eastAsia="Arial" w:hAnsi="Arial"/>
          <w:sz w:val="15"/>
          <w:szCs w:val="15"/>
          <w:color w:val="auto"/>
        </w:rPr>
        <w:t>10.6</w:t>
      </w:r>
      <w:r>
        <w:rPr>
          <w:sz w:val="20"/>
          <w:szCs w:val="20"/>
          <w:color w:val="auto"/>
        </w:rPr>
        <w:tab/>
      </w:r>
      <w:r>
        <w:rPr>
          <w:rFonts w:ascii="Arial" w:cs="Arial" w:eastAsia="Arial" w:hAnsi="Arial"/>
          <w:sz w:val="13"/>
          <w:szCs w:val="13"/>
          <w:color w:val="auto"/>
        </w:rPr>
        <w:t>Form of Employment Agreement entered into by Altria Group, Inc. with each of Betsy D. Holden and Roger K. Deromedi(2)</w:t>
      </w:r>
    </w:p>
    <w:p>
      <w:pPr>
        <w:spacing w:after="0" w:line="8" w:lineRule="exact"/>
        <w:rPr>
          <w:sz w:val="20"/>
          <w:szCs w:val="20"/>
          <w:color w:val="auto"/>
        </w:rPr>
      </w:pPr>
    </w:p>
    <w:p>
      <w:pPr>
        <w:ind w:left="1720"/>
        <w:spacing w:after="0"/>
        <w:tabs>
          <w:tab w:leader="none" w:pos="2260" w:val="left"/>
        </w:tabs>
        <w:rPr>
          <w:sz w:val="20"/>
          <w:szCs w:val="20"/>
          <w:color w:val="auto"/>
        </w:rPr>
      </w:pPr>
      <w:r>
        <w:rPr>
          <w:rFonts w:ascii="Arial" w:cs="Arial" w:eastAsia="Arial" w:hAnsi="Arial"/>
          <w:sz w:val="15"/>
          <w:szCs w:val="15"/>
          <w:color w:val="auto"/>
        </w:rPr>
        <w:t>10.7</w:t>
      </w:r>
      <w:r>
        <w:rPr>
          <w:sz w:val="20"/>
          <w:szCs w:val="20"/>
          <w:color w:val="auto"/>
        </w:rPr>
        <w:tab/>
      </w:r>
      <w:r>
        <w:rPr>
          <w:rFonts w:ascii="Arial" w:cs="Arial" w:eastAsia="Arial" w:hAnsi="Arial"/>
          <w:sz w:val="13"/>
          <w:szCs w:val="13"/>
          <w:color w:val="auto"/>
        </w:rPr>
        <w:t>Employment Agreement between Altria Group, Inc. and Calvin J. Collier(2)</w:t>
      </w:r>
    </w:p>
    <w:p>
      <w:pPr>
        <w:spacing w:after="0" w:line="8" w:lineRule="exact"/>
        <w:rPr>
          <w:sz w:val="20"/>
          <w:szCs w:val="20"/>
          <w:color w:val="auto"/>
        </w:rPr>
      </w:pPr>
    </w:p>
    <w:p>
      <w:pPr>
        <w:ind w:left="1720"/>
        <w:spacing w:after="0"/>
        <w:tabs>
          <w:tab w:leader="none" w:pos="2260" w:val="left"/>
        </w:tabs>
        <w:rPr>
          <w:sz w:val="20"/>
          <w:szCs w:val="20"/>
          <w:color w:val="auto"/>
        </w:rPr>
      </w:pPr>
      <w:r>
        <w:rPr>
          <w:rFonts w:ascii="Arial" w:cs="Arial" w:eastAsia="Arial" w:hAnsi="Arial"/>
          <w:sz w:val="15"/>
          <w:szCs w:val="15"/>
          <w:color w:val="auto"/>
        </w:rPr>
        <w:t>10.8</w:t>
      </w:r>
      <w:r>
        <w:rPr>
          <w:sz w:val="20"/>
          <w:szCs w:val="20"/>
          <w:color w:val="auto"/>
        </w:rPr>
        <w:tab/>
      </w:r>
      <w:r>
        <w:rPr>
          <w:rFonts w:ascii="Arial" w:cs="Arial" w:eastAsia="Arial" w:hAnsi="Arial"/>
          <w:sz w:val="13"/>
          <w:szCs w:val="13"/>
          <w:color w:val="auto"/>
        </w:rPr>
        <w:t>Kraft Foods Inc. Supplemental Benefits Plan I (including First Amendment adding Supplement A)(2)</w:t>
      </w:r>
    </w:p>
    <w:p>
      <w:pPr>
        <w:spacing w:after="0" w:line="8" w:lineRule="exact"/>
        <w:rPr>
          <w:sz w:val="20"/>
          <w:szCs w:val="20"/>
          <w:color w:val="auto"/>
        </w:rPr>
      </w:pPr>
    </w:p>
    <w:p>
      <w:pPr>
        <w:ind w:left="1720"/>
        <w:spacing w:after="0"/>
        <w:tabs>
          <w:tab w:leader="none" w:pos="2260" w:val="left"/>
        </w:tabs>
        <w:rPr>
          <w:sz w:val="20"/>
          <w:szCs w:val="20"/>
          <w:color w:val="auto"/>
        </w:rPr>
      </w:pPr>
      <w:r>
        <w:rPr>
          <w:rFonts w:ascii="Arial" w:cs="Arial" w:eastAsia="Arial" w:hAnsi="Arial"/>
          <w:sz w:val="15"/>
          <w:szCs w:val="15"/>
          <w:color w:val="auto"/>
        </w:rPr>
        <w:t>10.9</w:t>
      </w:r>
      <w:r>
        <w:rPr>
          <w:sz w:val="20"/>
          <w:szCs w:val="20"/>
          <w:color w:val="auto"/>
        </w:rPr>
        <w:tab/>
      </w:r>
      <w:r>
        <w:rPr>
          <w:rFonts w:ascii="Arial" w:cs="Arial" w:eastAsia="Arial" w:hAnsi="Arial"/>
          <w:sz w:val="13"/>
          <w:szCs w:val="13"/>
          <w:color w:val="auto"/>
        </w:rPr>
        <w:t>Kraft Foods Inc. Supplemental Benefits Plan II(2)</w:t>
      </w:r>
    </w:p>
    <w:p>
      <w:pPr>
        <w:spacing w:after="0" w:line="8" w:lineRule="exact"/>
        <w:rPr>
          <w:sz w:val="20"/>
          <w:szCs w:val="20"/>
          <w:color w:val="auto"/>
        </w:rPr>
      </w:pPr>
    </w:p>
    <w:p>
      <w:pPr>
        <w:ind w:left="1640"/>
        <w:spacing w:after="0"/>
        <w:tabs>
          <w:tab w:leader="none" w:pos="2260" w:val="left"/>
        </w:tabs>
        <w:rPr>
          <w:sz w:val="20"/>
          <w:szCs w:val="20"/>
          <w:color w:val="auto"/>
        </w:rPr>
      </w:pPr>
      <w:r>
        <w:rPr>
          <w:rFonts w:ascii="Arial" w:cs="Arial" w:eastAsia="Arial" w:hAnsi="Arial"/>
          <w:sz w:val="15"/>
          <w:szCs w:val="15"/>
          <w:color w:val="auto"/>
        </w:rPr>
        <w:t>10.10</w:t>
      </w:r>
      <w:r>
        <w:rPr>
          <w:sz w:val="20"/>
          <w:szCs w:val="20"/>
          <w:color w:val="auto"/>
        </w:rPr>
        <w:tab/>
      </w:r>
      <w:r>
        <w:rPr>
          <w:rFonts w:ascii="Arial" w:cs="Arial" w:eastAsia="Arial" w:hAnsi="Arial"/>
          <w:sz w:val="13"/>
          <w:szCs w:val="13"/>
          <w:color w:val="auto"/>
        </w:rPr>
        <w:t>Form of Employee Grantor Trust Enrollment Agreement(6)(10)</w:t>
      </w:r>
    </w:p>
    <w:p>
      <w:pPr>
        <w:spacing w:after="0" w:line="8" w:lineRule="exact"/>
        <w:rPr>
          <w:sz w:val="20"/>
          <w:szCs w:val="20"/>
          <w:color w:val="auto"/>
        </w:rPr>
      </w:pPr>
    </w:p>
    <w:p>
      <w:pPr>
        <w:ind w:left="1660"/>
        <w:spacing w:after="0"/>
        <w:tabs>
          <w:tab w:leader="none" w:pos="2260" w:val="left"/>
        </w:tabs>
        <w:rPr>
          <w:sz w:val="20"/>
          <w:szCs w:val="20"/>
          <w:color w:val="auto"/>
        </w:rPr>
      </w:pPr>
      <w:r>
        <w:rPr>
          <w:rFonts w:ascii="Arial" w:cs="Arial" w:eastAsia="Arial" w:hAnsi="Arial"/>
          <w:sz w:val="15"/>
          <w:szCs w:val="15"/>
          <w:color w:val="auto"/>
        </w:rPr>
        <w:t>10.11</w:t>
      </w:r>
      <w:r>
        <w:rPr>
          <w:sz w:val="20"/>
          <w:szCs w:val="20"/>
          <w:color w:val="auto"/>
        </w:rPr>
        <w:tab/>
      </w:r>
      <w:r>
        <w:rPr>
          <w:rFonts w:ascii="Arial" w:cs="Arial" w:eastAsia="Arial" w:hAnsi="Arial"/>
          <w:sz w:val="13"/>
          <w:szCs w:val="13"/>
          <w:color w:val="auto"/>
        </w:rPr>
        <w:t>The Altria Group, Inc. 1992 Incentive Compensation and Stock Option Plan(7)(10)</w:t>
      </w:r>
    </w:p>
    <w:p>
      <w:pPr>
        <w:spacing w:after="0" w:line="8" w:lineRule="exact"/>
        <w:rPr>
          <w:sz w:val="20"/>
          <w:szCs w:val="20"/>
          <w:color w:val="auto"/>
        </w:rPr>
      </w:pPr>
    </w:p>
    <w:p>
      <w:pPr>
        <w:ind w:left="1640"/>
        <w:spacing w:after="0"/>
        <w:tabs>
          <w:tab w:leader="none" w:pos="2260" w:val="left"/>
        </w:tabs>
        <w:rPr>
          <w:sz w:val="20"/>
          <w:szCs w:val="20"/>
          <w:color w:val="auto"/>
        </w:rPr>
      </w:pPr>
      <w:r>
        <w:rPr>
          <w:rFonts w:ascii="Arial" w:cs="Arial" w:eastAsia="Arial" w:hAnsi="Arial"/>
          <w:sz w:val="15"/>
          <w:szCs w:val="15"/>
          <w:color w:val="auto"/>
        </w:rPr>
        <w:t>10.12</w:t>
      </w:r>
      <w:r>
        <w:rPr>
          <w:sz w:val="20"/>
          <w:szCs w:val="20"/>
          <w:color w:val="auto"/>
        </w:rPr>
        <w:tab/>
      </w:r>
      <w:r>
        <w:rPr>
          <w:rFonts w:ascii="Arial" w:cs="Arial" w:eastAsia="Arial" w:hAnsi="Arial"/>
          <w:sz w:val="13"/>
          <w:szCs w:val="13"/>
          <w:color w:val="auto"/>
        </w:rPr>
        <w:t>The Altria Group, Inc. 1997 Performance Incentive Plan(8)(10)</w:t>
      </w:r>
    </w:p>
    <w:p>
      <w:pPr>
        <w:sectPr>
          <w:pgSz w:w="11900" w:h="16852" w:orient="portrait"/>
          <w:cols w:equalWidth="0" w:num="1">
            <w:col w:w="11440"/>
          </w:cols>
          <w:pgMar w:left="240" w:top="128" w:right="219" w:bottom="0" w:gutter="0" w:footer="0" w:header="0"/>
        </w:sectPr>
      </w:pPr>
    </w:p>
    <w:bookmarkStart w:id="9" w:name="page10"/>
    <w:bookmarkEnd w:id="9"/>
    <w:p>
      <w:pPr>
        <w:jc w:val="center"/>
        <w:ind w:right="-16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4560" cy="196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pacing w:after="0" w:line="282" w:lineRule="exact"/>
        <w:rPr>
          <w:sz w:val="20"/>
          <w:szCs w:val="20"/>
          <w:color w:val="auto"/>
        </w:rPr>
      </w:pPr>
    </w:p>
    <w:p>
      <w:pPr>
        <w:ind w:left="1650"/>
        <w:spacing w:after="0"/>
        <w:tabs>
          <w:tab w:leader="none" w:pos="2269" w:val="left"/>
        </w:tabs>
        <w:rPr>
          <w:sz w:val="20"/>
          <w:szCs w:val="20"/>
          <w:color w:val="auto"/>
        </w:rPr>
      </w:pPr>
      <w:r>
        <w:rPr>
          <w:rFonts w:ascii="Arial" w:cs="Arial" w:eastAsia="Arial" w:hAnsi="Arial"/>
          <w:sz w:val="15"/>
          <w:szCs w:val="15"/>
          <w:color w:val="auto"/>
        </w:rPr>
        <w:t>10.13</w:t>
      </w:r>
      <w:r>
        <w:rPr>
          <w:sz w:val="20"/>
          <w:szCs w:val="20"/>
          <w:color w:val="auto"/>
        </w:rPr>
        <w:tab/>
      </w:r>
      <w:r>
        <w:rPr>
          <w:rFonts w:ascii="Arial" w:cs="Arial" w:eastAsia="Arial" w:hAnsi="Arial"/>
          <w:sz w:val="13"/>
          <w:szCs w:val="13"/>
          <w:color w:val="auto"/>
        </w:rPr>
        <w:t>The Altria Group, Inc. 2000 Performance Incentive Plan(9)(10)</w:t>
      </w:r>
    </w:p>
    <w:p>
      <w:pPr>
        <w:spacing w:after="0" w:line="14" w:lineRule="exact"/>
        <w:rPr>
          <w:sz w:val="20"/>
          <w:szCs w:val="20"/>
          <w:color w:val="auto"/>
        </w:rPr>
      </w:pPr>
    </w:p>
    <w:p>
      <w:pPr>
        <w:ind w:left="1650"/>
        <w:spacing w:after="0"/>
        <w:tabs>
          <w:tab w:leader="none" w:pos="2269" w:val="left"/>
        </w:tabs>
        <w:rPr>
          <w:sz w:val="20"/>
          <w:szCs w:val="20"/>
          <w:color w:val="auto"/>
        </w:rPr>
      </w:pPr>
      <w:r>
        <w:rPr>
          <w:rFonts w:ascii="Arial" w:cs="Arial" w:eastAsia="Arial" w:hAnsi="Arial"/>
          <w:sz w:val="15"/>
          <w:szCs w:val="15"/>
          <w:color w:val="auto"/>
        </w:rPr>
        <w:t>10.14</w:t>
      </w:r>
      <w:r>
        <w:rPr>
          <w:sz w:val="20"/>
          <w:szCs w:val="20"/>
          <w:color w:val="auto"/>
        </w:rPr>
        <w:tab/>
      </w:r>
      <w:r>
        <w:rPr>
          <w:rFonts w:ascii="Arial" w:cs="Arial" w:eastAsia="Arial" w:hAnsi="Arial"/>
          <w:sz w:val="13"/>
          <w:szCs w:val="13"/>
          <w:color w:val="auto"/>
        </w:rPr>
        <w:t>2001 Kraft Foods Inc. Compensation Plan for Non-Employee Directors (Deferred Compensation)(11)</w:t>
      </w:r>
    </w:p>
    <w:p>
      <w:pPr>
        <w:spacing w:after="0" w:line="8" w:lineRule="exact"/>
        <w:rPr>
          <w:sz w:val="20"/>
          <w:szCs w:val="20"/>
          <w:color w:val="auto"/>
        </w:rPr>
      </w:pPr>
    </w:p>
    <w:p>
      <w:pPr>
        <w:ind w:left="2290" w:hanging="448"/>
        <w:spacing w:after="0"/>
        <w:tabs>
          <w:tab w:leader="none" w:pos="229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Statements re: computation of ratios(12)</w:t>
      </w:r>
    </w:p>
    <w:p>
      <w:pPr>
        <w:spacing w:after="0" w:line="8" w:lineRule="exact"/>
        <w:rPr>
          <w:rFonts w:ascii="Arial" w:cs="Arial" w:eastAsia="Arial" w:hAnsi="Arial"/>
          <w:sz w:val="15"/>
          <w:szCs w:val="15"/>
          <w:color w:val="auto"/>
        </w:rPr>
      </w:pPr>
    </w:p>
    <w:p>
      <w:pPr>
        <w:ind w:left="2290" w:hanging="448"/>
        <w:spacing w:after="0" w:line="340" w:lineRule="auto"/>
        <w:tabs>
          <w:tab w:leader="none" w:pos="229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Pages 26-63 of the 2002 Annual Report, but only to the extent set forth in Items 1, 3, 5-7, 7A, 8 and 15 hereof. With the exception of the aforementioned information incorporated by reference in this Annual Report on Form 10-K, the 2002 Annual Report is not to be deemed "filed" as a part of this Report.</w:t>
      </w:r>
    </w:p>
    <w:p>
      <w:pPr>
        <w:spacing w:after="0" w:line="113" w:lineRule="exact"/>
        <w:rPr>
          <w:sz w:val="20"/>
          <w:szCs w:val="20"/>
          <w:color w:val="auto"/>
        </w:rPr>
      </w:pPr>
    </w:p>
    <w:p>
      <w:pPr>
        <w:ind w:left="2290" w:hanging="448"/>
        <w:spacing w:after="0"/>
        <w:tabs>
          <w:tab w:leader="none" w:pos="229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Consent of PricewaterhouseCoopers LLP, Independent Accountants</w:t>
      </w:r>
    </w:p>
    <w:p>
      <w:pPr>
        <w:spacing w:after="0" w:line="14" w:lineRule="exact"/>
        <w:rPr>
          <w:rFonts w:ascii="Arial" w:cs="Arial" w:eastAsia="Arial" w:hAnsi="Arial"/>
          <w:sz w:val="15"/>
          <w:szCs w:val="15"/>
          <w:color w:val="auto"/>
        </w:rPr>
      </w:pPr>
    </w:p>
    <w:p>
      <w:pPr>
        <w:ind w:left="2290" w:hanging="448"/>
        <w:spacing w:after="0"/>
        <w:tabs>
          <w:tab w:leader="none" w:pos="229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Powers of Attorney</w:t>
      </w:r>
    </w:p>
    <w:p>
      <w:pPr>
        <w:spacing w:after="0" w:line="8" w:lineRule="exact"/>
        <w:rPr>
          <w:sz w:val="20"/>
          <w:szCs w:val="20"/>
          <w:color w:val="auto"/>
        </w:rPr>
      </w:pPr>
    </w:p>
    <w:p>
      <w:pPr>
        <w:ind w:left="2290" w:hanging="448"/>
        <w:spacing w:after="0"/>
        <w:tabs>
          <w:tab w:leader="none" w:pos="2290" w:val="left"/>
        </w:tabs>
        <w:numPr>
          <w:ilvl w:val="1"/>
          <w:numId w:val="12"/>
        </w:numPr>
        <w:rPr>
          <w:rFonts w:ascii="Arial" w:cs="Arial" w:eastAsia="Arial" w:hAnsi="Arial"/>
          <w:sz w:val="15"/>
          <w:szCs w:val="15"/>
          <w:color w:val="auto"/>
        </w:rPr>
      </w:pPr>
      <w:r>
        <w:rPr>
          <w:rFonts w:ascii="Arial" w:cs="Arial" w:eastAsia="Arial" w:hAnsi="Arial"/>
          <w:sz w:val="15"/>
          <w:szCs w:val="15"/>
          <w:color w:val="auto"/>
        </w:rPr>
        <w:t>Additional Exhibit</w:t>
      </w:r>
    </w:p>
    <w:p>
      <w:pPr>
        <w:spacing w:after="0" w:line="307" w:lineRule="exact"/>
        <w:rPr>
          <w:rFonts w:ascii="Arial" w:cs="Arial" w:eastAsia="Arial" w:hAnsi="Arial"/>
          <w:sz w:val="15"/>
          <w:szCs w:val="15"/>
          <w:color w:val="auto"/>
        </w:rPr>
      </w:pPr>
    </w:p>
    <w:p>
      <w:pPr>
        <w:ind w:left="450" w:hanging="450"/>
        <w:spacing w:after="0"/>
        <w:tabs>
          <w:tab w:leader="none" w:pos="45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Incorporated by reference to the Registrant's Form S-1 filed with the Securities and Exchange Commission on March 16, 2001 (No. 333-57162).</w:t>
      </w:r>
    </w:p>
    <w:p>
      <w:pPr>
        <w:spacing w:after="0" w:line="211" w:lineRule="exact"/>
        <w:rPr>
          <w:rFonts w:ascii="Arial" w:cs="Arial" w:eastAsia="Arial" w:hAnsi="Arial"/>
          <w:sz w:val="15"/>
          <w:szCs w:val="15"/>
          <w:color w:val="auto"/>
        </w:rPr>
      </w:pPr>
    </w:p>
    <w:p>
      <w:pPr>
        <w:ind w:left="450" w:hanging="450"/>
        <w:spacing w:after="0"/>
        <w:tabs>
          <w:tab w:leader="none" w:pos="45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Incorporated by reference to the Registrant's Amendment No. 1 to Form S-1 filed with the Securities and Exchange Commission on May 2, 2001 (No. 333-57162).</w:t>
      </w:r>
    </w:p>
    <w:p>
      <w:pPr>
        <w:spacing w:after="0" w:line="200" w:lineRule="exact"/>
        <w:rPr>
          <w:rFonts w:ascii="Arial" w:cs="Arial" w:eastAsia="Arial" w:hAnsi="Arial"/>
          <w:sz w:val="15"/>
          <w:szCs w:val="15"/>
          <w:color w:val="auto"/>
        </w:rPr>
      </w:pPr>
    </w:p>
    <w:p>
      <w:pPr>
        <w:ind w:left="450" w:hanging="450"/>
        <w:spacing w:after="0"/>
        <w:tabs>
          <w:tab w:leader="none" w:pos="45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Incorporated by reference to the Registrant's Amendment No. 2 to Form S-1 filed with the Securities and Exchange Commission on May 11, 2001 (No. 333-57162).</w:t>
      </w:r>
    </w:p>
    <w:p>
      <w:pPr>
        <w:spacing w:after="0" w:line="211" w:lineRule="exact"/>
        <w:rPr>
          <w:rFonts w:ascii="Arial" w:cs="Arial" w:eastAsia="Arial" w:hAnsi="Arial"/>
          <w:sz w:val="14"/>
          <w:szCs w:val="14"/>
          <w:color w:val="auto"/>
        </w:rPr>
      </w:pPr>
    </w:p>
    <w:p>
      <w:pPr>
        <w:ind w:left="450" w:hanging="450"/>
        <w:spacing w:after="0"/>
        <w:tabs>
          <w:tab w:leader="none" w:pos="45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Incorporated by reference to the Registrant's Amendment No. 5 to Form S-1 filed with the Securities and Exchange Commission on June 8, 2001 (No. 333-57162).</w:t>
      </w:r>
    </w:p>
    <w:p>
      <w:pPr>
        <w:spacing w:after="0" w:line="211" w:lineRule="exact"/>
        <w:rPr>
          <w:rFonts w:ascii="Arial" w:cs="Arial" w:eastAsia="Arial" w:hAnsi="Arial"/>
          <w:sz w:val="15"/>
          <w:szCs w:val="15"/>
          <w:color w:val="auto"/>
        </w:rPr>
      </w:pPr>
    </w:p>
    <w:p>
      <w:pPr>
        <w:ind w:left="450" w:hanging="450"/>
        <w:spacing w:after="0"/>
        <w:tabs>
          <w:tab w:leader="none" w:pos="45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Incorporated by reference to the Registrant's Form S-3 filed with the Securities and Exchange Commission on August 16, 2001 (No. 333-67770).</w:t>
      </w:r>
    </w:p>
    <w:p>
      <w:pPr>
        <w:spacing w:after="0" w:line="200" w:lineRule="exact"/>
        <w:rPr>
          <w:rFonts w:ascii="Arial" w:cs="Arial" w:eastAsia="Arial" w:hAnsi="Arial"/>
          <w:sz w:val="15"/>
          <w:szCs w:val="15"/>
          <w:color w:val="auto"/>
        </w:rPr>
      </w:pPr>
    </w:p>
    <w:p>
      <w:pPr>
        <w:ind w:left="450" w:hanging="450"/>
        <w:spacing w:after="0"/>
        <w:tabs>
          <w:tab w:leader="none" w:pos="45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Incorporated by reference to the Annual Report on Form 10-K of Altria Group, Inc. ("Altria Group") for the year ended December 31, 1995 (SEC File No. 1-8940).</w:t>
      </w:r>
    </w:p>
    <w:p>
      <w:pPr>
        <w:spacing w:after="0" w:line="200" w:lineRule="exact"/>
        <w:rPr>
          <w:rFonts w:ascii="Arial" w:cs="Arial" w:eastAsia="Arial" w:hAnsi="Arial"/>
          <w:sz w:val="15"/>
          <w:szCs w:val="15"/>
          <w:color w:val="auto"/>
        </w:rPr>
      </w:pPr>
    </w:p>
    <w:p>
      <w:pPr>
        <w:ind w:left="450" w:hanging="450"/>
        <w:spacing w:after="0"/>
        <w:tabs>
          <w:tab w:leader="none" w:pos="45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Incorporated by reference to the Annual Report on Form 10-K of Altria Group for the year ended December 31, 1997 (SEC File No. 1-8940).</w:t>
      </w:r>
    </w:p>
    <w:p>
      <w:pPr>
        <w:spacing w:after="0" w:line="211" w:lineRule="exact"/>
        <w:rPr>
          <w:rFonts w:ascii="Arial" w:cs="Arial" w:eastAsia="Arial" w:hAnsi="Arial"/>
          <w:sz w:val="15"/>
          <w:szCs w:val="15"/>
          <w:color w:val="auto"/>
        </w:rPr>
      </w:pPr>
    </w:p>
    <w:p>
      <w:pPr>
        <w:ind w:left="450" w:hanging="450"/>
        <w:spacing w:after="0"/>
        <w:tabs>
          <w:tab w:leader="none" w:pos="45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Incorporated by reference to the Proxy Statement of Altria Group dated March 10, 1997 (SEC File No. 1-8940).</w:t>
      </w:r>
    </w:p>
    <w:p>
      <w:pPr>
        <w:spacing w:after="0" w:line="200" w:lineRule="exact"/>
        <w:rPr>
          <w:rFonts w:ascii="Arial" w:cs="Arial" w:eastAsia="Arial" w:hAnsi="Arial"/>
          <w:sz w:val="15"/>
          <w:szCs w:val="15"/>
          <w:color w:val="auto"/>
        </w:rPr>
      </w:pPr>
    </w:p>
    <w:p>
      <w:pPr>
        <w:ind w:left="450" w:hanging="450"/>
        <w:spacing w:after="0"/>
        <w:tabs>
          <w:tab w:leader="none" w:pos="45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Incorporated by reference to the Proxy Statement of Altria Group dated March 10, 2000 (SEC File No. 1-8940).</w:t>
      </w:r>
    </w:p>
    <w:p>
      <w:pPr>
        <w:spacing w:after="0" w:line="200" w:lineRule="exact"/>
        <w:rPr>
          <w:rFonts w:ascii="Arial" w:cs="Arial" w:eastAsia="Arial" w:hAnsi="Arial"/>
          <w:sz w:val="15"/>
          <w:szCs w:val="15"/>
          <w:color w:val="auto"/>
        </w:rPr>
      </w:pPr>
    </w:p>
    <w:p>
      <w:pPr>
        <w:ind w:left="450" w:hanging="450"/>
        <w:spacing w:after="0"/>
        <w:tabs>
          <w:tab w:leader="none" w:pos="45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Compensation plans maintained by Altria Group and its subsidiaries in which officers of the Registrant have historically participated.</w:t>
      </w:r>
    </w:p>
    <w:p>
      <w:pPr>
        <w:spacing w:after="0" w:line="211" w:lineRule="exact"/>
        <w:rPr>
          <w:rFonts w:ascii="Arial" w:cs="Arial" w:eastAsia="Arial" w:hAnsi="Arial"/>
          <w:sz w:val="15"/>
          <w:szCs w:val="15"/>
          <w:color w:val="auto"/>
        </w:rPr>
      </w:pPr>
    </w:p>
    <w:p>
      <w:pPr>
        <w:ind w:left="450" w:hanging="450"/>
        <w:spacing w:after="0"/>
        <w:tabs>
          <w:tab w:leader="none" w:pos="45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Incorporated by reference to the Registrant's Annual Report on Form 10-K for the year ended December 31, 2001.</w:t>
      </w:r>
    </w:p>
    <w:p>
      <w:pPr>
        <w:spacing w:after="0" w:line="200" w:lineRule="exact"/>
        <w:rPr>
          <w:rFonts w:ascii="Arial" w:cs="Arial" w:eastAsia="Arial" w:hAnsi="Arial"/>
          <w:sz w:val="15"/>
          <w:szCs w:val="15"/>
          <w:color w:val="auto"/>
        </w:rPr>
      </w:pPr>
    </w:p>
    <w:p>
      <w:pPr>
        <w:ind w:left="450" w:hanging="450"/>
        <w:spacing w:after="0"/>
        <w:tabs>
          <w:tab w:leader="none" w:pos="45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Incorporated by reference to the Registrant's Current Report on Form 8-K filed with the Securities and Exchange Commission on January 29,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-2876550</wp:posOffset>
            </wp:positionV>
            <wp:extent cx="364490" cy="196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64490" cy="19685"/>
                    </a:xfrm>
                    <a:prstGeom prst="rect">
                      <a:avLst/>
                    </a:prstGeom>
                    <a:noFill/>
                  </pic:spPr>
                </pic:pic>
              </a:graphicData>
            </a:graphic>
          </wp:anchor>
        </w:drawing>
      </w:r>
    </w:p>
    <w:p>
      <w:pPr>
        <w:spacing w:after="0" w:line="169" w:lineRule="exact"/>
        <w:rPr>
          <w:sz w:val="20"/>
          <w:szCs w:val="20"/>
          <w:color w:val="auto"/>
        </w:rPr>
      </w:pPr>
    </w:p>
    <w:p>
      <w:pPr>
        <w:jc w:val="center"/>
        <w:ind w:right="-16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4560" cy="196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ind w:right="-129"/>
        <w:spacing w:after="0"/>
        <w:rPr>
          <w:sz w:val="20"/>
          <w:szCs w:val="20"/>
          <w:color w:val="auto"/>
        </w:rPr>
      </w:pPr>
      <w:r>
        <w:rPr>
          <w:rFonts w:ascii="Arial" w:cs="Arial" w:eastAsia="Arial" w:hAnsi="Arial"/>
          <w:sz w:val="15"/>
          <w:szCs w:val="15"/>
          <w:b w:val="1"/>
          <w:bCs w:val="1"/>
          <w:color w:val="auto"/>
        </w:rPr>
        <w:t>SIGNATURES</w:t>
      </w:r>
    </w:p>
    <w:p>
      <w:pPr>
        <w:spacing w:after="0" w:line="189" w:lineRule="exact"/>
        <w:rPr>
          <w:sz w:val="20"/>
          <w:szCs w:val="20"/>
          <w:color w:val="auto"/>
        </w:rPr>
      </w:pPr>
    </w:p>
    <w:p>
      <w:pPr>
        <w:ind w:left="10" w:right="660" w:firstLine="294"/>
        <w:spacing w:after="0" w:line="277" w:lineRule="auto"/>
        <w:rPr>
          <w:sz w:val="20"/>
          <w:szCs w:val="20"/>
          <w:color w:val="auto"/>
        </w:rPr>
      </w:pPr>
      <w:r>
        <w:rPr>
          <w:rFonts w:ascii="Arial" w:cs="Arial" w:eastAsia="Arial" w:hAnsi="Arial"/>
          <w:sz w:val="15"/>
          <w:szCs w:val="15"/>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48" w:lineRule="exact"/>
        <w:rPr>
          <w:sz w:val="20"/>
          <w:szCs w:val="20"/>
          <w:color w:val="auto"/>
        </w:rPr>
      </w:pPr>
    </w:p>
    <w:p>
      <w:pPr>
        <w:ind w:left="5610"/>
        <w:spacing w:after="0"/>
        <w:rPr>
          <w:sz w:val="20"/>
          <w:szCs w:val="20"/>
          <w:color w:val="auto"/>
        </w:rPr>
      </w:pPr>
      <w:r>
        <w:rPr>
          <w:rFonts w:ascii="Arial" w:cs="Arial" w:eastAsia="Arial" w:hAnsi="Arial"/>
          <w:sz w:val="15"/>
          <w:szCs w:val="15"/>
          <w:color w:val="auto"/>
        </w:rPr>
        <w:t>KRAFT FOODS INC.</w:t>
      </w:r>
    </w:p>
    <w:p>
      <w:pPr>
        <w:spacing w:after="0" w:line="189" w:lineRule="exact"/>
        <w:rPr>
          <w:sz w:val="20"/>
          <w:szCs w:val="20"/>
          <w:color w:val="auto"/>
        </w:rPr>
      </w:pPr>
    </w:p>
    <w:p>
      <w:pPr>
        <w:ind w:left="5610"/>
        <w:spacing w:after="0"/>
        <w:tabs>
          <w:tab w:leader="none" w:pos="8009"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JAMES P. DOLLIVE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64770</wp:posOffset>
            </wp:positionV>
            <wp:extent cx="3270250" cy="196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270250" cy="19685"/>
                    </a:xfrm>
                    <a:prstGeom prst="rect">
                      <a:avLst/>
                    </a:prstGeom>
                    <a:noFill/>
                  </pic:spPr>
                </pic:pic>
              </a:graphicData>
            </a:graphic>
          </wp:anchor>
        </w:drawing>
      </w:r>
    </w:p>
    <w:p>
      <w:pPr>
        <w:spacing w:after="0" w:line="192" w:lineRule="exact"/>
        <w:rPr>
          <w:sz w:val="20"/>
          <w:szCs w:val="20"/>
          <w:color w:val="auto"/>
        </w:rPr>
      </w:pPr>
    </w:p>
    <w:p>
      <w:pPr>
        <w:jc w:val="center"/>
        <w:ind w:left="6300"/>
        <w:spacing w:after="0"/>
        <w:rPr>
          <w:sz w:val="20"/>
          <w:szCs w:val="20"/>
          <w:color w:val="auto"/>
        </w:rPr>
      </w:pPr>
      <w:r>
        <w:rPr>
          <w:rFonts w:ascii="Arial" w:cs="Arial" w:eastAsia="Arial" w:hAnsi="Arial"/>
          <w:sz w:val="15"/>
          <w:szCs w:val="15"/>
          <w:color w:val="auto"/>
        </w:rPr>
        <w:t>(James P. Dollive,</w:t>
      </w:r>
    </w:p>
    <w:p>
      <w:pPr>
        <w:spacing w:after="0" w:line="14" w:lineRule="exact"/>
        <w:rPr>
          <w:sz w:val="20"/>
          <w:szCs w:val="20"/>
          <w:color w:val="auto"/>
        </w:rPr>
      </w:pPr>
    </w:p>
    <w:p>
      <w:pPr>
        <w:jc w:val="center"/>
        <w:ind w:left="6300"/>
        <w:spacing w:after="0"/>
        <w:rPr>
          <w:sz w:val="20"/>
          <w:szCs w:val="20"/>
          <w:color w:val="auto"/>
        </w:rPr>
      </w:pPr>
      <w:r>
        <w:rPr>
          <w:rFonts w:ascii="Arial" w:cs="Arial" w:eastAsia="Arial" w:hAnsi="Arial"/>
          <w:sz w:val="15"/>
          <w:szCs w:val="15"/>
          <w:color w:val="auto"/>
        </w:rPr>
        <w:t>Senior Vice President</w:t>
      </w:r>
    </w:p>
    <w:p>
      <w:pPr>
        <w:spacing w:after="0" w:line="8" w:lineRule="exact"/>
        <w:rPr>
          <w:sz w:val="20"/>
          <w:szCs w:val="20"/>
          <w:color w:val="auto"/>
        </w:rPr>
      </w:pPr>
    </w:p>
    <w:p>
      <w:pPr>
        <w:jc w:val="center"/>
        <w:ind w:left="6300"/>
        <w:spacing w:after="0"/>
        <w:rPr>
          <w:sz w:val="20"/>
          <w:szCs w:val="20"/>
          <w:color w:val="auto"/>
        </w:rPr>
      </w:pPr>
      <w:r>
        <w:rPr>
          <w:rFonts w:ascii="Arial" w:cs="Arial" w:eastAsia="Arial" w:hAnsi="Arial"/>
          <w:sz w:val="15"/>
          <w:szCs w:val="15"/>
          <w:color w:val="auto"/>
        </w:rPr>
        <w:t>and Chief Financial Officer)</w:t>
      </w:r>
    </w:p>
    <w:p>
      <w:pPr>
        <w:spacing w:after="0" w:line="183" w:lineRule="exact"/>
        <w:rPr>
          <w:sz w:val="20"/>
          <w:szCs w:val="20"/>
          <w:color w:val="auto"/>
        </w:rPr>
      </w:pPr>
    </w:p>
    <w:p>
      <w:pPr>
        <w:ind w:left="10"/>
        <w:spacing w:after="0"/>
        <w:rPr>
          <w:sz w:val="20"/>
          <w:szCs w:val="20"/>
          <w:color w:val="auto"/>
        </w:rPr>
      </w:pPr>
      <w:r>
        <w:rPr>
          <w:rFonts w:ascii="Arial" w:cs="Arial" w:eastAsia="Arial" w:hAnsi="Arial"/>
          <w:sz w:val="15"/>
          <w:szCs w:val="15"/>
          <w:color w:val="auto"/>
        </w:rPr>
        <w:t>Date: March 25, 2003</w:t>
      </w:r>
    </w:p>
    <w:p>
      <w:pPr>
        <w:spacing w:after="0" w:line="185" w:lineRule="exact"/>
        <w:rPr>
          <w:sz w:val="20"/>
          <w:szCs w:val="20"/>
          <w:color w:val="auto"/>
        </w:rPr>
      </w:pPr>
    </w:p>
    <w:p>
      <w:pPr>
        <w:ind w:left="10" w:firstLine="294"/>
        <w:spacing w:after="0" w:line="277" w:lineRule="auto"/>
        <w:rPr>
          <w:sz w:val="20"/>
          <w:szCs w:val="20"/>
          <w:color w:val="auto"/>
        </w:rPr>
      </w:pPr>
      <w:r>
        <w:rPr>
          <w:rFonts w:ascii="Arial" w:cs="Arial" w:eastAsia="Arial" w:hAnsi="Arial"/>
          <w:sz w:val="15"/>
          <w:szCs w:val="15"/>
          <w:b w:val="1"/>
          <w:bCs w:val="1"/>
          <w:color w:val="auto"/>
        </w:rPr>
        <w:t>Pursuant to the requirements of the Securities Exchange Act of 1934, this report has been signed below by the following persons on behalf of the registrant and in the capacities and on the date indicated:</w:t>
      </w:r>
    </w:p>
    <w:p>
      <w:pPr>
        <w:spacing w:after="0" w:line="145" w:lineRule="exact"/>
        <w:rPr>
          <w:sz w:val="20"/>
          <w:szCs w:val="20"/>
          <w:color w:val="auto"/>
        </w:rPr>
      </w:pPr>
    </w:p>
    <w:p>
      <w:pPr>
        <w:ind w:left="2390"/>
        <w:spacing w:after="0"/>
        <w:tabs>
          <w:tab w:leader="none" w:pos="7149" w:val="left"/>
          <w:tab w:leader="none" w:pos="10229" w:val="left"/>
        </w:tabs>
        <w:rPr>
          <w:sz w:val="20"/>
          <w:szCs w:val="20"/>
          <w:color w:val="auto"/>
        </w:rPr>
      </w:pPr>
      <w:r>
        <w:rPr>
          <w:rFonts w:ascii="Arial" w:cs="Arial" w:eastAsia="Arial" w:hAnsi="Arial"/>
          <w:sz w:val="11"/>
          <w:szCs w:val="11"/>
          <w:b w:val="1"/>
          <w:bCs w:val="1"/>
          <w:color w:val="auto"/>
        </w:rPr>
        <w:t>Signature</w:t>
      </w:r>
      <w:r>
        <w:rPr>
          <w:sz w:val="20"/>
          <w:szCs w:val="20"/>
          <w:color w:val="auto"/>
        </w:rPr>
        <w:tab/>
      </w:r>
      <w:r>
        <w:rPr>
          <w:rFonts w:ascii="Arial" w:cs="Arial" w:eastAsia="Arial" w:hAnsi="Arial"/>
          <w:sz w:val="11"/>
          <w:szCs w:val="11"/>
          <w:b w:val="1"/>
          <w:bCs w:val="1"/>
          <w:color w:val="auto"/>
        </w:rPr>
        <w:t>Title</w:t>
      </w:r>
      <w:r>
        <w:rPr>
          <w:sz w:val="20"/>
          <w:szCs w:val="20"/>
          <w:color w:val="auto"/>
        </w:rPr>
        <w:tab/>
      </w: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60325</wp:posOffset>
            </wp:positionV>
            <wp:extent cx="7274560" cy="196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tbl>
      <w:tblPr>
        <w:tblLayout w:type="fixed"/>
        <w:tblInd w:w="10" w:type="dxa"/>
        <w:tblCellMar>
          <w:top w:w="0" w:type="dxa"/>
          <w:left w:w="0" w:type="dxa"/>
          <w:bottom w:w="0" w:type="dxa"/>
          <w:right w:w="0" w:type="dxa"/>
        </w:tblCellMar>
      </w:tblPr>
      <w:tr>
        <w:trPr>
          <w:trHeight w:val="181"/>
        </w:trPr>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0" w:type="dxa"/>
            <w:vAlign w:val="bottom"/>
          </w:tcPr>
          <w:p>
            <w:pPr>
              <w:jc w:val="center"/>
              <w:ind w:right="827"/>
              <w:spacing w:after="0"/>
              <w:rPr>
                <w:sz w:val="20"/>
                <w:szCs w:val="20"/>
                <w:color w:val="auto"/>
              </w:rPr>
            </w:pPr>
            <w:r>
              <w:rPr>
                <w:rFonts w:ascii="Arial" w:cs="Arial" w:eastAsia="Arial" w:hAnsi="Arial"/>
                <w:sz w:val="15"/>
                <w:szCs w:val="15"/>
                <w:color w:val="auto"/>
                <w:w w:val="95"/>
              </w:rPr>
              <w:t>/s/ ROGER K. DEROMEDI</w:t>
            </w:r>
          </w:p>
        </w:tc>
        <w:tc>
          <w:tcPr>
            <w:tcW w:w="160" w:type="dxa"/>
            <w:vAlign w:val="bottom"/>
          </w:tcPr>
          <w:p>
            <w:pPr>
              <w:spacing w:after="0"/>
              <w:rPr>
                <w:sz w:val="15"/>
                <w:szCs w:val="15"/>
                <w:color w:val="auto"/>
              </w:rPr>
            </w:pPr>
          </w:p>
        </w:tc>
        <w:tc>
          <w:tcPr>
            <w:tcW w:w="3640" w:type="dxa"/>
            <w:vAlign w:val="bottom"/>
          </w:tcPr>
          <w:p>
            <w:pPr>
              <w:ind w:left="180"/>
              <w:spacing w:after="0"/>
              <w:rPr>
                <w:sz w:val="20"/>
                <w:szCs w:val="20"/>
                <w:color w:val="auto"/>
              </w:rPr>
            </w:pPr>
            <w:r>
              <w:rPr>
                <w:rFonts w:ascii="Arial" w:cs="Arial" w:eastAsia="Arial" w:hAnsi="Arial"/>
                <w:sz w:val="15"/>
                <w:szCs w:val="15"/>
                <w:color w:val="auto"/>
                <w:w w:val="93"/>
              </w:rPr>
              <w:t>Director, Co-Chief Executive Officer; and President and</w:t>
            </w:r>
          </w:p>
        </w:tc>
        <w:tc>
          <w:tcPr>
            <w:tcW w:w="1140" w:type="dxa"/>
            <w:vAlign w:val="bottom"/>
          </w:tcPr>
          <w:p>
            <w:pPr>
              <w:ind w:left="200"/>
              <w:spacing w:after="0"/>
              <w:rPr>
                <w:sz w:val="20"/>
                <w:szCs w:val="20"/>
                <w:color w:val="auto"/>
              </w:rPr>
            </w:pPr>
            <w:r>
              <w:rPr>
                <w:rFonts w:ascii="Arial" w:cs="Arial" w:eastAsia="Arial" w:hAnsi="Arial"/>
                <w:sz w:val="15"/>
                <w:szCs w:val="15"/>
                <w:color w:val="auto"/>
                <w:w w:val="88"/>
              </w:rPr>
              <w:t>March 25, 2003</w:t>
            </w:r>
          </w:p>
        </w:tc>
        <w:tc>
          <w:tcPr>
            <w:tcW w:w="0" w:type="dxa"/>
            <w:vAlign w:val="bottom"/>
          </w:tcPr>
          <w:p>
            <w:pPr>
              <w:spacing w:after="0"/>
              <w:rPr>
                <w:sz w:val="1"/>
                <w:szCs w:val="1"/>
                <w:color w:val="auto"/>
              </w:rPr>
            </w:pPr>
          </w:p>
        </w:tc>
      </w:tr>
      <w:tr>
        <w:trPr>
          <w:trHeight w:val="105"/>
        </w:trPr>
        <w:tc>
          <w:tcPr>
            <w:tcW w:w="4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600" w:type="dxa"/>
            <w:vAlign w:val="bottom"/>
            <w:tcBorders>
              <w:bottom w:val="single" w:sz="8" w:color="808080"/>
            </w:tcBorders>
          </w:tcPr>
          <w:p>
            <w:pPr>
              <w:spacing w:after="0"/>
              <w:rPr>
                <w:sz w:val="9"/>
                <w:szCs w:val="9"/>
                <w:color w:val="auto"/>
              </w:rPr>
            </w:pPr>
          </w:p>
        </w:tc>
        <w:tc>
          <w:tcPr>
            <w:tcW w:w="160" w:type="dxa"/>
            <w:vAlign w:val="bottom"/>
            <w:vMerge w:val="restart"/>
          </w:tcPr>
          <w:p>
            <w:pPr>
              <w:spacing w:after="0"/>
              <w:rPr>
                <w:sz w:val="9"/>
                <w:szCs w:val="9"/>
                <w:color w:val="auto"/>
              </w:rPr>
            </w:pPr>
          </w:p>
        </w:tc>
        <w:tc>
          <w:tcPr>
            <w:tcW w:w="3640" w:type="dxa"/>
            <w:vAlign w:val="bottom"/>
            <w:vMerge w:val="restart"/>
          </w:tcPr>
          <w:p>
            <w:pPr>
              <w:ind w:left="180"/>
              <w:spacing w:after="0"/>
              <w:rPr>
                <w:sz w:val="20"/>
                <w:szCs w:val="20"/>
                <w:color w:val="auto"/>
              </w:rPr>
            </w:pPr>
            <w:r>
              <w:rPr>
                <w:rFonts w:ascii="Arial" w:cs="Arial" w:eastAsia="Arial" w:hAnsi="Arial"/>
                <w:sz w:val="15"/>
                <w:szCs w:val="15"/>
                <w:color w:val="auto"/>
              </w:rPr>
              <w:t>Chief Executive Officer, Kraft Foods International</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0" w:type="dxa"/>
            <w:vAlign w:val="bottom"/>
            <w:vMerge w:val="restart"/>
          </w:tcPr>
          <w:p>
            <w:pPr>
              <w:jc w:val="center"/>
              <w:ind w:right="587"/>
              <w:spacing w:after="0"/>
              <w:rPr>
                <w:sz w:val="20"/>
                <w:szCs w:val="20"/>
                <w:color w:val="auto"/>
              </w:rPr>
            </w:pPr>
            <w:r>
              <w:rPr>
                <w:rFonts w:ascii="Arial" w:cs="Arial" w:eastAsia="Arial" w:hAnsi="Arial"/>
                <w:sz w:val="15"/>
                <w:szCs w:val="15"/>
                <w:color w:val="auto"/>
                <w:w w:val="91"/>
              </w:rPr>
              <w:t>(Roger K. Deromedi)</w:t>
            </w:r>
          </w:p>
        </w:tc>
        <w:tc>
          <w:tcPr>
            <w:tcW w:w="160" w:type="dxa"/>
            <w:vAlign w:val="bottom"/>
            <w:vMerge w:val="continue"/>
          </w:tcPr>
          <w:p>
            <w:pPr>
              <w:spacing w:after="0"/>
              <w:rPr>
                <w:sz w:val="5"/>
                <w:szCs w:val="5"/>
                <w:color w:val="auto"/>
              </w:rPr>
            </w:pPr>
          </w:p>
        </w:tc>
        <w:tc>
          <w:tcPr>
            <w:tcW w:w="36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6"/>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0" w:type="dxa"/>
            <w:vAlign w:val="bottom"/>
          </w:tcPr>
          <w:p>
            <w:pPr>
              <w:jc w:val="center"/>
              <w:ind w:right="827"/>
              <w:spacing w:after="0"/>
              <w:rPr>
                <w:sz w:val="20"/>
                <w:szCs w:val="20"/>
                <w:color w:val="auto"/>
              </w:rPr>
            </w:pPr>
            <w:r>
              <w:rPr>
                <w:rFonts w:ascii="Arial" w:cs="Arial" w:eastAsia="Arial" w:hAnsi="Arial"/>
                <w:sz w:val="15"/>
                <w:szCs w:val="15"/>
                <w:color w:val="auto"/>
                <w:w w:val="96"/>
              </w:rPr>
              <w:t>/s/ BETSY D. HOLDEN</w:t>
            </w:r>
          </w:p>
        </w:tc>
        <w:tc>
          <w:tcPr>
            <w:tcW w:w="160" w:type="dxa"/>
            <w:vAlign w:val="bottom"/>
          </w:tcPr>
          <w:p>
            <w:pPr>
              <w:spacing w:after="0"/>
              <w:rPr>
                <w:sz w:val="24"/>
                <w:szCs w:val="24"/>
                <w:color w:val="auto"/>
              </w:rPr>
            </w:pPr>
          </w:p>
        </w:tc>
        <w:tc>
          <w:tcPr>
            <w:tcW w:w="3640" w:type="dxa"/>
            <w:vAlign w:val="bottom"/>
          </w:tcPr>
          <w:p>
            <w:pPr>
              <w:ind w:left="180"/>
              <w:spacing w:after="0"/>
              <w:rPr>
                <w:sz w:val="20"/>
                <w:szCs w:val="20"/>
                <w:color w:val="auto"/>
              </w:rPr>
            </w:pPr>
            <w:r>
              <w:rPr>
                <w:rFonts w:ascii="Arial" w:cs="Arial" w:eastAsia="Arial" w:hAnsi="Arial"/>
                <w:sz w:val="15"/>
                <w:szCs w:val="15"/>
                <w:color w:val="auto"/>
                <w:w w:val="93"/>
              </w:rPr>
              <w:t>Director, Co-Chief Executive Officer; and President and</w:t>
            </w:r>
          </w:p>
        </w:tc>
        <w:tc>
          <w:tcPr>
            <w:tcW w:w="1140" w:type="dxa"/>
            <w:vAlign w:val="bottom"/>
          </w:tcPr>
          <w:p>
            <w:pPr>
              <w:ind w:left="200"/>
              <w:spacing w:after="0"/>
              <w:rPr>
                <w:sz w:val="20"/>
                <w:szCs w:val="20"/>
                <w:color w:val="auto"/>
              </w:rPr>
            </w:pPr>
            <w:r>
              <w:rPr>
                <w:rFonts w:ascii="Arial" w:cs="Arial" w:eastAsia="Arial" w:hAnsi="Arial"/>
                <w:sz w:val="15"/>
                <w:szCs w:val="15"/>
                <w:color w:val="auto"/>
                <w:w w:val="88"/>
              </w:rPr>
              <w:t>March 25, 2003</w:t>
            </w:r>
          </w:p>
        </w:tc>
        <w:tc>
          <w:tcPr>
            <w:tcW w:w="0" w:type="dxa"/>
            <w:vAlign w:val="bottom"/>
          </w:tcPr>
          <w:p>
            <w:pPr>
              <w:spacing w:after="0"/>
              <w:rPr>
                <w:sz w:val="1"/>
                <w:szCs w:val="1"/>
                <w:color w:val="auto"/>
              </w:rPr>
            </w:pPr>
          </w:p>
        </w:tc>
      </w:tr>
      <w:tr>
        <w:trPr>
          <w:trHeight w:val="105"/>
        </w:trPr>
        <w:tc>
          <w:tcPr>
            <w:tcW w:w="4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600" w:type="dxa"/>
            <w:vAlign w:val="bottom"/>
            <w:tcBorders>
              <w:bottom w:val="single" w:sz="8" w:color="808080"/>
            </w:tcBorders>
          </w:tcPr>
          <w:p>
            <w:pPr>
              <w:spacing w:after="0"/>
              <w:rPr>
                <w:sz w:val="9"/>
                <w:szCs w:val="9"/>
                <w:color w:val="auto"/>
              </w:rPr>
            </w:pPr>
          </w:p>
        </w:tc>
        <w:tc>
          <w:tcPr>
            <w:tcW w:w="160" w:type="dxa"/>
            <w:vAlign w:val="bottom"/>
            <w:vMerge w:val="restart"/>
          </w:tcPr>
          <w:p>
            <w:pPr>
              <w:spacing w:after="0"/>
              <w:rPr>
                <w:sz w:val="9"/>
                <w:szCs w:val="9"/>
                <w:color w:val="auto"/>
              </w:rPr>
            </w:pPr>
          </w:p>
        </w:tc>
        <w:tc>
          <w:tcPr>
            <w:tcW w:w="3640" w:type="dxa"/>
            <w:vAlign w:val="bottom"/>
            <w:vMerge w:val="restart"/>
          </w:tcPr>
          <w:p>
            <w:pPr>
              <w:ind w:left="180"/>
              <w:spacing w:after="0"/>
              <w:rPr>
                <w:sz w:val="20"/>
                <w:szCs w:val="20"/>
                <w:color w:val="auto"/>
              </w:rPr>
            </w:pPr>
            <w:r>
              <w:rPr>
                <w:rFonts w:ascii="Arial" w:cs="Arial" w:eastAsia="Arial" w:hAnsi="Arial"/>
                <w:sz w:val="15"/>
                <w:szCs w:val="15"/>
                <w:color w:val="auto"/>
              </w:rPr>
              <w:t>Chief Executive Officer, Kraft Foods North America</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0" w:type="dxa"/>
            <w:vAlign w:val="bottom"/>
            <w:vMerge w:val="restart"/>
          </w:tcPr>
          <w:p>
            <w:pPr>
              <w:jc w:val="center"/>
              <w:ind w:right="607"/>
              <w:spacing w:after="0"/>
              <w:rPr>
                <w:sz w:val="20"/>
                <w:szCs w:val="20"/>
                <w:color w:val="auto"/>
              </w:rPr>
            </w:pPr>
            <w:r>
              <w:rPr>
                <w:rFonts w:ascii="Arial" w:cs="Arial" w:eastAsia="Arial" w:hAnsi="Arial"/>
                <w:sz w:val="15"/>
                <w:szCs w:val="15"/>
                <w:color w:val="auto"/>
                <w:w w:val="91"/>
              </w:rPr>
              <w:t>(Betsy D. Holden)</w:t>
            </w:r>
          </w:p>
        </w:tc>
        <w:tc>
          <w:tcPr>
            <w:tcW w:w="160" w:type="dxa"/>
            <w:vAlign w:val="bottom"/>
            <w:vMerge w:val="continue"/>
          </w:tcPr>
          <w:p>
            <w:pPr>
              <w:spacing w:after="0"/>
              <w:rPr>
                <w:sz w:val="5"/>
                <w:szCs w:val="5"/>
                <w:color w:val="auto"/>
              </w:rPr>
            </w:pPr>
          </w:p>
        </w:tc>
        <w:tc>
          <w:tcPr>
            <w:tcW w:w="36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2"/>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0" w:type="dxa"/>
            <w:vAlign w:val="bottom"/>
          </w:tcPr>
          <w:p>
            <w:pPr>
              <w:jc w:val="center"/>
              <w:ind w:right="827"/>
              <w:spacing w:after="0"/>
              <w:rPr>
                <w:sz w:val="20"/>
                <w:szCs w:val="20"/>
                <w:color w:val="auto"/>
              </w:rPr>
            </w:pPr>
            <w:r>
              <w:rPr>
                <w:rFonts w:ascii="Arial" w:cs="Arial" w:eastAsia="Arial" w:hAnsi="Arial"/>
                <w:sz w:val="15"/>
                <w:szCs w:val="15"/>
                <w:color w:val="auto"/>
                <w:w w:val="96"/>
              </w:rPr>
              <w:t>/s/ JAMES P. DOLLIVE</w:t>
            </w:r>
          </w:p>
        </w:tc>
        <w:tc>
          <w:tcPr>
            <w:tcW w:w="160" w:type="dxa"/>
            <w:vAlign w:val="bottom"/>
          </w:tcPr>
          <w:p>
            <w:pPr>
              <w:spacing w:after="0"/>
              <w:rPr>
                <w:sz w:val="24"/>
                <w:szCs w:val="24"/>
                <w:color w:val="auto"/>
              </w:rPr>
            </w:pPr>
          </w:p>
        </w:tc>
        <w:tc>
          <w:tcPr>
            <w:tcW w:w="3640" w:type="dxa"/>
            <w:vAlign w:val="bottom"/>
          </w:tcPr>
          <w:p>
            <w:pPr>
              <w:ind w:left="180"/>
              <w:spacing w:after="0"/>
              <w:rPr>
                <w:sz w:val="20"/>
                <w:szCs w:val="20"/>
                <w:color w:val="auto"/>
              </w:rPr>
            </w:pPr>
            <w:r>
              <w:rPr>
                <w:rFonts w:ascii="Arial" w:cs="Arial" w:eastAsia="Arial" w:hAnsi="Arial"/>
                <w:sz w:val="15"/>
                <w:szCs w:val="15"/>
                <w:color w:val="auto"/>
              </w:rPr>
              <w:t>Senior Vice President and Chief Financial Officer</w:t>
            </w:r>
          </w:p>
        </w:tc>
        <w:tc>
          <w:tcPr>
            <w:tcW w:w="1140" w:type="dxa"/>
            <w:vAlign w:val="bottom"/>
          </w:tcPr>
          <w:p>
            <w:pPr>
              <w:ind w:left="200"/>
              <w:spacing w:after="0"/>
              <w:rPr>
                <w:sz w:val="20"/>
                <w:szCs w:val="20"/>
                <w:color w:val="auto"/>
              </w:rPr>
            </w:pPr>
            <w:r>
              <w:rPr>
                <w:rFonts w:ascii="Arial" w:cs="Arial" w:eastAsia="Arial" w:hAnsi="Arial"/>
                <w:sz w:val="15"/>
                <w:szCs w:val="15"/>
                <w:color w:val="auto"/>
                <w:w w:val="88"/>
              </w:rPr>
              <w:t>March 25, 2003</w:t>
            </w:r>
          </w:p>
        </w:tc>
        <w:tc>
          <w:tcPr>
            <w:tcW w:w="0" w:type="dxa"/>
            <w:vAlign w:val="bottom"/>
          </w:tcPr>
          <w:p>
            <w:pPr>
              <w:spacing w:after="0"/>
              <w:rPr>
                <w:sz w:val="1"/>
                <w:szCs w:val="1"/>
                <w:color w:val="auto"/>
              </w:rPr>
            </w:pPr>
          </w:p>
        </w:tc>
      </w:tr>
      <w:tr>
        <w:trPr>
          <w:trHeight w:val="99"/>
        </w:trPr>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6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0" w:type="dxa"/>
            <w:vAlign w:val="bottom"/>
          </w:tcPr>
          <w:p>
            <w:pPr>
              <w:jc w:val="center"/>
              <w:ind w:right="607"/>
              <w:spacing w:after="0"/>
              <w:rPr>
                <w:sz w:val="20"/>
                <w:szCs w:val="20"/>
                <w:color w:val="auto"/>
              </w:rPr>
            </w:pPr>
            <w:r>
              <w:rPr>
                <w:rFonts w:ascii="Arial" w:cs="Arial" w:eastAsia="Arial" w:hAnsi="Arial"/>
                <w:sz w:val="15"/>
                <w:szCs w:val="15"/>
                <w:color w:val="auto"/>
                <w:w w:val="88"/>
              </w:rPr>
              <w:t>(James P. Dollive)</w:t>
            </w:r>
          </w:p>
        </w:tc>
        <w:tc>
          <w:tcPr>
            <w:tcW w:w="1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2"/>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0" w:type="dxa"/>
            <w:vAlign w:val="bottom"/>
          </w:tcPr>
          <w:p>
            <w:pPr>
              <w:jc w:val="center"/>
              <w:ind w:right="827"/>
              <w:spacing w:after="0"/>
              <w:rPr>
                <w:sz w:val="20"/>
                <w:szCs w:val="20"/>
                <w:color w:val="auto"/>
              </w:rPr>
            </w:pPr>
            <w:r>
              <w:rPr>
                <w:rFonts w:ascii="Arial" w:cs="Arial" w:eastAsia="Arial" w:hAnsi="Arial"/>
                <w:sz w:val="15"/>
                <w:szCs w:val="15"/>
                <w:color w:val="auto"/>
                <w:w w:val="95"/>
              </w:rPr>
              <w:t>/s/ JOHN F. MOWRER III</w:t>
            </w:r>
          </w:p>
        </w:tc>
        <w:tc>
          <w:tcPr>
            <w:tcW w:w="160" w:type="dxa"/>
            <w:vAlign w:val="bottom"/>
          </w:tcPr>
          <w:p>
            <w:pPr>
              <w:spacing w:after="0"/>
              <w:rPr>
                <w:sz w:val="24"/>
                <w:szCs w:val="24"/>
                <w:color w:val="auto"/>
              </w:rPr>
            </w:pPr>
          </w:p>
        </w:tc>
        <w:tc>
          <w:tcPr>
            <w:tcW w:w="3640" w:type="dxa"/>
            <w:vAlign w:val="bottom"/>
          </w:tcPr>
          <w:p>
            <w:pPr>
              <w:ind w:left="180"/>
              <w:spacing w:after="0"/>
              <w:rPr>
                <w:sz w:val="20"/>
                <w:szCs w:val="20"/>
                <w:color w:val="auto"/>
              </w:rPr>
            </w:pPr>
            <w:r>
              <w:rPr>
                <w:rFonts w:ascii="Arial" w:cs="Arial" w:eastAsia="Arial" w:hAnsi="Arial"/>
                <w:sz w:val="15"/>
                <w:szCs w:val="15"/>
                <w:color w:val="auto"/>
              </w:rPr>
              <w:t>Vice President and Controller</w:t>
            </w:r>
          </w:p>
        </w:tc>
        <w:tc>
          <w:tcPr>
            <w:tcW w:w="1140" w:type="dxa"/>
            <w:vAlign w:val="bottom"/>
          </w:tcPr>
          <w:p>
            <w:pPr>
              <w:ind w:left="200"/>
              <w:spacing w:after="0"/>
              <w:rPr>
                <w:sz w:val="20"/>
                <w:szCs w:val="20"/>
                <w:color w:val="auto"/>
              </w:rPr>
            </w:pPr>
            <w:r>
              <w:rPr>
                <w:rFonts w:ascii="Arial" w:cs="Arial" w:eastAsia="Arial" w:hAnsi="Arial"/>
                <w:sz w:val="15"/>
                <w:szCs w:val="15"/>
                <w:color w:val="auto"/>
                <w:w w:val="88"/>
              </w:rPr>
              <w:t>March 25, 2003</w:t>
            </w:r>
          </w:p>
        </w:tc>
        <w:tc>
          <w:tcPr>
            <w:tcW w:w="0" w:type="dxa"/>
            <w:vAlign w:val="bottom"/>
          </w:tcPr>
          <w:p>
            <w:pPr>
              <w:spacing w:after="0"/>
              <w:rPr>
                <w:sz w:val="1"/>
                <w:szCs w:val="1"/>
                <w:color w:val="auto"/>
              </w:rPr>
            </w:pPr>
          </w:p>
        </w:tc>
      </w:tr>
      <w:tr>
        <w:trPr>
          <w:trHeight w:val="99"/>
        </w:trPr>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6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0" w:type="dxa"/>
            <w:vAlign w:val="bottom"/>
          </w:tcPr>
          <w:p>
            <w:pPr>
              <w:jc w:val="center"/>
              <w:ind w:right="607"/>
              <w:spacing w:after="0"/>
              <w:rPr>
                <w:sz w:val="20"/>
                <w:szCs w:val="20"/>
                <w:color w:val="auto"/>
              </w:rPr>
            </w:pPr>
            <w:r>
              <w:rPr>
                <w:rFonts w:ascii="Arial" w:cs="Arial" w:eastAsia="Arial" w:hAnsi="Arial"/>
                <w:sz w:val="15"/>
                <w:szCs w:val="15"/>
                <w:color w:val="auto"/>
                <w:w w:val="91"/>
              </w:rPr>
              <w:t>(John F. Mowrer III)</w:t>
            </w:r>
          </w:p>
        </w:tc>
        <w:tc>
          <w:tcPr>
            <w:tcW w:w="1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5260" w:type="dxa"/>
            <w:vAlign w:val="bottom"/>
            <w:gridSpan w:val="3"/>
          </w:tcPr>
          <w:p>
            <w:pPr>
              <w:spacing w:after="0"/>
              <w:rPr>
                <w:sz w:val="20"/>
                <w:szCs w:val="20"/>
                <w:color w:val="auto"/>
              </w:rPr>
            </w:pPr>
            <w:r>
              <w:rPr>
                <w:rFonts w:ascii="Arial" w:cs="Arial" w:eastAsia="Arial" w:hAnsi="Arial"/>
                <w:sz w:val="15"/>
                <w:szCs w:val="15"/>
                <w:color w:val="auto"/>
              </w:rPr>
              <w:t>*LOUIS C. CAMILLERI,</w:t>
            </w:r>
          </w:p>
        </w:tc>
        <w:tc>
          <w:tcPr>
            <w:tcW w:w="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20" w:type="dxa"/>
            <w:vAlign w:val="bottom"/>
          </w:tcPr>
          <w:p>
            <w:pPr>
              <w:spacing w:after="0"/>
              <w:rPr>
                <w:sz w:val="15"/>
                <w:szCs w:val="15"/>
                <w:color w:val="auto"/>
              </w:rPr>
            </w:pPr>
          </w:p>
        </w:tc>
        <w:tc>
          <w:tcPr>
            <w:tcW w:w="4840" w:type="dxa"/>
            <w:vAlign w:val="bottom"/>
            <w:gridSpan w:val="2"/>
          </w:tcPr>
          <w:p>
            <w:pPr>
              <w:ind w:left="160"/>
              <w:spacing w:after="0"/>
              <w:rPr>
                <w:sz w:val="20"/>
                <w:szCs w:val="20"/>
                <w:color w:val="auto"/>
              </w:rPr>
            </w:pPr>
            <w:r>
              <w:rPr>
                <w:rFonts w:ascii="Arial" w:cs="Arial" w:eastAsia="Arial" w:hAnsi="Arial"/>
                <w:sz w:val="15"/>
                <w:szCs w:val="15"/>
                <w:color w:val="auto"/>
              </w:rPr>
              <w:t>DINYAR S. DEVITRE,</w:t>
            </w:r>
          </w:p>
        </w:tc>
        <w:tc>
          <w:tcPr>
            <w:tcW w:w="1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0" w:type="dxa"/>
            <w:vAlign w:val="bottom"/>
          </w:tcPr>
          <w:p>
            <w:pPr>
              <w:spacing w:after="0"/>
              <w:rPr>
                <w:sz w:val="15"/>
                <w:szCs w:val="15"/>
                <w:color w:val="auto"/>
              </w:rPr>
            </w:pPr>
          </w:p>
        </w:tc>
        <w:tc>
          <w:tcPr>
            <w:tcW w:w="4840" w:type="dxa"/>
            <w:vAlign w:val="bottom"/>
            <w:gridSpan w:val="2"/>
          </w:tcPr>
          <w:p>
            <w:pPr>
              <w:ind w:left="160"/>
              <w:spacing w:after="0"/>
              <w:rPr>
                <w:sz w:val="20"/>
                <w:szCs w:val="20"/>
                <w:color w:val="auto"/>
              </w:rPr>
            </w:pPr>
            <w:r>
              <w:rPr>
                <w:rFonts w:ascii="Arial" w:cs="Arial" w:eastAsia="Arial" w:hAnsi="Arial"/>
                <w:sz w:val="15"/>
                <w:szCs w:val="15"/>
                <w:color w:val="auto"/>
              </w:rPr>
              <w:t>W. JAMES FARRELL,</w:t>
            </w:r>
          </w:p>
        </w:tc>
        <w:tc>
          <w:tcPr>
            <w:tcW w:w="1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0" w:type="dxa"/>
            <w:vAlign w:val="bottom"/>
          </w:tcPr>
          <w:p>
            <w:pPr>
              <w:spacing w:after="0"/>
              <w:rPr>
                <w:sz w:val="15"/>
                <w:szCs w:val="15"/>
                <w:color w:val="auto"/>
              </w:rPr>
            </w:pPr>
          </w:p>
        </w:tc>
        <w:tc>
          <w:tcPr>
            <w:tcW w:w="4840" w:type="dxa"/>
            <w:vAlign w:val="bottom"/>
            <w:gridSpan w:val="2"/>
          </w:tcPr>
          <w:p>
            <w:pPr>
              <w:ind w:left="160"/>
              <w:spacing w:after="0"/>
              <w:rPr>
                <w:sz w:val="20"/>
                <w:szCs w:val="20"/>
                <w:color w:val="auto"/>
              </w:rPr>
            </w:pPr>
            <w:r>
              <w:rPr>
                <w:rFonts w:ascii="Arial" w:cs="Arial" w:eastAsia="Arial" w:hAnsi="Arial"/>
                <w:sz w:val="15"/>
                <w:szCs w:val="15"/>
                <w:color w:val="auto"/>
              </w:rPr>
              <w:t>JOHN C. POPE,</w:t>
            </w:r>
          </w:p>
        </w:tc>
        <w:tc>
          <w:tcPr>
            <w:tcW w:w="1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0" w:type="dxa"/>
            <w:vAlign w:val="bottom"/>
          </w:tcPr>
          <w:p>
            <w:pPr>
              <w:spacing w:after="0"/>
              <w:rPr>
                <w:sz w:val="15"/>
                <w:szCs w:val="15"/>
                <w:color w:val="auto"/>
              </w:rPr>
            </w:pPr>
          </w:p>
        </w:tc>
        <w:tc>
          <w:tcPr>
            <w:tcW w:w="4840" w:type="dxa"/>
            <w:vAlign w:val="bottom"/>
            <w:gridSpan w:val="2"/>
          </w:tcPr>
          <w:p>
            <w:pPr>
              <w:ind w:left="160"/>
              <w:spacing w:after="0"/>
              <w:rPr>
                <w:sz w:val="20"/>
                <w:szCs w:val="20"/>
                <w:color w:val="auto"/>
              </w:rPr>
            </w:pPr>
            <w:r>
              <w:rPr>
                <w:rFonts w:ascii="Arial" w:cs="Arial" w:eastAsia="Arial" w:hAnsi="Arial"/>
                <w:sz w:val="15"/>
                <w:szCs w:val="15"/>
                <w:color w:val="auto"/>
              </w:rPr>
              <w:t>MARY L. SCHAPIRO,</w:t>
            </w:r>
          </w:p>
        </w:tc>
        <w:tc>
          <w:tcPr>
            <w:tcW w:w="1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0" w:type="dxa"/>
            <w:vAlign w:val="bottom"/>
          </w:tcPr>
          <w:p>
            <w:pPr>
              <w:spacing w:after="0"/>
              <w:rPr>
                <w:sz w:val="15"/>
                <w:szCs w:val="15"/>
                <w:color w:val="auto"/>
              </w:rPr>
            </w:pPr>
          </w:p>
        </w:tc>
        <w:tc>
          <w:tcPr>
            <w:tcW w:w="4840" w:type="dxa"/>
            <w:vAlign w:val="bottom"/>
            <w:gridSpan w:val="2"/>
          </w:tcPr>
          <w:p>
            <w:pPr>
              <w:ind w:left="160"/>
              <w:spacing w:after="0"/>
              <w:rPr>
                <w:sz w:val="20"/>
                <w:szCs w:val="20"/>
                <w:color w:val="auto"/>
              </w:rPr>
            </w:pPr>
            <w:r>
              <w:rPr>
                <w:rFonts w:ascii="Arial" w:cs="Arial" w:eastAsia="Arial" w:hAnsi="Arial"/>
                <w:sz w:val="15"/>
                <w:szCs w:val="15"/>
                <w:color w:val="auto"/>
              </w:rPr>
              <w:t>CHARLES R. WALL,</w:t>
            </w:r>
          </w:p>
        </w:tc>
        <w:tc>
          <w:tcPr>
            <w:tcW w:w="1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4840" w:type="dxa"/>
            <w:vAlign w:val="bottom"/>
            <w:gridSpan w:val="2"/>
          </w:tcPr>
          <w:p>
            <w:pPr>
              <w:ind w:left="160"/>
              <w:spacing w:after="0"/>
              <w:rPr>
                <w:sz w:val="20"/>
                <w:szCs w:val="20"/>
                <w:color w:val="auto"/>
              </w:rPr>
            </w:pPr>
            <w:r>
              <w:rPr>
                <w:rFonts w:ascii="Arial" w:cs="Arial" w:eastAsia="Arial" w:hAnsi="Arial"/>
                <w:sz w:val="15"/>
                <w:szCs w:val="15"/>
                <w:color w:val="auto"/>
              </w:rPr>
              <w:t>DEBORAH C. WRIGHT</w:t>
            </w:r>
          </w:p>
        </w:tc>
        <w:tc>
          <w:tcPr>
            <w:tcW w:w="160" w:type="dxa"/>
            <w:vAlign w:val="bottom"/>
          </w:tcPr>
          <w:p>
            <w:pPr>
              <w:spacing w:after="0"/>
              <w:rPr>
                <w:sz w:val="16"/>
                <w:szCs w:val="16"/>
                <w:color w:val="auto"/>
              </w:rPr>
            </w:pPr>
          </w:p>
        </w:tc>
        <w:tc>
          <w:tcPr>
            <w:tcW w:w="3640" w:type="dxa"/>
            <w:vAlign w:val="bottom"/>
          </w:tcPr>
          <w:p>
            <w:pPr>
              <w:ind w:left="180"/>
              <w:spacing w:after="0"/>
              <w:rPr>
                <w:sz w:val="20"/>
                <w:szCs w:val="20"/>
                <w:color w:val="auto"/>
              </w:rPr>
            </w:pPr>
            <w:r>
              <w:rPr>
                <w:rFonts w:ascii="Arial" w:cs="Arial" w:eastAsia="Arial" w:hAnsi="Arial"/>
                <w:sz w:val="15"/>
                <w:szCs w:val="15"/>
                <w:color w:val="auto"/>
              </w:rPr>
              <w:t>Directors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420" w:type="dxa"/>
            <w:vAlign w:val="bottom"/>
          </w:tcPr>
          <w:p>
            <w:pPr>
              <w:spacing w:after="0"/>
              <w:rPr>
                <w:sz w:val="20"/>
                <w:szCs w:val="20"/>
                <w:color w:val="auto"/>
              </w:rPr>
            </w:pPr>
            <w:r>
              <w:rPr>
                <w:rFonts w:ascii="Arial" w:cs="Arial" w:eastAsia="Arial" w:hAnsi="Arial"/>
                <w:sz w:val="15"/>
                <w:szCs w:val="15"/>
                <w:color w:val="auto"/>
              </w:rPr>
              <w:t>*By:</w:t>
            </w:r>
          </w:p>
        </w:tc>
        <w:tc>
          <w:tcPr>
            <w:tcW w:w="240" w:type="dxa"/>
            <w:vAlign w:val="bottom"/>
          </w:tcPr>
          <w:p>
            <w:pPr>
              <w:spacing w:after="0"/>
              <w:rPr>
                <w:sz w:val="24"/>
                <w:szCs w:val="24"/>
                <w:color w:val="auto"/>
              </w:rPr>
            </w:pPr>
          </w:p>
        </w:tc>
        <w:tc>
          <w:tcPr>
            <w:tcW w:w="4600" w:type="dxa"/>
            <w:vAlign w:val="bottom"/>
          </w:tcPr>
          <w:p>
            <w:pPr>
              <w:ind w:left="1520"/>
              <w:spacing w:after="0"/>
              <w:rPr>
                <w:sz w:val="20"/>
                <w:szCs w:val="20"/>
                <w:color w:val="auto"/>
              </w:rPr>
            </w:pPr>
            <w:r>
              <w:rPr>
                <w:rFonts w:ascii="Arial" w:cs="Arial" w:eastAsia="Arial" w:hAnsi="Arial"/>
                <w:sz w:val="15"/>
                <w:szCs w:val="15"/>
                <w:color w:val="auto"/>
              </w:rPr>
              <w:t>/s/ JAMES P. DOLLIVE</w:t>
            </w:r>
          </w:p>
        </w:tc>
        <w:tc>
          <w:tcPr>
            <w:tcW w:w="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15"/>
                <w:szCs w:val="15"/>
                <w:color w:val="auto"/>
                <w:w w:val="92"/>
              </w:rPr>
              <w:t>March 25, 2003</w:t>
            </w:r>
          </w:p>
        </w:tc>
        <w:tc>
          <w:tcPr>
            <w:tcW w:w="0" w:type="dxa"/>
            <w:vAlign w:val="bottom"/>
          </w:tcPr>
          <w:p>
            <w:pPr>
              <w:spacing w:after="0"/>
              <w:rPr>
                <w:sz w:val="1"/>
                <w:szCs w:val="1"/>
                <w:color w:val="auto"/>
              </w:rPr>
            </w:pPr>
          </w:p>
        </w:tc>
      </w:tr>
      <w:tr>
        <w:trPr>
          <w:trHeight w:val="99"/>
        </w:trPr>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-2840355</wp:posOffset>
            </wp:positionV>
            <wp:extent cx="1270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-2840355</wp:posOffset>
            </wp:positionV>
            <wp:extent cx="1270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-2366645</wp:posOffset>
            </wp:positionV>
            <wp:extent cx="1270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-2366645</wp:posOffset>
            </wp:positionV>
            <wp:extent cx="1270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-1892935</wp:posOffset>
            </wp:positionV>
            <wp:extent cx="12700"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-1892935</wp:posOffset>
            </wp:positionV>
            <wp:extent cx="12700"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-1419225</wp:posOffset>
            </wp:positionV>
            <wp:extent cx="1270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-1419225</wp:posOffset>
            </wp:positionV>
            <wp:extent cx="1270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-12700</wp:posOffset>
            </wp:positionV>
            <wp:extent cx="12700"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427990</wp:posOffset>
            </wp:positionH>
            <wp:positionV relativeFrom="paragraph">
              <wp:posOffset>-12700</wp:posOffset>
            </wp:positionV>
            <wp:extent cx="12700"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270"/>
          </w:cols>
          <w:pgMar w:left="230" w:top="132" w:right="399" w:bottom="0" w:gutter="0" w:footer="0" w:header="0"/>
        </w:sectPr>
      </w:pPr>
    </w:p>
    <w:bookmarkStart w:id="10" w:name="page11"/>
    <w:bookmarkEnd w:id="10"/>
    <w:p>
      <w:pPr>
        <w:spacing w:after="0" w:line="29" w:lineRule="exact"/>
        <w:rPr>
          <w:sz w:val="20"/>
          <w:szCs w:val="20"/>
          <w:color w:val="auto"/>
        </w:rPr>
      </w:pPr>
    </w:p>
    <w:p>
      <w:pPr>
        <w:ind w:left="2530"/>
        <w:spacing w:after="0"/>
        <w:rPr>
          <w:sz w:val="20"/>
          <w:szCs w:val="20"/>
          <w:color w:val="auto"/>
        </w:rPr>
      </w:pPr>
      <w:r>
        <w:rPr>
          <w:rFonts w:ascii="Arial" w:cs="Arial" w:eastAsia="Arial" w:hAnsi="Arial"/>
          <w:sz w:val="15"/>
          <w:szCs w:val="15"/>
          <w:color w:val="auto"/>
        </w:rPr>
        <w:t>(James P. Dollive,</w:t>
      </w:r>
    </w:p>
    <w:p>
      <w:pPr>
        <w:spacing w:after="0" w:line="14" w:lineRule="exact"/>
        <w:rPr>
          <w:sz w:val="20"/>
          <w:szCs w:val="20"/>
          <w:color w:val="auto"/>
        </w:rPr>
      </w:pPr>
    </w:p>
    <w:p>
      <w:pPr>
        <w:ind w:left="2550"/>
        <w:spacing w:after="0"/>
        <w:rPr>
          <w:sz w:val="20"/>
          <w:szCs w:val="20"/>
          <w:color w:val="auto"/>
        </w:rPr>
      </w:pPr>
      <w:r>
        <w:rPr>
          <w:rFonts w:ascii="Arial" w:cs="Arial" w:eastAsia="Arial" w:hAnsi="Arial"/>
          <w:sz w:val="15"/>
          <w:szCs w:val="15"/>
          <w:color w:val="auto"/>
        </w:rPr>
        <w:t>Attorney-in-fact)</w:t>
      </w:r>
    </w:p>
    <w:p>
      <w:pPr>
        <w:spacing w:after="0" w:line="183" w:lineRule="exact"/>
        <w:rPr>
          <w:sz w:val="20"/>
          <w:szCs w:val="20"/>
          <w:color w:val="auto"/>
        </w:rPr>
      </w:pPr>
    </w:p>
    <w:p>
      <w:pPr>
        <w:jc w:val="center"/>
        <w:ind w:right="-6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4560" cy="196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pacing w:after="0" w:line="369" w:lineRule="exact"/>
        <w:rPr>
          <w:sz w:val="20"/>
          <w:szCs w:val="20"/>
          <w:color w:val="auto"/>
        </w:rPr>
      </w:pPr>
    </w:p>
    <w:p>
      <w:pPr>
        <w:jc w:val="center"/>
        <w:ind w:right="-69"/>
        <w:spacing w:after="0"/>
        <w:rPr>
          <w:sz w:val="20"/>
          <w:szCs w:val="20"/>
          <w:color w:val="auto"/>
        </w:rPr>
      </w:pPr>
      <w:r>
        <w:rPr>
          <w:rFonts w:ascii="Arial" w:cs="Arial" w:eastAsia="Arial" w:hAnsi="Arial"/>
          <w:sz w:val="15"/>
          <w:szCs w:val="15"/>
          <w:b w:val="1"/>
          <w:bCs w:val="1"/>
          <w:color w:val="auto"/>
        </w:rPr>
        <w:t>Certifications</w:t>
      </w:r>
    </w:p>
    <w:p>
      <w:pPr>
        <w:spacing w:after="0" w:line="193" w:lineRule="exact"/>
        <w:rPr>
          <w:sz w:val="20"/>
          <w:szCs w:val="20"/>
          <w:color w:val="auto"/>
        </w:rPr>
      </w:pPr>
    </w:p>
    <w:p>
      <w:pPr>
        <w:ind w:left="10"/>
        <w:spacing w:after="0"/>
        <w:rPr>
          <w:sz w:val="20"/>
          <w:szCs w:val="20"/>
          <w:color w:val="auto"/>
        </w:rPr>
      </w:pPr>
      <w:r>
        <w:rPr>
          <w:rFonts w:ascii="Arial" w:cs="Arial" w:eastAsia="Arial" w:hAnsi="Arial"/>
          <w:sz w:val="15"/>
          <w:szCs w:val="15"/>
          <w:color w:val="auto"/>
        </w:rPr>
        <w:t>I, Roger K. Deromedi, Co-Chief Executive Officer of Kraft Foods Inc., certify that:</w:t>
      </w:r>
    </w:p>
    <w:p>
      <w:pPr>
        <w:spacing w:after="0" w:line="200" w:lineRule="exact"/>
        <w:rPr>
          <w:sz w:val="20"/>
          <w:szCs w:val="20"/>
          <w:color w:val="auto"/>
        </w:rPr>
      </w:pPr>
    </w:p>
    <w:p>
      <w:pPr>
        <w:ind w:left="450" w:hanging="450"/>
        <w:spacing w:after="0"/>
        <w:tabs>
          <w:tab w:leader="none" w:pos="45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Kraft Foods Inc.;</w:t>
      </w:r>
    </w:p>
    <w:p>
      <w:pPr>
        <w:spacing w:after="0" w:line="211" w:lineRule="exact"/>
        <w:rPr>
          <w:rFonts w:ascii="Arial" w:cs="Arial" w:eastAsia="Arial" w:hAnsi="Arial"/>
          <w:sz w:val="15"/>
          <w:szCs w:val="15"/>
          <w:color w:val="auto"/>
        </w:rPr>
      </w:pPr>
    </w:p>
    <w:p>
      <w:pPr>
        <w:ind w:left="450" w:right="60" w:hanging="450"/>
        <w:spacing w:after="0" w:line="271" w:lineRule="auto"/>
        <w:tabs>
          <w:tab w:leader="none" w:pos="45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64" w:lineRule="exact"/>
        <w:rPr>
          <w:rFonts w:ascii="Arial" w:cs="Arial" w:eastAsia="Arial" w:hAnsi="Arial"/>
          <w:sz w:val="15"/>
          <w:szCs w:val="15"/>
          <w:color w:val="auto"/>
        </w:rPr>
      </w:pPr>
    </w:p>
    <w:p>
      <w:pPr>
        <w:ind w:left="450" w:right="160" w:hanging="450"/>
        <w:spacing w:after="0" w:line="271" w:lineRule="auto"/>
        <w:tabs>
          <w:tab w:leader="none" w:pos="45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75" w:lineRule="exact"/>
        <w:rPr>
          <w:rFonts w:ascii="Arial" w:cs="Arial" w:eastAsia="Arial" w:hAnsi="Arial"/>
          <w:sz w:val="15"/>
          <w:szCs w:val="15"/>
          <w:color w:val="auto"/>
        </w:rPr>
      </w:pPr>
    </w:p>
    <w:p>
      <w:pPr>
        <w:ind w:left="450" w:right="60" w:hanging="450"/>
        <w:spacing w:after="0" w:line="271" w:lineRule="auto"/>
        <w:tabs>
          <w:tab w:leader="none" w:pos="45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13a-14 and 15d-14) for the registrant and have:</w:t>
      </w:r>
    </w:p>
    <w:p>
      <w:pPr>
        <w:spacing w:after="0" w:line="164" w:lineRule="exact"/>
        <w:rPr>
          <w:sz w:val="20"/>
          <w:szCs w:val="20"/>
          <w:color w:val="auto"/>
        </w:rPr>
      </w:pPr>
    </w:p>
    <w:p>
      <w:pPr>
        <w:ind w:left="450" w:right="320" w:hanging="450"/>
        <w:spacing w:after="0" w:line="271" w:lineRule="auto"/>
        <w:tabs>
          <w:tab w:leader="none" w:pos="45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64" w:lineRule="exact"/>
        <w:rPr>
          <w:rFonts w:ascii="Arial" w:cs="Arial" w:eastAsia="Arial" w:hAnsi="Arial"/>
          <w:sz w:val="15"/>
          <w:szCs w:val="15"/>
          <w:color w:val="auto"/>
        </w:rPr>
      </w:pPr>
    </w:p>
    <w:p>
      <w:pPr>
        <w:ind w:left="450" w:hanging="450"/>
        <w:spacing w:after="0"/>
        <w:tabs>
          <w:tab w:leader="none" w:pos="45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as of a date within 90 days prior to the filing date of this annual report (the "Evaluation Date"); and</w:t>
      </w:r>
    </w:p>
    <w:p>
      <w:pPr>
        <w:spacing w:after="0" w:line="234" w:lineRule="exact"/>
        <w:rPr>
          <w:rFonts w:ascii="Arial" w:cs="Arial" w:eastAsia="Arial" w:hAnsi="Arial"/>
          <w:sz w:val="13"/>
          <w:szCs w:val="13"/>
          <w:color w:val="auto"/>
        </w:rPr>
      </w:pPr>
    </w:p>
    <w:p>
      <w:pPr>
        <w:ind w:left="450" w:hanging="450"/>
        <w:spacing w:after="0"/>
        <w:tabs>
          <w:tab w:leader="none" w:pos="450" w:val="left"/>
        </w:tabs>
        <w:numPr>
          <w:ilvl w:val="0"/>
          <w:numId w:val="15"/>
        </w:numPr>
        <w:rPr>
          <w:rFonts w:ascii="Arial" w:cs="Arial" w:eastAsia="Arial" w:hAnsi="Arial"/>
          <w:sz w:val="15"/>
          <w:szCs w:val="15"/>
          <w:color w:val="auto"/>
        </w:rPr>
      </w:pPr>
      <w:r>
        <w:rPr>
          <w:rFonts w:ascii="Arial" w:cs="Arial" w:eastAsia="Arial" w:hAnsi="Arial"/>
          <w:sz w:val="15"/>
          <w:szCs w:val="15"/>
          <w:color w:val="auto"/>
        </w:rPr>
        <w:t>presented in this annual report our conclusions about the effectiveness of the disclosure controls and procedures based on our evaluation as of the Evaluation Date;</w:t>
      </w:r>
    </w:p>
    <w:p>
      <w:pPr>
        <w:spacing w:after="0" w:line="200" w:lineRule="exact"/>
        <w:rPr>
          <w:sz w:val="20"/>
          <w:szCs w:val="20"/>
          <w:color w:val="auto"/>
        </w:rPr>
      </w:pPr>
    </w:p>
    <w:p>
      <w:pPr>
        <w:ind w:left="450" w:hanging="450"/>
        <w:spacing w:after="0" w:line="271" w:lineRule="auto"/>
        <w:tabs>
          <w:tab w:leader="none" w:pos="45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164" w:lineRule="exact"/>
        <w:rPr>
          <w:sz w:val="20"/>
          <w:szCs w:val="20"/>
          <w:color w:val="auto"/>
        </w:rPr>
      </w:pPr>
    </w:p>
    <w:p>
      <w:pPr>
        <w:ind w:left="450" w:right="140" w:hanging="450"/>
        <w:spacing w:after="0" w:line="271" w:lineRule="auto"/>
        <w:tabs>
          <w:tab w:leader="none" w:pos="45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5" w:lineRule="exact"/>
        <w:rPr>
          <w:rFonts w:ascii="Arial" w:cs="Arial" w:eastAsia="Arial" w:hAnsi="Arial"/>
          <w:sz w:val="15"/>
          <w:szCs w:val="15"/>
          <w:color w:val="auto"/>
        </w:rPr>
      </w:pPr>
    </w:p>
    <w:p>
      <w:pPr>
        <w:ind w:left="450" w:hanging="450"/>
        <w:spacing w:after="0"/>
        <w:tabs>
          <w:tab w:leader="none" w:pos="45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controls; and</w:t>
      </w:r>
    </w:p>
    <w:p>
      <w:pPr>
        <w:spacing w:after="0" w:line="200" w:lineRule="exact"/>
        <w:rPr>
          <w:sz w:val="20"/>
          <w:szCs w:val="20"/>
          <w:color w:val="auto"/>
        </w:rPr>
      </w:pPr>
    </w:p>
    <w:p>
      <w:pPr>
        <w:ind w:left="450" w:right="200" w:hanging="450"/>
        <w:spacing w:after="0" w:line="350" w:lineRule="auto"/>
        <w:tabs>
          <w:tab w:leader="none" w:pos="45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10" w:lineRule="exact"/>
        <w:rPr>
          <w:sz w:val="20"/>
          <w:szCs w:val="20"/>
          <w:color w:val="auto"/>
        </w:rPr>
      </w:pPr>
    </w:p>
    <w:p>
      <w:pPr>
        <w:ind w:left="10"/>
        <w:spacing w:after="0"/>
        <w:rPr>
          <w:sz w:val="20"/>
          <w:szCs w:val="20"/>
          <w:color w:val="auto"/>
        </w:rPr>
      </w:pPr>
      <w:r>
        <w:rPr>
          <w:rFonts w:ascii="Arial" w:cs="Arial" w:eastAsia="Arial" w:hAnsi="Arial"/>
          <w:sz w:val="15"/>
          <w:szCs w:val="15"/>
          <w:color w:val="auto"/>
        </w:rPr>
        <w:t>Date: March 25, 2003</w:t>
      </w:r>
    </w:p>
    <w:p>
      <w:pPr>
        <w:spacing w:after="0" w:line="189" w:lineRule="exact"/>
        <w:rPr>
          <w:sz w:val="20"/>
          <w:szCs w:val="20"/>
          <w:color w:val="auto"/>
        </w:rPr>
      </w:pPr>
    </w:p>
    <w:p>
      <w:pPr>
        <w:ind w:left="5950"/>
        <w:spacing w:after="0"/>
        <w:rPr>
          <w:sz w:val="20"/>
          <w:szCs w:val="20"/>
          <w:color w:val="auto"/>
        </w:rPr>
      </w:pPr>
      <w:r>
        <w:rPr>
          <w:rFonts w:ascii="Arial" w:cs="Arial" w:eastAsia="Arial" w:hAnsi="Arial"/>
          <w:sz w:val="15"/>
          <w:szCs w:val="15"/>
          <w:color w:val="auto"/>
        </w:rPr>
        <w:t>/s/ ROGER K. DEROMEDI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64770</wp:posOffset>
            </wp:positionV>
            <wp:extent cx="3493135" cy="196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93135" cy="19685"/>
                    </a:xfrm>
                    <a:prstGeom prst="rect">
                      <a:avLst/>
                    </a:prstGeom>
                    <a:noFill/>
                  </pic:spPr>
                </pic:pic>
              </a:graphicData>
            </a:graphic>
          </wp:anchor>
        </w:drawing>
      </w:r>
    </w:p>
    <w:p>
      <w:pPr>
        <w:spacing w:after="0" w:line="373" w:lineRule="exact"/>
        <w:rPr>
          <w:sz w:val="20"/>
          <w:szCs w:val="20"/>
          <w:color w:val="auto"/>
        </w:rPr>
      </w:pPr>
    </w:p>
    <w:p>
      <w:pPr>
        <w:ind w:left="5950"/>
        <w:spacing w:after="0"/>
        <w:rPr>
          <w:sz w:val="20"/>
          <w:szCs w:val="20"/>
          <w:color w:val="auto"/>
        </w:rPr>
      </w:pPr>
      <w:r>
        <w:rPr>
          <w:rFonts w:ascii="Arial" w:cs="Arial" w:eastAsia="Arial" w:hAnsi="Arial"/>
          <w:sz w:val="15"/>
          <w:szCs w:val="15"/>
          <w:color w:val="auto"/>
        </w:rPr>
        <w:t>Roger K. Deromedi</w:t>
      </w:r>
    </w:p>
    <w:p>
      <w:pPr>
        <w:spacing w:after="0" w:line="14" w:lineRule="exact"/>
        <w:rPr>
          <w:sz w:val="20"/>
          <w:szCs w:val="20"/>
          <w:color w:val="auto"/>
        </w:rPr>
      </w:pPr>
    </w:p>
    <w:p>
      <w:pPr>
        <w:ind w:left="5950"/>
        <w:spacing w:after="0"/>
        <w:rPr>
          <w:sz w:val="20"/>
          <w:szCs w:val="20"/>
          <w:color w:val="auto"/>
        </w:rPr>
      </w:pPr>
      <w:r>
        <w:rPr>
          <w:rFonts w:ascii="Arial" w:cs="Arial" w:eastAsia="Arial" w:hAnsi="Arial"/>
          <w:sz w:val="15"/>
          <w:szCs w:val="15"/>
          <w:color w:val="auto"/>
        </w:rPr>
        <w:t>Co-Chief Executive Officer</w:t>
      </w:r>
    </w:p>
    <w:p>
      <w:pPr>
        <w:spacing w:after="0" w:line="183" w:lineRule="exact"/>
        <w:rPr>
          <w:sz w:val="20"/>
          <w:szCs w:val="20"/>
          <w:color w:val="auto"/>
        </w:rPr>
      </w:pPr>
    </w:p>
    <w:p>
      <w:pPr>
        <w:jc w:val="center"/>
        <w:ind w:right="-6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4560" cy="196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pacing w:after="0" w:line="373" w:lineRule="exact"/>
        <w:rPr>
          <w:sz w:val="20"/>
          <w:szCs w:val="20"/>
          <w:color w:val="auto"/>
        </w:rPr>
      </w:pPr>
    </w:p>
    <w:p>
      <w:pPr>
        <w:ind w:left="10"/>
        <w:spacing w:after="0"/>
        <w:rPr>
          <w:sz w:val="20"/>
          <w:szCs w:val="20"/>
          <w:color w:val="auto"/>
        </w:rPr>
      </w:pPr>
      <w:r>
        <w:rPr>
          <w:rFonts w:ascii="Arial" w:cs="Arial" w:eastAsia="Arial" w:hAnsi="Arial"/>
          <w:sz w:val="15"/>
          <w:szCs w:val="15"/>
          <w:color w:val="auto"/>
        </w:rPr>
        <w:t>I, Betsy D. Holden, Co-Chief Executive Officer of Kraft Foods Inc., certify that:</w:t>
      </w:r>
    </w:p>
    <w:p>
      <w:pPr>
        <w:spacing w:after="0" w:line="200" w:lineRule="exact"/>
        <w:rPr>
          <w:sz w:val="20"/>
          <w:szCs w:val="20"/>
          <w:color w:val="auto"/>
        </w:rPr>
      </w:pPr>
    </w:p>
    <w:p>
      <w:pPr>
        <w:ind w:left="450" w:hanging="450"/>
        <w:spacing w:after="0"/>
        <w:tabs>
          <w:tab w:leader="none" w:pos="45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Kraft Foods Inc.;</w:t>
      </w:r>
    </w:p>
    <w:p>
      <w:pPr>
        <w:spacing w:after="0" w:line="211" w:lineRule="exact"/>
        <w:rPr>
          <w:rFonts w:ascii="Arial" w:cs="Arial" w:eastAsia="Arial" w:hAnsi="Arial"/>
          <w:sz w:val="15"/>
          <w:szCs w:val="15"/>
          <w:color w:val="auto"/>
        </w:rPr>
      </w:pPr>
    </w:p>
    <w:p>
      <w:pPr>
        <w:ind w:left="450" w:right="60" w:hanging="450"/>
        <w:spacing w:after="0" w:line="271" w:lineRule="auto"/>
        <w:tabs>
          <w:tab w:leader="none" w:pos="45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64" w:lineRule="exact"/>
        <w:rPr>
          <w:rFonts w:ascii="Arial" w:cs="Arial" w:eastAsia="Arial" w:hAnsi="Arial"/>
          <w:sz w:val="15"/>
          <w:szCs w:val="15"/>
          <w:color w:val="auto"/>
        </w:rPr>
      </w:pPr>
    </w:p>
    <w:p>
      <w:pPr>
        <w:ind w:left="450" w:right="160" w:hanging="450"/>
        <w:spacing w:after="0" w:line="271" w:lineRule="auto"/>
        <w:tabs>
          <w:tab w:leader="none" w:pos="45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4" w:lineRule="exact"/>
        <w:rPr>
          <w:rFonts w:ascii="Arial" w:cs="Arial" w:eastAsia="Arial" w:hAnsi="Arial"/>
          <w:sz w:val="15"/>
          <w:szCs w:val="15"/>
          <w:color w:val="auto"/>
        </w:rPr>
      </w:pPr>
    </w:p>
    <w:p>
      <w:pPr>
        <w:ind w:left="450" w:right="60" w:hanging="450"/>
        <w:spacing w:after="0" w:line="271" w:lineRule="auto"/>
        <w:tabs>
          <w:tab w:leader="none" w:pos="45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13a-14 and 15d-14) for the registrant and have:</w:t>
      </w:r>
    </w:p>
    <w:p>
      <w:pPr>
        <w:spacing w:after="0" w:line="175" w:lineRule="exact"/>
        <w:rPr>
          <w:sz w:val="20"/>
          <w:szCs w:val="20"/>
          <w:color w:val="auto"/>
        </w:rPr>
      </w:pPr>
    </w:p>
    <w:p>
      <w:pPr>
        <w:ind w:left="450" w:right="320" w:hanging="450"/>
        <w:spacing w:after="0" w:line="271" w:lineRule="auto"/>
        <w:tabs>
          <w:tab w:leader="none" w:pos="450" w:val="left"/>
        </w:tabs>
        <w:numPr>
          <w:ilvl w:val="0"/>
          <w:numId w:val="20"/>
        </w:numPr>
        <w:rPr>
          <w:rFonts w:ascii="Arial" w:cs="Arial" w:eastAsia="Arial" w:hAnsi="Arial"/>
          <w:sz w:val="15"/>
          <w:szCs w:val="15"/>
          <w:color w:val="auto"/>
        </w:rPr>
      </w:pPr>
      <w:r>
        <w:rPr>
          <w:rFonts w:ascii="Arial" w:cs="Arial" w:eastAsia="Arial" w:hAnsi="Arial"/>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64" w:lineRule="exact"/>
        <w:rPr>
          <w:rFonts w:ascii="Arial" w:cs="Arial" w:eastAsia="Arial" w:hAnsi="Arial"/>
          <w:sz w:val="15"/>
          <w:szCs w:val="15"/>
          <w:color w:val="auto"/>
        </w:rPr>
      </w:pPr>
    </w:p>
    <w:p>
      <w:pPr>
        <w:ind w:left="450" w:hanging="450"/>
        <w:spacing w:after="0"/>
        <w:tabs>
          <w:tab w:leader="none" w:pos="45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as of a date within 90 days prior to the filing date of this annual report (the "Evaluation Date"); and</w:t>
      </w:r>
    </w:p>
    <w:p>
      <w:pPr>
        <w:spacing w:after="0" w:line="223" w:lineRule="exact"/>
        <w:rPr>
          <w:rFonts w:ascii="Arial" w:cs="Arial" w:eastAsia="Arial" w:hAnsi="Arial"/>
          <w:sz w:val="13"/>
          <w:szCs w:val="13"/>
          <w:color w:val="auto"/>
        </w:rPr>
      </w:pPr>
    </w:p>
    <w:p>
      <w:pPr>
        <w:ind w:left="450" w:hanging="450"/>
        <w:spacing w:after="0"/>
        <w:tabs>
          <w:tab w:leader="none" w:pos="450" w:val="left"/>
        </w:tabs>
        <w:numPr>
          <w:ilvl w:val="0"/>
          <w:numId w:val="20"/>
        </w:numPr>
        <w:rPr>
          <w:rFonts w:ascii="Arial" w:cs="Arial" w:eastAsia="Arial" w:hAnsi="Arial"/>
          <w:sz w:val="15"/>
          <w:szCs w:val="15"/>
          <w:color w:val="auto"/>
        </w:rPr>
      </w:pPr>
      <w:r>
        <w:rPr>
          <w:rFonts w:ascii="Arial" w:cs="Arial" w:eastAsia="Arial" w:hAnsi="Arial"/>
          <w:sz w:val="15"/>
          <w:szCs w:val="15"/>
          <w:color w:val="auto"/>
        </w:rPr>
        <w:t>presented in this annual report our conclusions about the effectiveness of the disclosure controls and procedures based on our evaluation as of the Evaluation Date;</w:t>
      </w:r>
    </w:p>
    <w:p>
      <w:pPr>
        <w:spacing w:after="0" w:line="212" w:lineRule="exact"/>
        <w:rPr>
          <w:sz w:val="20"/>
          <w:szCs w:val="20"/>
          <w:color w:val="auto"/>
        </w:rPr>
      </w:pPr>
    </w:p>
    <w:p>
      <w:pPr>
        <w:ind w:left="450" w:hanging="450"/>
        <w:spacing w:after="0" w:line="271" w:lineRule="auto"/>
        <w:tabs>
          <w:tab w:leader="none" w:pos="45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164" w:lineRule="exact"/>
        <w:rPr>
          <w:sz w:val="20"/>
          <w:szCs w:val="20"/>
          <w:color w:val="auto"/>
        </w:rPr>
      </w:pPr>
    </w:p>
    <w:p>
      <w:pPr>
        <w:ind w:left="450" w:right="140" w:hanging="450"/>
        <w:spacing w:after="0" w:line="271" w:lineRule="auto"/>
        <w:tabs>
          <w:tab w:leader="none" w:pos="45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64" w:lineRule="exact"/>
        <w:rPr>
          <w:rFonts w:ascii="Arial" w:cs="Arial" w:eastAsia="Arial" w:hAnsi="Arial"/>
          <w:sz w:val="15"/>
          <w:szCs w:val="15"/>
          <w:color w:val="auto"/>
        </w:rPr>
      </w:pPr>
    </w:p>
    <w:p>
      <w:pPr>
        <w:ind w:left="450" w:hanging="450"/>
        <w:spacing w:after="0"/>
        <w:tabs>
          <w:tab w:leader="none" w:pos="45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controls; and</w:t>
      </w:r>
    </w:p>
    <w:p>
      <w:pPr>
        <w:spacing w:after="0" w:line="212" w:lineRule="exact"/>
        <w:rPr>
          <w:sz w:val="20"/>
          <w:szCs w:val="20"/>
          <w:color w:val="auto"/>
        </w:rPr>
      </w:pPr>
    </w:p>
    <w:p>
      <w:pPr>
        <w:ind w:left="450" w:right="200" w:hanging="450"/>
        <w:spacing w:after="0" w:line="350" w:lineRule="auto"/>
        <w:tabs>
          <w:tab w:leader="none" w:pos="45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10" w:lineRule="exact"/>
        <w:rPr>
          <w:sz w:val="20"/>
          <w:szCs w:val="20"/>
          <w:color w:val="auto"/>
        </w:rPr>
      </w:pPr>
    </w:p>
    <w:p>
      <w:pPr>
        <w:ind w:left="10"/>
        <w:spacing w:after="0"/>
        <w:rPr>
          <w:sz w:val="20"/>
          <w:szCs w:val="20"/>
          <w:color w:val="auto"/>
        </w:rPr>
      </w:pPr>
      <w:r>
        <w:rPr>
          <w:rFonts w:ascii="Arial" w:cs="Arial" w:eastAsia="Arial" w:hAnsi="Arial"/>
          <w:sz w:val="15"/>
          <w:szCs w:val="15"/>
          <w:color w:val="auto"/>
        </w:rPr>
        <w:t>Date: March 25, 2003</w:t>
      </w:r>
    </w:p>
    <w:p>
      <w:pPr>
        <w:spacing w:after="0" w:line="189" w:lineRule="exact"/>
        <w:rPr>
          <w:sz w:val="20"/>
          <w:szCs w:val="20"/>
          <w:color w:val="auto"/>
        </w:rPr>
      </w:pPr>
    </w:p>
    <w:p>
      <w:pPr>
        <w:ind w:left="5950"/>
        <w:spacing w:after="0"/>
        <w:rPr>
          <w:sz w:val="20"/>
          <w:szCs w:val="20"/>
          <w:color w:val="auto"/>
        </w:rPr>
      </w:pPr>
      <w:r>
        <w:rPr>
          <w:rFonts w:ascii="Arial" w:cs="Arial" w:eastAsia="Arial" w:hAnsi="Arial"/>
          <w:sz w:val="15"/>
          <w:szCs w:val="15"/>
          <w:color w:val="auto"/>
        </w:rPr>
        <w:t>/s/ BETSY D.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64770</wp:posOffset>
            </wp:positionV>
            <wp:extent cx="3493135" cy="196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93135" cy="19685"/>
                    </a:xfrm>
                    <a:prstGeom prst="rect">
                      <a:avLst/>
                    </a:prstGeom>
                    <a:noFill/>
                  </pic:spPr>
                </pic:pic>
              </a:graphicData>
            </a:graphic>
          </wp:anchor>
        </w:drawing>
      </w:r>
    </w:p>
    <w:p>
      <w:pPr>
        <w:sectPr>
          <w:pgSz w:w="11900" w:h="16868" w:orient="portrait"/>
          <w:cols w:equalWidth="0" w:num="1">
            <w:col w:w="11370"/>
          </w:cols>
          <w:pgMar w:left="230" w:top="132" w:right="299" w:bottom="0" w:gutter="0" w:footer="0" w:header="0"/>
        </w:sectPr>
      </w:pPr>
    </w:p>
    <w:p>
      <w:pPr>
        <w:spacing w:after="0" w:line="393" w:lineRule="exact"/>
        <w:rPr>
          <w:sz w:val="20"/>
          <w:szCs w:val="20"/>
          <w:color w:val="auto"/>
        </w:rPr>
      </w:pPr>
    </w:p>
    <w:p>
      <w:pPr>
        <w:ind w:left="5950"/>
        <w:spacing w:after="0"/>
        <w:rPr>
          <w:sz w:val="20"/>
          <w:szCs w:val="20"/>
          <w:color w:val="auto"/>
        </w:rPr>
      </w:pPr>
      <w:r>
        <w:rPr>
          <w:rFonts w:ascii="Arial" w:cs="Arial" w:eastAsia="Arial" w:hAnsi="Arial"/>
          <w:sz w:val="13"/>
          <w:szCs w:val="13"/>
          <w:color w:val="auto"/>
        </w:rPr>
        <w:t>Betsy D. Holden</w:t>
      </w:r>
    </w:p>
    <w:p>
      <w:pPr>
        <w:sectPr>
          <w:pgSz w:w="11900" w:h="16868" w:orient="portrait"/>
          <w:cols w:equalWidth="0" w:num="1">
            <w:col w:w="11370"/>
          </w:cols>
          <w:pgMar w:left="230" w:top="132" w:right="299" w:bottom="0" w:gutter="0" w:footer="0" w:header="0"/>
          <w:type w:val="continuous"/>
        </w:sectPr>
      </w:pPr>
    </w:p>
    <w:bookmarkStart w:id="11" w:name="page12"/>
    <w:bookmarkEnd w:id="11"/>
    <w:p>
      <w:pPr>
        <w:ind w:left="5950"/>
        <w:spacing w:after="0"/>
        <w:rPr>
          <w:sz w:val="20"/>
          <w:szCs w:val="20"/>
          <w:color w:val="auto"/>
        </w:rPr>
      </w:pPr>
      <w:r>
        <w:rPr>
          <w:rFonts w:ascii="Arial" w:cs="Arial" w:eastAsia="Arial" w:hAnsi="Arial"/>
          <w:sz w:val="15"/>
          <w:szCs w:val="15"/>
          <w:color w:val="auto"/>
        </w:rPr>
        <w:t>Co-Chief Executive Officer</w:t>
      </w:r>
    </w:p>
    <w:p>
      <w:pPr>
        <w:spacing w:after="0" w:line="189"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4560" cy="196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pacing w:after="0" w:line="373" w:lineRule="exact"/>
        <w:rPr>
          <w:sz w:val="20"/>
          <w:szCs w:val="20"/>
          <w:color w:val="auto"/>
        </w:rPr>
      </w:pPr>
    </w:p>
    <w:p>
      <w:pPr>
        <w:ind w:left="10"/>
        <w:spacing w:after="0"/>
        <w:rPr>
          <w:sz w:val="20"/>
          <w:szCs w:val="20"/>
          <w:color w:val="auto"/>
        </w:rPr>
      </w:pPr>
      <w:r>
        <w:rPr>
          <w:rFonts w:ascii="Arial" w:cs="Arial" w:eastAsia="Arial" w:hAnsi="Arial"/>
          <w:sz w:val="15"/>
          <w:szCs w:val="15"/>
          <w:color w:val="auto"/>
        </w:rPr>
        <w:t>I, James P. Dollive, Senior Vice President and Chief Financial Officer of Kraft Foods Inc., certify that:</w:t>
      </w:r>
    </w:p>
    <w:p>
      <w:pPr>
        <w:spacing w:after="0" w:line="200" w:lineRule="exact"/>
        <w:rPr>
          <w:sz w:val="20"/>
          <w:szCs w:val="20"/>
          <w:color w:val="auto"/>
        </w:rPr>
      </w:pPr>
    </w:p>
    <w:p>
      <w:pPr>
        <w:ind w:left="450" w:hanging="450"/>
        <w:spacing w:after="0"/>
        <w:tabs>
          <w:tab w:leader="none" w:pos="45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Kraft Foods Inc.;</w:t>
      </w:r>
    </w:p>
    <w:p>
      <w:pPr>
        <w:spacing w:after="0" w:line="200" w:lineRule="exact"/>
        <w:rPr>
          <w:rFonts w:ascii="Arial" w:cs="Arial" w:eastAsia="Arial" w:hAnsi="Arial"/>
          <w:sz w:val="15"/>
          <w:szCs w:val="15"/>
          <w:color w:val="auto"/>
        </w:rPr>
      </w:pPr>
    </w:p>
    <w:p>
      <w:pPr>
        <w:ind w:left="450" w:right="140" w:hanging="450"/>
        <w:spacing w:after="0" w:line="271" w:lineRule="auto"/>
        <w:tabs>
          <w:tab w:leader="none" w:pos="450"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5" w:lineRule="exact"/>
        <w:rPr>
          <w:rFonts w:ascii="Arial" w:cs="Arial" w:eastAsia="Arial" w:hAnsi="Arial"/>
          <w:sz w:val="15"/>
          <w:szCs w:val="15"/>
          <w:color w:val="auto"/>
        </w:rPr>
      </w:pPr>
    </w:p>
    <w:p>
      <w:pPr>
        <w:ind w:left="450" w:right="240" w:hanging="450"/>
        <w:spacing w:after="0" w:line="271" w:lineRule="auto"/>
        <w:tabs>
          <w:tab w:leader="none" w:pos="450"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4" w:lineRule="exact"/>
        <w:rPr>
          <w:rFonts w:ascii="Arial" w:cs="Arial" w:eastAsia="Arial" w:hAnsi="Arial"/>
          <w:sz w:val="15"/>
          <w:szCs w:val="15"/>
          <w:color w:val="auto"/>
        </w:rPr>
      </w:pPr>
    </w:p>
    <w:p>
      <w:pPr>
        <w:ind w:left="450" w:right="140" w:hanging="450"/>
        <w:spacing w:after="0" w:line="271" w:lineRule="auto"/>
        <w:tabs>
          <w:tab w:leader="none" w:pos="45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13a-14 and 15d-14) for the registrant and have:</w:t>
      </w:r>
    </w:p>
    <w:p>
      <w:pPr>
        <w:spacing w:after="0" w:line="164" w:lineRule="exact"/>
        <w:rPr>
          <w:sz w:val="20"/>
          <w:szCs w:val="20"/>
          <w:color w:val="auto"/>
        </w:rPr>
      </w:pPr>
    </w:p>
    <w:p>
      <w:pPr>
        <w:ind w:left="450" w:right="400" w:hanging="450"/>
        <w:spacing w:after="0" w:line="271" w:lineRule="auto"/>
        <w:tabs>
          <w:tab w:leader="none" w:pos="450" w:val="left"/>
        </w:tabs>
        <w:numPr>
          <w:ilvl w:val="0"/>
          <w:numId w:val="25"/>
        </w:numPr>
        <w:rPr>
          <w:rFonts w:ascii="Arial" w:cs="Arial" w:eastAsia="Arial" w:hAnsi="Arial"/>
          <w:sz w:val="15"/>
          <w:szCs w:val="15"/>
          <w:color w:val="auto"/>
        </w:rPr>
      </w:pPr>
      <w:r>
        <w:rPr>
          <w:rFonts w:ascii="Arial" w:cs="Arial" w:eastAsia="Arial" w:hAnsi="Arial"/>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75" w:lineRule="exact"/>
        <w:rPr>
          <w:rFonts w:ascii="Arial" w:cs="Arial" w:eastAsia="Arial" w:hAnsi="Arial"/>
          <w:sz w:val="15"/>
          <w:szCs w:val="15"/>
          <w:color w:val="auto"/>
        </w:rPr>
      </w:pPr>
    </w:p>
    <w:p>
      <w:pPr>
        <w:ind w:left="450" w:hanging="450"/>
        <w:spacing w:after="0"/>
        <w:tabs>
          <w:tab w:leader="none" w:pos="450" w:val="left"/>
        </w:tabs>
        <w:numPr>
          <w:ilvl w:val="0"/>
          <w:numId w:val="2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as of a date within 90 days prior to the filing date of this annual report (the "Evaluation Date"); and</w:t>
      </w:r>
    </w:p>
    <w:p>
      <w:pPr>
        <w:spacing w:after="0" w:line="223" w:lineRule="exact"/>
        <w:rPr>
          <w:rFonts w:ascii="Arial" w:cs="Arial" w:eastAsia="Arial" w:hAnsi="Arial"/>
          <w:sz w:val="13"/>
          <w:szCs w:val="13"/>
          <w:color w:val="auto"/>
        </w:rPr>
      </w:pPr>
    </w:p>
    <w:p>
      <w:pPr>
        <w:ind w:left="450" w:hanging="450"/>
        <w:spacing w:after="0"/>
        <w:tabs>
          <w:tab w:leader="none" w:pos="450" w:val="left"/>
        </w:tabs>
        <w:numPr>
          <w:ilvl w:val="0"/>
          <w:numId w:val="25"/>
        </w:numPr>
        <w:rPr>
          <w:rFonts w:ascii="Arial" w:cs="Arial" w:eastAsia="Arial" w:hAnsi="Arial"/>
          <w:sz w:val="15"/>
          <w:szCs w:val="15"/>
          <w:color w:val="auto"/>
        </w:rPr>
      </w:pPr>
      <w:r>
        <w:rPr>
          <w:rFonts w:ascii="Arial" w:cs="Arial" w:eastAsia="Arial" w:hAnsi="Arial"/>
          <w:sz w:val="15"/>
          <w:szCs w:val="15"/>
          <w:color w:val="auto"/>
        </w:rPr>
        <w:t>presented in this annual report our conclusions about the effectiveness of the disclosure controls and procedures based on our evaluation as of the Evaluation Date;</w:t>
      </w:r>
    </w:p>
    <w:p>
      <w:pPr>
        <w:spacing w:after="0" w:line="200" w:lineRule="exact"/>
        <w:rPr>
          <w:sz w:val="20"/>
          <w:szCs w:val="20"/>
          <w:color w:val="auto"/>
        </w:rPr>
      </w:pPr>
    </w:p>
    <w:p>
      <w:pPr>
        <w:ind w:left="450" w:right="80" w:hanging="450"/>
        <w:spacing w:after="0" w:line="271" w:lineRule="auto"/>
        <w:tabs>
          <w:tab w:leader="none" w:pos="45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175" w:lineRule="exact"/>
        <w:rPr>
          <w:sz w:val="20"/>
          <w:szCs w:val="20"/>
          <w:color w:val="auto"/>
        </w:rPr>
      </w:pPr>
    </w:p>
    <w:p>
      <w:pPr>
        <w:ind w:left="450" w:right="220" w:hanging="450"/>
        <w:spacing w:after="0" w:line="271" w:lineRule="auto"/>
        <w:tabs>
          <w:tab w:leader="none" w:pos="45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64" w:lineRule="exact"/>
        <w:rPr>
          <w:rFonts w:ascii="Arial" w:cs="Arial" w:eastAsia="Arial" w:hAnsi="Arial"/>
          <w:sz w:val="15"/>
          <w:szCs w:val="15"/>
          <w:color w:val="auto"/>
        </w:rPr>
      </w:pPr>
    </w:p>
    <w:p>
      <w:pPr>
        <w:ind w:left="450" w:hanging="450"/>
        <w:spacing w:after="0"/>
        <w:tabs>
          <w:tab w:leader="none" w:pos="45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controls; and</w:t>
      </w:r>
    </w:p>
    <w:p>
      <w:pPr>
        <w:spacing w:after="0" w:line="200" w:lineRule="exact"/>
        <w:rPr>
          <w:sz w:val="20"/>
          <w:szCs w:val="20"/>
          <w:color w:val="auto"/>
        </w:rPr>
      </w:pPr>
    </w:p>
    <w:p>
      <w:pPr>
        <w:ind w:left="450" w:right="280" w:hanging="450"/>
        <w:spacing w:after="0" w:line="350" w:lineRule="auto"/>
        <w:tabs>
          <w:tab w:leader="none" w:pos="45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10" w:lineRule="exact"/>
        <w:rPr>
          <w:sz w:val="20"/>
          <w:szCs w:val="20"/>
          <w:color w:val="auto"/>
        </w:rPr>
      </w:pPr>
    </w:p>
    <w:p>
      <w:pPr>
        <w:ind w:left="10"/>
        <w:spacing w:after="0"/>
        <w:rPr>
          <w:sz w:val="20"/>
          <w:szCs w:val="20"/>
          <w:color w:val="auto"/>
        </w:rPr>
      </w:pPr>
      <w:r>
        <w:rPr>
          <w:rFonts w:ascii="Arial" w:cs="Arial" w:eastAsia="Arial" w:hAnsi="Arial"/>
          <w:sz w:val="15"/>
          <w:szCs w:val="15"/>
          <w:color w:val="auto"/>
        </w:rPr>
        <w:t>Date: March 25, 2003</w:t>
      </w:r>
    </w:p>
    <w:p>
      <w:pPr>
        <w:spacing w:after="0" w:line="189" w:lineRule="exact"/>
        <w:rPr>
          <w:sz w:val="20"/>
          <w:szCs w:val="20"/>
          <w:color w:val="auto"/>
        </w:rPr>
      </w:pPr>
    </w:p>
    <w:p>
      <w:pPr>
        <w:ind w:left="5950"/>
        <w:spacing w:after="0"/>
        <w:rPr>
          <w:sz w:val="20"/>
          <w:szCs w:val="20"/>
          <w:color w:val="auto"/>
        </w:rPr>
      </w:pPr>
      <w:r>
        <w:rPr>
          <w:rFonts w:ascii="Arial" w:cs="Arial" w:eastAsia="Arial" w:hAnsi="Arial"/>
          <w:sz w:val="15"/>
          <w:szCs w:val="15"/>
          <w:color w:val="auto"/>
        </w:rPr>
        <w:t>/s/ JAMES P. DOLLIVE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64770</wp:posOffset>
            </wp:positionV>
            <wp:extent cx="3493135" cy="196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93135" cy="19685"/>
                    </a:xfrm>
                    <a:prstGeom prst="rect">
                      <a:avLst/>
                    </a:prstGeom>
                    <a:noFill/>
                  </pic:spPr>
                </pic:pic>
              </a:graphicData>
            </a:graphic>
          </wp:anchor>
        </w:drawing>
      </w:r>
    </w:p>
    <w:p>
      <w:pPr>
        <w:spacing w:after="0" w:line="373" w:lineRule="exact"/>
        <w:rPr>
          <w:sz w:val="20"/>
          <w:szCs w:val="20"/>
          <w:color w:val="auto"/>
        </w:rPr>
      </w:pPr>
    </w:p>
    <w:p>
      <w:pPr>
        <w:ind w:left="5950"/>
        <w:spacing w:after="0"/>
        <w:rPr>
          <w:sz w:val="20"/>
          <w:szCs w:val="20"/>
          <w:color w:val="auto"/>
        </w:rPr>
      </w:pPr>
      <w:r>
        <w:rPr>
          <w:rFonts w:ascii="Arial" w:cs="Arial" w:eastAsia="Arial" w:hAnsi="Arial"/>
          <w:sz w:val="15"/>
          <w:szCs w:val="15"/>
          <w:color w:val="auto"/>
        </w:rPr>
        <w:t>James P. Dollive</w:t>
      </w:r>
    </w:p>
    <w:p>
      <w:pPr>
        <w:spacing w:after="0" w:line="14" w:lineRule="exact"/>
        <w:rPr>
          <w:sz w:val="20"/>
          <w:szCs w:val="20"/>
          <w:color w:val="auto"/>
        </w:rPr>
      </w:pPr>
    </w:p>
    <w:p>
      <w:pPr>
        <w:ind w:left="5950"/>
        <w:spacing w:after="0"/>
        <w:rPr>
          <w:sz w:val="20"/>
          <w:szCs w:val="20"/>
          <w:color w:val="auto"/>
        </w:rPr>
      </w:pPr>
      <w:r>
        <w:rPr>
          <w:rFonts w:ascii="Arial" w:cs="Arial" w:eastAsia="Arial" w:hAnsi="Arial"/>
          <w:sz w:val="15"/>
          <w:szCs w:val="15"/>
          <w:color w:val="auto"/>
        </w:rPr>
        <w:t>Senior Vice President and</w:t>
      </w:r>
    </w:p>
    <w:p>
      <w:pPr>
        <w:spacing w:after="0" w:line="8" w:lineRule="exact"/>
        <w:rPr>
          <w:sz w:val="20"/>
          <w:szCs w:val="20"/>
          <w:color w:val="auto"/>
        </w:rPr>
      </w:pPr>
    </w:p>
    <w:p>
      <w:pPr>
        <w:ind w:left="5950"/>
        <w:spacing w:after="0"/>
        <w:rPr>
          <w:sz w:val="20"/>
          <w:szCs w:val="20"/>
          <w:color w:val="auto"/>
        </w:rPr>
      </w:pPr>
      <w:r>
        <w:rPr>
          <w:rFonts w:ascii="Arial" w:cs="Arial" w:eastAsia="Arial" w:hAnsi="Arial"/>
          <w:sz w:val="15"/>
          <w:szCs w:val="15"/>
          <w:color w:val="auto"/>
        </w:rPr>
        <w:t>Chief Financial Officer</w:t>
      </w:r>
    </w:p>
    <w:p>
      <w:pPr>
        <w:spacing w:after="0" w:line="183"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4560" cy="196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pacing w:after="0" w:line="369" w:lineRule="exact"/>
        <w:rPr>
          <w:sz w:val="20"/>
          <w:szCs w:val="20"/>
          <w:color w:val="auto"/>
        </w:rPr>
      </w:pPr>
    </w:p>
    <w:p>
      <w:pPr>
        <w:ind w:left="2710"/>
        <w:spacing w:after="0"/>
        <w:rPr>
          <w:sz w:val="20"/>
          <w:szCs w:val="20"/>
          <w:color w:val="auto"/>
        </w:rPr>
      </w:pPr>
      <w:r>
        <w:rPr>
          <w:rFonts w:ascii="Arial" w:cs="Arial" w:eastAsia="Arial" w:hAnsi="Arial"/>
          <w:sz w:val="15"/>
          <w:szCs w:val="15"/>
          <w:b w:val="1"/>
          <w:bCs w:val="1"/>
          <w:color w:val="auto"/>
        </w:rPr>
        <w:t>REPORT OF INDEPENDENT ACCOUNTANTS ON FINANCIAL STATEMENT SCHEDULE</w:t>
      </w:r>
    </w:p>
    <w:p>
      <w:pPr>
        <w:spacing w:after="0" w:line="193" w:lineRule="exact"/>
        <w:rPr>
          <w:sz w:val="20"/>
          <w:szCs w:val="20"/>
          <w:color w:val="auto"/>
        </w:rPr>
      </w:pPr>
    </w:p>
    <w:p>
      <w:pPr>
        <w:ind w:left="10"/>
        <w:spacing w:after="0"/>
        <w:rPr>
          <w:sz w:val="20"/>
          <w:szCs w:val="20"/>
          <w:color w:val="auto"/>
        </w:rPr>
      </w:pPr>
      <w:r>
        <w:rPr>
          <w:rFonts w:ascii="Arial" w:cs="Arial" w:eastAsia="Arial" w:hAnsi="Arial"/>
          <w:sz w:val="15"/>
          <w:szCs w:val="15"/>
          <w:color w:val="auto"/>
        </w:rPr>
        <w:t>To the Board of Directors and Shareholders of</w:t>
      </w:r>
    </w:p>
    <w:p>
      <w:pPr>
        <w:spacing w:after="0" w:line="14" w:lineRule="exact"/>
        <w:rPr>
          <w:sz w:val="20"/>
          <w:szCs w:val="20"/>
          <w:color w:val="auto"/>
        </w:rPr>
      </w:pPr>
    </w:p>
    <w:p>
      <w:pPr>
        <w:ind w:left="10"/>
        <w:spacing w:after="0"/>
        <w:rPr>
          <w:sz w:val="20"/>
          <w:szCs w:val="20"/>
          <w:color w:val="auto"/>
        </w:rPr>
      </w:pPr>
      <w:r>
        <w:rPr>
          <w:rFonts w:ascii="Arial" w:cs="Arial" w:eastAsia="Arial" w:hAnsi="Arial"/>
          <w:sz w:val="15"/>
          <w:szCs w:val="15"/>
          <w:color w:val="auto"/>
        </w:rPr>
        <w:t>KRAFT FOODS INC.:</w:t>
      </w:r>
    </w:p>
    <w:p>
      <w:pPr>
        <w:spacing w:after="0" w:line="183" w:lineRule="exact"/>
        <w:rPr>
          <w:sz w:val="20"/>
          <w:szCs w:val="20"/>
          <w:color w:val="auto"/>
        </w:rPr>
      </w:pPr>
    </w:p>
    <w:p>
      <w:pPr>
        <w:ind w:left="10" w:right="180" w:firstLine="294"/>
        <w:spacing w:after="0" w:line="258" w:lineRule="auto"/>
        <w:rPr>
          <w:sz w:val="20"/>
          <w:szCs w:val="20"/>
          <w:color w:val="auto"/>
        </w:rPr>
      </w:pPr>
      <w:r>
        <w:rPr>
          <w:rFonts w:ascii="Arial" w:cs="Arial" w:eastAsia="Arial" w:hAnsi="Arial"/>
          <w:sz w:val="15"/>
          <w:szCs w:val="15"/>
          <w:color w:val="auto"/>
        </w:rPr>
        <w:t>Our audits of the consolidated financial statements referred to in our report dated January 27, 2003 appearing in the 2002 Annual Report to Shareholders of Kraft Foods Inc. (which report and consolidated financial statements are incorporated by reference in this Annual Report on Form 10-K) also included an audit of the financial statement schedule listed in Item 15(a) of this Form 10-K. In our opinion, this financial statement schedule presents fairly, in all material respects, the information set forth therein when read in conjunction with the related consolidated financial statements.</w:t>
      </w:r>
    </w:p>
    <w:p>
      <w:pPr>
        <w:spacing w:after="0" w:line="162" w:lineRule="exact"/>
        <w:rPr>
          <w:sz w:val="20"/>
          <w:szCs w:val="20"/>
          <w:color w:val="auto"/>
        </w:rPr>
      </w:pPr>
    </w:p>
    <w:p>
      <w:pPr>
        <w:ind w:left="10"/>
        <w:spacing w:after="0"/>
        <w:rPr>
          <w:sz w:val="20"/>
          <w:szCs w:val="20"/>
          <w:color w:val="auto"/>
        </w:rPr>
      </w:pPr>
      <w:r>
        <w:rPr>
          <w:rFonts w:ascii="Arial" w:cs="Arial" w:eastAsia="Arial" w:hAnsi="Arial"/>
          <w:sz w:val="15"/>
          <w:szCs w:val="15"/>
          <w:color w:val="auto"/>
        </w:rPr>
        <w:t>/s/ PRICEWATERHOUSECOOPERS LLP</w:t>
      </w:r>
    </w:p>
    <w:p>
      <w:pPr>
        <w:spacing w:after="0" w:line="189" w:lineRule="exact"/>
        <w:rPr>
          <w:sz w:val="20"/>
          <w:szCs w:val="20"/>
          <w:color w:val="auto"/>
        </w:rPr>
      </w:pPr>
    </w:p>
    <w:p>
      <w:pPr>
        <w:ind w:left="10"/>
        <w:spacing w:after="0"/>
        <w:rPr>
          <w:sz w:val="20"/>
          <w:szCs w:val="20"/>
          <w:color w:val="auto"/>
        </w:rPr>
      </w:pPr>
      <w:r>
        <w:rPr>
          <w:rFonts w:ascii="Arial" w:cs="Arial" w:eastAsia="Arial" w:hAnsi="Arial"/>
          <w:sz w:val="15"/>
          <w:szCs w:val="15"/>
          <w:color w:val="auto"/>
        </w:rPr>
        <w:t>Chicago, Illinois</w:t>
      </w:r>
    </w:p>
    <w:p>
      <w:pPr>
        <w:spacing w:after="0" w:line="14" w:lineRule="exact"/>
        <w:rPr>
          <w:sz w:val="20"/>
          <w:szCs w:val="20"/>
          <w:color w:val="auto"/>
        </w:rPr>
      </w:pPr>
    </w:p>
    <w:p>
      <w:pPr>
        <w:ind w:left="10"/>
        <w:spacing w:after="0"/>
        <w:rPr>
          <w:sz w:val="20"/>
          <w:szCs w:val="20"/>
          <w:color w:val="auto"/>
        </w:rPr>
      </w:pPr>
      <w:r>
        <w:rPr>
          <w:rFonts w:ascii="Arial" w:cs="Arial" w:eastAsia="Arial" w:hAnsi="Arial"/>
          <w:sz w:val="15"/>
          <w:szCs w:val="15"/>
          <w:color w:val="auto"/>
        </w:rPr>
        <w:t>January 27, 2003</w:t>
      </w:r>
    </w:p>
    <w:p>
      <w:pPr>
        <w:spacing w:after="0" w:line="183"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4560" cy="196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pacing w:after="0" w:line="369"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KRAFT FOODS INC. AND SUBSIDIARIES</w:t>
      </w:r>
    </w:p>
    <w:p>
      <w:pPr>
        <w:spacing w:after="0" w:line="189"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VALUATION AND QUALIFYING ACCOUNTS</w:t>
      </w:r>
    </w:p>
    <w:p>
      <w:pPr>
        <w:spacing w:after="0" w:line="18"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For the Years Ended December 31, 2002, 2001 and 2000</w:t>
      </w:r>
    </w:p>
    <w:p>
      <w:pPr>
        <w:spacing w:after="0" w:line="8"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(in millions)</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3660" w:type="dxa"/>
            <w:vAlign w:val="bottom"/>
          </w:tcPr>
          <w:p>
            <w:pPr>
              <w:jc w:val="center"/>
              <w:spacing w:after="0"/>
              <w:rPr>
                <w:sz w:val="20"/>
                <w:szCs w:val="20"/>
                <w:color w:val="auto"/>
              </w:rPr>
            </w:pPr>
            <w:r>
              <w:rPr>
                <w:rFonts w:ascii="Arial" w:cs="Arial" w:eastAsia="Arial" w:hAnsi="Arial"/>
                <w:sz w:val="11"/>
                <w:szCs w:val="11"/>
                <w:b w:val="1"/>
                <w:bCs w:val="1"/>
                <w:color w:val="auto"/>
              </w:rPr>
              <w:t>Col. A</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56"/>
              <w:spacing w:after="0"/>
              <w:rPr>
                <w:sz w:val="20"/>
                <w:szCs w:val="20"/>
                <w:color w:val="auto"/>
              </w:rPr>
            </w:pPr>
            <w:r>
              <w:rPr>
                <w:rFonts w:ascii="Arial" w:cs="Arial" w:eastAsia="Arial" w:hAnsi="Arial"/>
                <w:sz w:val="11"/>
                <w:szCs w:val="11"/>
                <w:b w:val="1"/>
                <w:bCs w:val="1"/>
                <w:color w:val="auto"/>
                <w:w w:val="94"/>
              </w:rPr>
              <w:t>Col. B</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40" w:type="dxa"/>
            <w:vAlign w:val="bottom"/>
            <w:gridSpan w:val="3"/>
          </w:tcPr>
          <w:p>
            <w:pPr>
              <w:jc w:val="right"/>
              <w:ind w:right="978"/>
              <w:spacing w:after="0"/>
              <w:rPr>
                <w:sz w:val="20"/>
                <w:szCs w:val="20"/>
                <w:color w:val="auto"/>
              </w:rPr>
            </w:pPr>
            <w:r>
              <w:rPr>
                <w:rFonts w:ascii="Arial" w:cs="Arial" w:eastAsia="Arial" w:hAnsi="Arial"/>
                <w:sz w:val="11"/>
                <w:szCs w:val="11"/>
                <w:b w:val="1"/>
                <w:bCs w:val="1"/>
                <w:color w:val="auto"/>
              </w:rPr>
              <w:t>Col. C</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75"/>
              <w:spacing w:after="0"/>
              <w:rPr>
                <w:sz w:val="20"/>
                <w:szCs w:val="20"/>
                <w:color w:val="auto"/>
              </w:rPr>
            </w:pPr>
            <w:r>
              <w:rPr>
                <w:rFonts w:ascii="Arial" w:cs="Arial" w:eastAsia="Arial" w:hAnsi="Arial"/>
                <w:sz w:val="11"/>
                <w:szCs w:val="11"/>
                <w:b w:val="1"/>
                <w:bCs w:val="1"/>
                <w:color w:val="auto"/>
                <w:w w:val="94"/>
              </w:rPr>
              <w:t>Col. D</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176"/>
              <w:spacing w:after="0"/>
              <w:rPr>
                <w:sz w:val="20"/>
                <w:szCs w:val="20"/>
                <w:color w:val="auto"/>
              </w:rPr>
            </w:pPr>
            <w:r>
              <w:rPr>
                <w:rFonts w:ascii="Arial" w:cs="Arial" w:eastAsia="Arial" w:hAnsi="Arial"/>
                <w:sz w:val="11"/>
                <w:szCs w:val="11"/>
                <w:b w:val="1"/>
                <w:bCs w:val="1"/>
                <w:color w:val="auto"/>
                <w:w w:val="96"/>
              </w:rPr>
              <w:t>Col. 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66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40" w:type="dxa"/>
            <w:vAlign w:val="bottom"/>
            <w:gridSpan w:val="3"/>
          </w:tcPr>
          <w:p>
            <w:pPr>
              <w:jc w:val="right"/>
              <w:ind w:right="898"/>
              <w:spacing w:after="0"/>
              <w:rPr>
                <w:sz w:val="20"/>
                <w:szCs w:val="20"/>
                <w:color w:val="auto"/>
              </w:rPr>
            </w:pPr>
            <w:r>
              <w:rPr>
                <w:rFonts w:ascii="Arial" w:cs="Arial" w:eastAsia="Arial" w:hAnsi="Arial"/>
                <w:sz w:val="11"/>
                <w:szCs w:val="11"/>
                <w:b w:val="1"/>
                <w:bCs w:val="1"/>
                <w:color w:val="auto"/>
              </w:rPr>
              <w:t>Additions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ind w:right="156"/>
              <w:spacing w:after="0"/>
              <w:rPr>
                <w:sz w:val="20"/>
                <w:szCs w:val="20"/>
                <w:color w:val="auto"/>
              </w:rPr>
            </w:pPr>
            <w:r>
              <w:rPr>
                <w:rFonts w:ascii="Arial" w:cs="Arial" w:eastAsia="Arial" w:hAnsi="Arial"/>
                <w:sz w:val="11"/>
                <w:szCs w:val="11"/>
                <w:b w:val="1"/>
                <w:bCs w:val="1"/>
                <w:color w:val="auto"/>
                <w:w w:val="90"/>
              </w:rPr>
              <w:t>Balance at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w w:val="92"/>
              </w:rPr>
              <w:t>Charged to</w:t>
            </w:r>
          </w:p>
        </w:tc>
        <w:tc>
          <w:tcPr>
            <w:tcW w:w="1080" w:type="dxa"/>
            <w:vAlign w:val="bottom"/>
          </w:tcPr>
          <w:p>
            <w:pPr>
              <w:jc w:val="center"/>
              <w:ind w:left="238"/>
              <w:spacing w:after="0"/>
              <w:rPr>
                <w:sz w:val="20"/>
                <w:szCs w:val="20"/>
                <w:color w:val="auto"/>
              </w:rPr>
            </w:pPr>
            <w:r>
              <w:rPr>
                <w:rFonts w:ascii="Arial" w:cs="Arial" w:eastAsia="Arial" w:hAnsi="Arial"/>
                <w:sz w:val="11"/>
                <w:szCs w:val="11"/>
                <w:b w:val="1"/>
                <w:bCs w:val="1"/>
                <w:color w:val="auto"/>
                <w:w w:val="92"/>
              </w:rPr>
              <w:t>Charged to</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center"/>
              <w:ind w:right="176"/>
              <w:spacing w:after="0"/>
              <w:rPr>
                <w:sz w:val="20"/>
                <w:szCs w:val="20"/>
                <w:color w:val="auto"/>
              </w:rPr>
            </w:pPr>
            <w:r>
              <w:rPr>
                <w:rFonts w:ascii="Arial" w:cs="Arial" w:eastAsia="Arial" w:hAnsi="Arial"/>
                <w:sz w:val="11"/>
                <w:szCs w:val="11"/>
                <w:b w:val="1"/>
                <w:bCs w:val="1"/>
                <w:color w:val="auto"/>
                <w:w w:val="90"/>
              </w:rPr>
              <w:t>Balance at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jc w:val="center"/>
              <w:ind w:right="176"/>
              <w:spacing w:after="0" w:line="124" w:lineRule="exact"/>
              <w:rPr>
                <w:sz w:val="20"/>
                <w:szCs w:val="20"/>
                <w:color w:val="auto"/>
              </w:rPr>
            </w:pPr>
            <w:r>
              <w:rPr>
                <w:rFonts w:ascii="Arial" w:cs="Arial" w:eastAsia="Arial" w:hAnsi="Arial"/>
                <w:sz w:val="11"/>
                <w:szCs w:val="11"/>
                <w:b w:val="1"/>
                <w:bCs w:val="1"/>
                <w:color w:val="auto"/>
                <w:w w:val="89"/>
              </w:rPr>
              <w:t>Beginning</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gridSpan w:val="2"/>
          </w:tcPr>
          <w:p>
            <w:pPr>
              <w:jc w:val="center"/>
              <w:ind w:right="480"/>
              <w:spacing w:after="0" w:line="124" w:lineRule="exact"/>
              <w:rPr>
                <w:sz w:val="20"/>
                <w:szCs w:val="20"/>
                <w:color w:val="auto"/>
              </w:rPr>
            </w:pPr>
            <w:r>
              <w:rPr>
                <w:rFonts w:ascii="Arial" w:cs="Arial" w:eastAsia="Arial" w:hAnsi="Arial"/>
                <w:sz w:val="11"/>
                <w:szCs w:val="11"/>
                <w:b w:val="1"/>
                <w:bCs w:val="1"/>
                <w:color w:val="auto"/>
                <w:w w:val="90"/>
              </w:rPr>
              <w:t>Costs and</w:t>
            </w:r>
          </w:p>
        </w:tc>
        <w:tc>
          <w:tcPr>
            <w:tcW w:w="1080" w:type="dxa"/>
            <w:vAlign w:val="bottom"/>
          </w:tcPr>
          <w:p>
            <w:pPr>
              <w:jc w:val="center"/>
              <w:ind w:left="238"/>
              <w:spacing w:after="0" w:line="124" w:lineRule="exact"/>
              <w:rPr>
                <w:sz w:val="20"/>
                <w:szCs w:val="20"/>
                <w:color w:val="auto"/>
              </w:rPr>
            </w:pPr>
            <w:r>
              <w:rPr>
                <w:rFonts w:ascii="Arial" w:cs="Arial" w:eastAsia="Arial" w:hAnsi="Arial"/>
                <w:sz w:val="11"/>
                <w:szCs w:val="11"/>
                <w:b w:val="1"/>
                <w:bCs w:val="1"/>
                <w:color w:val="auto"/>
              </w:rPr>
              <w:t>Other</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jc w:val="center"/>
              <w:ind w:right="196"/>
              <w:spacing w:after="0" w:line="124" w:lineRule="exact"/>
              <w:rPr>
                <w:sz w:val="20"/>
                <w:szCs w:val="20"/>
                <w:color w:val="auto"/>
              </w:rPr>
            </w:pPr>
            <w:r>
              <w:rPr>
                <w:rFonts w:ascii="Arial" w:cs="Arial" w:eastAsia="Arial" w:hAnsi="Arial"/>
                <w:sz w:val="11"/>
                <w:szCs w:val="11"/>
                <w:b w:val="1"/>
                <w:bCs w:val="1"/>
                <w:color w:val="auto"/>
                <w:w w:val="96"/>
              </w:rPr>
              <w:t>End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60" w:type="dxa"/>
            <w:vAlign w:val="bottom"/>
          </w:tcPr>
          <w:p>
            <w:pPr>
              <w:jc w:val="center"/>
              <w:spacing w:after="0"/>
              <w:rPr>
                <w:sz w:val="20"/>
                <w:szCs w:val="20"/>
                <w:color w:val="auto"/>
              </w:rPr>
            </w:pPr>
            <w:r>
              <w:rPr>
                <w:rFonts w:ascii="Arial" w:cs="Arial" w:eastAsia="Arial" w:hAnsi="Arial"/>
                <w:sz w:val="11"/>
                <w:szCs w:val="11"/>
                <w:b w:val="1"/>
                <w:bCs w:val="1"/>
                <w:color w:val="auto"/>
                <w:w w:val="92"/>
              </w:rPr>
              <w:t>Description</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76"/>
              <w:spacing w:after="0"/>
              <w:rPr>
                <w:sz w:val="20"/>
                <w:szCs w:val="20"/>
                <w:color w:val="auto"/>
              </w:rPr>
            </w:pPr>
            <w:r>
              <w:rPr>
                <w:rFonts w:ascii="Arial" w:cs="Arial" w:eastAsia="Arial" w:hAnsi="Arial"/>
                <w:sz w:val="11"/>
                <w:szCs w:val="11"/>
                <w:b w:val="1"/>
                <w:bCs w:val="1"/>
                <w:color w:val="auto"/>
                <w:w w:val="92"/>
              </w:rPr>
              <w:t>of Period</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85"/>
              </w:rPr>
              <w:t>Expenses</w:t>
            </w:r>
          </w:p>
        </w:tc>
        <w:tc>
          <w:tcPr>
            <w:tcW w:w="1080" w:type="dxa"/>
            <w:vAlign w:val="bottom"/>
          </w:tcPr>
          <w:p>
            <w:pPr>
              <w:jc w:val="center"/>
              <w:ind w:left="258"/>
              <w:spacing w:after="0"/>
              <w:rPr>
                <w:sz w:val="20"/>
                <w:szCs w:val="20"/>
                <w:color w:val="auto"/>
              </w:rPr>
            </w:pPr>
            <w:r>
              <w:rPr>
                <w:rFonts w:ascii="Arial" w:cs="Arial" w:eastAsia="Arial" w:hAnsi="Arial"/>
                <w:sz w:val="11"/>
                <w:szCs w:val="11"/>
                <w:b w:val="1"/>
                <w:bCs w:val="1"/>
                <w:color w:val="auto"/>
                <w:w w:val="87"/>
              </w:rPr>
              <w:t>Accounts</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75"/>
              <w:spacing w:after="0"/>
              <w:rPr>
                <w:sz w:val="20"/>
                <w:szCs w:val="20"/>
                <w:color w:val="auto"/>
              </w:rPr>
            </w:pPr>
            <w:r>
              <w:rPr>
                <w:rFonts w:ascii="Arial" w:cs="Arial" w:eastAsia="Arial" w:hAnsi="Arial"/>
                <w:sz w:val="11"/>
                <w:szCs w:val="11"/>
                <w:b w:val="1"/>
                <w:bCs w:val="1"/>
                <w:color w:val="auto"/>
                <w:w w:val="90"/>
              </w:rPr>
              <w:t>Deductions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196"/>
              <w:spacing w:after="0"/>
              <w:rPr>
                <w:sz w:val="20"/>
                <w:szCs w:val="20"/>
                <w:color w:val="auto"/>
              </w:rPr>
            </w:pPr>
            <w:r>
              <w:rPr>
                <w:rFonts w:ascii="Arial" w:cs="Arial" w:eastAsia="Arial" w:hAnsi="Arial"/>
                <w:sz w:val="11"/>
                <w:szCs w:val="11"/>
                <w:b w:val="1"/>
                <w:bCs w:val="1"/>
                <w:color w:val="auto"/>
                <w:w w:val="92"/>
              </w:rPr>
              <w:t>of Period</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66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left="238"/>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center"/>
              <w:ind w:right="175"/>
              <w:spacing w:after="0"/>
              <w:rPr>
                <w:sz w:val="20"/>
                <w:szCs w:val="20"/>
                <w:color w:val="auto"/>
              </w:rPr>
            </w:pPr>
            <w:r>
              <w:rPr>
                <w:rFonts w:ascii="Arial" w:cs="Arial" w:eastAsia="Arial" w:hAnsi="Arial"/>
                <w:sz w:val="11"/>
                <w:szCs w:val="11"/>
                <w:b w:val="1"/>
                <w:bCs w:val="1"/>
                <w:color w:val="auto"/>
                <w:w w:val="99"/>
              </w:rPr>
              <w:t>(b)</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660" w:type="dxa"/>
            <w:vAlign w:val="bottom"/>
            <w:shd w:val="clear" w:color="auto" w:fill="CCEEFF"/>
          </w:tcPr>
          <w:p>
            <w:pPr>
              <w:jc w:val="right"/>
              <w:ind w:right="3293"/>
              <w:spacing w:after="0"/>
              <w:rPr>
                <w:sz w:val="20"/>
                <w:szCs w:val="20"/>
                <w:color w:val="auto"/>
              </w:rPr>
            </w:pPr>
            <w:r>
              <w:rPr>
                <w:rFonts w:ascii="Arial" w:cs="Arial" w:eastAsia="Arial" w:hAnsi="Arial"/>
                <w:sz w:val="15"/>
                <w:szCs w:val="15"/>
                <w:color w:val="auto"/>
                <w:w w:val="74"/>
              </w:rPr>
              <w:t>2002:</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60" w:type="dxa"/>
            <w:vAlign w:val="bottom"/>
          </w:tcPr>
          <w:p>
            <w:pPr>
              <w:ind w:left="200"/>
              <w:spacing w:after="0"/>
              <w:rPr>
                <w:sz w:val="20"/>
                <w:szCs w:val="20"/>
                <w:color w:val="auto"/>
              </w:rPr>
            </w:pPr>
            <w:r>
              <w:rPr>
                <w:rFonts w:ascii="Arial" w:cs="Arial" w:eastAsia="Arial" w:hAnsi="Arial"/>
                <w:sz w:val="15"/>
                <w:szCs w:val="15"/>
                <w:color w:val="auto"/>
              </w:rPr>
              <w:t>Allowance for discounts</w:t>
            </w:r>
          </w:p>
        </w:tc>
        <w:tc>
          <w:tcPr>
            <w:tcW w:w="4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11</w:t>
            </w:r>
          </w:p>
        </w:tc>
        <w:tc>
          <w:tcPr>
            <w:tcW w:w="4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10</w:t>
            </w:r>
          </w:p>
        </w:tc>
        <w:tc>
          <w:tcPr>
            <w:tcW w:w="220" w:type="dxa"/>
            <w:vAlign w:val="bottom"/>
          </w:tcPr>
          <w:p>
            <w:pPr>
              <w:spacing w:after="0"/>
              <w:rPr>
                <w:sz w:val="16"/>
                <w:szCs w:val="16"/>
                <w:color w:val="auto"/>
              </w:rPr>
            </w:pPr>
          </w:p>
        </w:tc>
        <w:tc>
          <w:tcPr>
            <w:tcW w:w="1080" w:type="dxa"/>
            <w:vAlign w:val="bottom"/>
          </w:tcPr>
          <w:p>
            <w:pPr>
              <w:jc w:val="right"/>
              <w:ind w:right="938"/>
              <w:spacing w:after="0"/>
              <w:rPr>
                <w:sz w:val="20"/>
                <w:szCs w:val="20"/>
                <w:color w:val="auto"/>
              </w:rPr>
            </w:pPr>
            <w:r>
              <w:rPr>
                <w:rFonts w:ascii="Arial" w:cs="Arial" w:eastAsia="Arial" w:hAnsi="Arial"/>
                <w:sz w:val="15"/>
                <w:szCs w:val="15"/>
                <w:color w:val="auto"/>
                <w:w w:val="71"/>
              </w:rPr>
              <w:t>$</w:t>
            </w:r>
          </w:p>
        </w:tc>
        <w:tc>
          <w:tcPr>
            <w:tcW w:w="320" w:type="dxa"/>
            <w:vAlign w:val="bottom"/>
            <w:gridSpan w:val="2"/>
          </w:tcPr>
          <w:p>
            <w:pPr>
              <w:jc w:val="right"/>
              <w:ind w:right="20"/>
              <w:spacing w:after="0"/>
              <w:rPr>
                <w:sz w:val="20"/>
                <w:szCs w:val="20"/>
                <w:color w:val="auto"/>
              </w:rPr>
            </w:pPr>
            <w:r>
              <w:rPr>
                <w:rFonts w:ascii="Arial" w:cs="Arial" w:eastAsia="Arial" w:hAnsi="Arial"/>
                <w:sz w:val="15"/>
                <w:szCs w:val="15"/>
                <w:color w:val="auto"/>
              </w:rPr>
              <w:t>2</w:t>
            </w:r>
          </w:p>
        </w:tc>
        <w:tc>
          <w:tcPr>
            <w:tcW w:w="220" w:type="dxa"/>
            <w:vAlign w:val="bottom"/>
          </w:tcPr>
          <w:p>
            <w:pPr>
              <w:spacing w:after="0"/>
              <w:rPr>
                <w:sz w:val="16"/>
                <w:szCs w:val="16"/>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12</w:t>
            </w:r>
          </w:p>
        </w:tc>
        <w:tc>
          <w:tcPr>
            <w:tcW w:w="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Allowance for doubtful accounts</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(39)</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179</w:t>
            </w:r>
          </w:p>
        </w:tc>
        <w:tc>
          <w:tcPr>
            <w:tcW w:w="4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35</w:t>
            </w:r>
          </w:p>
        </w:tc>
        <w:tc>
          <w:tcPr>
            <w:tcW w:w="220" w:type="dxa"/>
            <w:vAlign w:val="bottom"/>
          </w:tcPr>
          <w:p>
            <w:pPr>
              <w:spacing w:after="0"/>
              <w:rPr>
                <w:sz w:val="23"/>
                <w:szCs w:val="23"/>
                <w:color w:val="auto"/>
              </w:rPr>
            </w:pPr>
          </w:p>
        </w:tc>
        <w:tc>
          <w:tcPr>
            <w:tcW w:w="1080" w:type="dxa"/>
            <w:vAlign w:val="bottom"/>
          </w:tcPr>
          <w:p>
            <w:pPr>
              <w:jc w:val="right"/>
              <w:ind w:right="938"/>
              <w:spacing w:after="0"/>
              <w:rPr>
                <w:sz w:val="20"/>
                <w:szCs w:val="20"/>
                <w:color w:val="auto"/>
              </w:rPr>
            </w:pPr>
            <w:r>
              <w:rPr>
                <w:rFonts w:ascii="Arial" w:cs="Arial" w:eastAsia="Arial" w:hAnsi="Arial"/>
                <w:sz w:val="15"/>
                <w:szCs w:val="15"/>
                <w:color w:val="auto"/>
                <w:w w:val="71"/>
              </w:rPr>
              <w:t>$</w:t>
            </w:r>
          </w:p>
        </w:tc>
        <w:tc>
          <w:tcPr>
            <w:tcW w:w="540" w:type="dxa"/>
            <w:vAlign w:val="bottom"/>
            <w:gridSpan w:val="3"/>
          </w:tcPr>
          <w:p>
            <w:pPr>
              <w:jc w:val="right"/>
              <w:ind w:right="180"/>
              <w:spacing w:after="0"/>
              <w:rPr>
                <w:sz w:val="20"/>
                <w:szCs w:val="20"/>
                <w:color w:val="auto"/>
              </w:rPr>
            </w:pPr>
            <w:r>
              <w:rPr>
                <w:rFonts w:ascii="Arial" w:cs="Arial" w:eastAsia="Arial" w:hAnsi="Arial"/>
                <w:sz w:val="15"/>
                <w:szCs w:val="15"/>
                <w:color w:val="auto"/>
              </w:rPr>
              <w:t>(37)</w:t>
            </w: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32</w:t>
            </w:r>
          </w:p>
        </w:tc>
        <w:tc>
          <w:tcPr>
            <w:tcW w:w="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145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-1555750</wp:posOffset>
            </wp:positionV>
            <wp:extent cx="12700"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-1555750</wp:posOffset>
            </wp:positionV>
            <wp:extent cx="1270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-1555750</wp:posOffset>
            </wp:positionV>
            <wp:extent cx="12700"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2487295</wp:posOffset>
            </wp:positionH>
            <wp:positionV relativeFrom="paragraph">
              <wp:posOffset>-1555750</wp:posOffset>
            </wp:positionV>
            <wp:extent cx="12700"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5335905</wp:posOffset>
            </wp:positionH>
            <wp:positionV relativeFrom="paragraph">
              <wp:posOffset>-1555750</wp:posOffset>
            </wp:positionV>
            <wp:extent cx="12700"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-1555750</wp:posOffset>
            </wp:positionV>
            <wp:extent cx="12700"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6290310</wp:posOffset>
            </wp:positionH>
            <wp:positionV relativeFrom="paragraph">
              <wp:posOffset>-1555750</wp:posOffset>
            </wp:positionV>
            <wp:extent cx="12700"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5486400</wp:posOffset>
            </wp:positionH>
            <wp:positionV relativeFrom="paragraph">
              <wp:posOffset>-1555750</wp:posOffset>
            </wp:positionV>
            <wp:extent cx="12700"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7259320</wp:posOffset>
            </wp:positionH>
            <wp:positionV relativeFrom="paragraph">
              <wp:posOffset>-1555750</wp:posOffset>
            </wp:positionV>
            <wp:extent cx="12700"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6440805</wp:posOffset>
            </wp:positionH>
            <wp:positionV relativeFrom="paragraph">
              <wp:posOffset>-1555750</wp:posOffset>
            </wp:positionV>
            <wp:extent cx="12700"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5335905</wp:posOffset>
            </wp:positionH>
            <wp:positionV relativeFrom="paragraph">
              <wp:posOffset>-1347470</wp:posOffset>
            </wp:positionV>
            <wp:extent cx="12700"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-1347470</wp:posOffset>
            </wp:positionV>
            <wp:extent cx="12700"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-981710</wp:posOffset>
            </wp:positionV>
            <wp:extent cx="12700"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-981710</wp:posOffset>
            </wp:positionV>
            <wp:extent cx="12700"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-981710</wp:posOffset>
            </wp:positionV>
            <wp:extent cx="1270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2487295</wp:posOffset>
            </wp:positionH>
            <wp:positionV relativeFrom="paragraph">
              <wp:posOffset>-981710</wp:posOffset>
            </wp:positionV>
            <wp:extent cx="12700"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4309745</wp:posOffset>
            </wp:positionH>
            <wp:positionV relativeFrom="paragraph">
              <wp:posOffset>-981710</wp:posOffset>
            </wp:positionV>
            <wp:extent cx="12700"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-981710</wp:posOffset>
            </wp:positionV>
            <wp:extent cx="1270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5335905</wp:posOffset>
            </wp:positionH>
            <wp:positionV relativeFrom="paragraph">
              <wp:posOffset>-981710</wp:posOffset>
            </wp:positionV>
            <wp:extent cx="1270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-981710</wp:posOffset>
            </wp:positionV>
            <wp:extent cx="12700"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6290310</wp:posOffset>
            </wp:positionH>
            <wp:positionV relativeFrom="paragraph">
              <wp:posOffset>-981710</wp:posOffset>
            </wp:positionV>
            <wp:extent cx="12700"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5486400</wp:posOffset>
            </wp:positionH>
            <wp:positionV relativeFrom="paragraph">
              <wp:posOffset>-981710</wp:posOffset>
            </wp:positionV>
            <wp:extent cx="12700"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7259320</wp:posOffset>
            </wp:positionH>
            <wp:positionV relativeFrom="paragraph">
              <wp:posOffset>-981710</wp:posOffset>
            </wp:positionV>
            <wp:extent cx="12700"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6440805</wp:posOffset>
            </wp:positionH>
            <wp:positionV relativeFrom="paragraph">
              <wp:posOffset>-981710</wp:posOffset>
            </wp:positionV>
            <wp:extent cx="12700"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-271145</wp:posOffset>
            </wp:positionV>
            <wp:extent cx="12700"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2487295</wp:posOffset>
            </wp:positionH>
            <wp:positionV relativeFrom="paragraph">
              <wp:posOffset>-271145</wp:posOffset>
            </wp:positionV>
            <wp:extent cx="12700"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4309745</wp:posOffset>
            </wp:positionH>
            <wp:positionV relativeFrom="paragraph">
              <wp:posOffset>-271145</wp:posOffset>
            </wp:positionV>
            <wp:extent cx="12700"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-271145</wp:posOffset>
            </wp:positionV>
            <wp:extent cx="12700"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5335905</wp:posOffset>
            </wp:positionH>
            <wp:positionV relativeFrom="paragraph">
              <wp:posOffset>-271145</wp:posOffset>
            </wp:positionV>
            <wp:extent cx="12700"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-271145</wp:posOffset>
            </wp:positionV>
            <wp:extent cx="12700" cy="6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6290310</wp:posOffset>
            </wp:positionH>
            <wp:positionV relativeFrom="paragraph">
              <wp:posOffset>-271145</wp:posOffset>
            </wp:positionV>
            <wp:extent cx="12700"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5486400</wp:posOffset>
            </wp:positionH>
            <wp:positionV relativeFrom="paragraph">
              <wp:posOffset>-271145</wp:posOffset>
            </wp:positionV>
            <wp:extent cx="12700"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7259320</wp:posOffset>
            </wp:positionH>
            <wp:positionV relativeFrom="paragraph">
              <wp:posOffset>-271145</wp:posOffset>
            </wp:positionV>
            <wp:extent cx="12700"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6440805</wp:posOffset>
            </wp:positionH>
            <wp:positionV relativeFrom="paragraph">
              <wp:posOffset>-271145</wp:posOffset>
            </wp:positionV>
            <wp:extent cx="1270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-33655</wp:posOffset>
            </wp:positionV>
            <wp:extent cx="12700" cy="342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2487295</wp:posOffset>
            </wp:positionH>
            <wp:positionV relativeFrom="paragraph">
              <wp:posOffset>-33655</wp:posOffset>
            </wp:positionV>
            <wp:extent cx="12700" cy="342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4309745</wp:posOffset>
            </wp:positionH>
            <wp:positionV relativeFrom="paragraph">
              <wp:posOffset>-33655</wp:posOffset>
            </wp:positionV>
            <wp:extent cx="12700" cy="342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-33655</wp:posOffset>
            </wp:positionV>
            <wp:extent cx="12700" cy="342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5335905</wp:posOffset>
            </wp:positionH>
            <wp:positionV relativeFrom="paragraph">
              <wp:posOffset>-33655</wp:posOffset>
            </wp:positionV>
            <wp:extent cx="12700" cy="342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-33655</wp:posOffset>
            </wp:positionV>
            <wp:extent cx="12700" cy="342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6290310</wp:posOffset>
            </wp:positionH>
            <wp:positionV relativeFrom="paragraph">
              <wp:posOffset>-33655</wp:posOffset>
            </wp:positionV>
            <wp:extent cx="12700"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5486400</wp:posOffset>
            </wp:positionH>
            <wp:positionV relativeFrom="paragraph">
              <wp:posOffset>-33655</wp:posOffset>
            </wp:positionV>
            <wp:extent cx="12700" cy="342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7259320</wp:posOffset>
            </wp:positionH>
            <wp:positionV relativeFrom="paragraph">
              <wp:posOffset>-33655</wp:posOffset>
            </wp:positionV>
            <wp:extent cx="12700" cy="342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6440805</wp:posOffset>
            </wp:positionH>
            <wp:positionV relativeFrom="paragraph">
              <wp:posOffset>-33655</wp:posOffset>
            </wp:positionV>
            <wp:extent cx="12700"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ectPr>
          <w:pgSz w:w="11900" w:h="16838" w:orient="portrait"/>
          <w:cols w:equalWidth="0" w:num="1">
            <w:col w:w="11450"/>
          </w:cols>
          <w:pgMar w:left="230" w:top="132" w:right="219" w:bottom="0" w:gutter="0" w:footer="0" w:header="0"/>
        </w:sectPr>
      </w:pPr>
    </w:p>
    <w:p>
      <w:pPr>
        <w:spacing w:after="0" w:line="79" w:lineRule="exact"/>
        <w:rPr>
          <w:sz w:val="20"/>
          <w:szCs w:val="20"/>
          <w:color w:val="auto"/>
        </w:rPr>
      </w:pPr>
    </w:p>
    <w:p>
      <w:pPr>
        <w:ind w:left="10"/>
        <w:spacing w:after="0"/>
        <w:rPr>
          <w:sz w:val="20"/>
          <w:szCs w:val="20"/>
          <w:color w:val="auto"/>
        </w:rPr>
      </w:pPr>
      <w:r>
        <w:rPr>
          <w:rFonts w:ascii="Arial" w:cs="Arial" w:eastAsia="Arial" w:hAnsi="Arial"/>
          <w:sz w:val="12"/>
          <w:szCs w:val="12"/>
          <w:color w:val="auto"/>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268845" cy="1149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8845" cy="114935"/>
                    </a:xfrm>
                    <a:prstGeom prst="rect">
                      <a:avLst/>
                    </a:prstGeom>
                    <a:noFill/>
                  </pic:spPr>
                </pic:pic>
              </a:graphicData>
            </a:graphic>
          </wp:anchor>
        </w:drawing>
      </w:r>
    </w:p>
    <w:p>
      <w:pPr>
        <w:sectPr>
          <w:pgSz w:w="11900" w:h="16838" w:orient="portrait"/>
          <w:cols w:equalWidth="0" w:num="1">
            <w:col w:w="11450"/>
          </w:cols>
          <w:pgMar w:left="230" w:top="132" w:right="219" w:bottom="0" w:gutter="0" w:footer="0" w:header="0"/>
          <w:type w:val="continuous"/>
        </w:sectPr>
      </w:pPr>
    </w:p>
    <w:bookmarkStart w:id="12" w:name="page13"/>
    <w:bookmarkEnd w:id="12"/>
    <w:tbl>
      <w:tblPr>
        <w:tblLayout w:type="fixed"/>
        <w:tblInd w:w="1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880" w:type="dxa"/>
            <w:vAlign w:val="bottom"/>
            <w:gridSpan w:val="2"/>
          </w:tcPr>
          <w:p>
            <w:pPr>
              <w:ind w:left="200"/>
              <w:spacing w:after="0"/>
              <w:rPr>
                <w:sz w:val="20"/>
                <w:szCs w:val="20"/>
                <w:color w:val="auto"/>
              </w:rPr>
            </w:pPr>
            <w:r>
              <w:rPr>
                <w:rFonts w:ascii="Arial" w:cs="Arial" w:eastAsia="Arial" w:hAnsi="Arial"/>
                <w:sz w:val="15"/>
                <w:szCs w:val="15"/>
                <w:color w:val="auto"/>
              </w:rPr>
              <w:t>Allowance for discounts</w:t>
            </w:r>
          </w:p>
        </w:tc>
        <w:tc>
          <w:tcPr>
            <w:tcW w:w="580" w:type="dxa"/>
            <w:vAlign w:val="bottom"/>
            <w:gridSpan w:val="2"/>
          </w:tcPr>
          <w:p>
            <w:pPr>
              <w:jc w:val="right"/>
              <w:ind w:right="50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7</w:t>
            </w:r>
          </w:p>
        </w:tc>
        <w:tc>
          <w:tcPr>
            <w:tcW w:w="880" w:type="dxa"/>
            <w:vAlign w:val="bottom"/>
            <w:gridSpan w:val="4"/>
          </w:tcPr>
          <w:p>
            <w:pPr>
              <w:jc w:val="right"/>
              <w:ind w:right="58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w:t>
            </w:r>
          </w:p>
        </w:tc>
        <w:tc>
          <w:tcPr>
            <w:tcW w:w="220" w:type="dxa"/>
            <w:vAlign w:val="bottom"/>
          </w:tcPr>
          <w:p>
            <w:pPr>
              <w:spacing w:after="0"/>
              <w:rPr>
                <w:sz w:val="16"/>
                <w:szCs w:val="16"/>
                <w:color w:val="auto"/>
              </w:rPr>
            </w:pP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4</w:t>
            </w:r>
          </w:p>
        </w:tc>
        <w:tc>
          <w:tcPr>
            <w:tcW w:w="220" w:type="dxa"/>
            <w:vAlign w:val="bottom"/>
          </w:tcPr>
          <w:p>
            <w:pPr>
              <w:spacing w:after="0"/>
              <w:rPr>
                <w:sz w:val="16"/>
                <w:szCs w:val="16"/>
                <w:color w:val="auto"/>
              </w:rPr>
            </w:pPr>
          </w:p>
        </w:tc>
        <w:tc>
          <w:tcPr>
            <w:tcW w:w="600" w:type="dxa"/>
            <w:vAlign w:val="bottom"/>
          </w:tcPr>
          <w:p>
            <w:pPr>
              <w:jc w:val="right"/>
              <w:ind w:right="48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5</w:t>
            </w:r>
          </w:p>
        </w:tc>
        <w:tc>
          <w:tcPr>
            <w:tcW w:w="800" w:type="dxa"/>
            <w:vAlign w:val="bottom"/>
            <w:gridSpan w:val="4"/>
          </w:tcPr>
          <w:p>
            <w:pPr>
              <w:jc w:val="right"/>
              <w:ind w:right="50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Allowance for doubtful accounts</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580" w:type="dxa"/>
            <w:vAlign w:val="bottom"/>
            <w:gridSpan w:val="2"/>
          </w:tcPr>
          <w:p>
            <w:pPr>
              <w:jc w:val="right"/>
              <w:ind w:right="50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172</w:t>
            </w:r>
          </w:p>
        </w:tc>
        <w:tc>
          <w:tcPr>
            <w:tcW w:w="880" w:type="dxa"/>
            <w:vAlign w:val="bottom"/>
            <w:gridSpan w:val="4"/>
          </w:tcPr>
          <w:p>
            <w:pPr>
              <w:jc w:val="right"/>
              <w:ind w:right="58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30</w:t>
            </w:r>
          </w:p>
        </w:tc>
        <w:tc>
          <w:tcPr>
            <w:tcW w:w="220" w:type="dxa"/>
            <w:vAlign w:val="bottom"/>
          </w:tcPr>
          <w:p>
            <w:pPr>
              <w:spacing w:after="0"/>
              <w:rPr>
                <w:sz w:val="23"/>
                <w:szCs w:val="23"/>
                <w:color w:val="auto"/>
              </w:rPr>
            </w:pP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9</w:t>
            </w:r>
          </w:p>
        </w:tc>
        <w:tc>
          <w:tcPr>
            <w:tcW w:w="220" w:type="dxa"/>
            <w:vAlign w:val="bottom"/>
          </w:tcPr>
          <w:p>
            <w:pPr>
              <w:spacing w:after="0"/>
              <w:rPr>
                <w:sz w:val="23"/>
                <w:szCs w:val="23"/>
                <w:color w:val="auto"/>
              </w:rPr>
            </w:pPr>
          </w:p>
        </w:tc>
        <w:tc>
          <w:tcPr>
            <w:tcW w:w="600" w:type="dxa"/>
            <w:vAlign w:val="bottom"/>
          </w:tcPr>
          <w:p>
            <w:pPr>
              <w:jc w:val="right"/>
              <w:ind w:right="48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32</w:t>
            </w:r>
          </w:p>
        </w:tc>
        <w:tc>
          <w:tcPr>
            <w:tcW w:w="800" w:type="dxa"/>
            <w:vAlign w:val="bottom"/>
            <w:gridSpan w:val="4"/>
          </w:tcPr>
          <w:p>
            <w:pPr>
              <w:jc w:val="right"/>
              <w:ind w:right="50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179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540" w:type="dxa"/>
            <w:vAlign w:val="bottom"/>
          </w:tcPr>
          <w:p>
            <w:pPr>
              <w:spacing w:after="0"/>
              <w:rPr>
                <w:sz w:val="7"/>
                <w:szCs w:val="7"/>
                <w:color w:val="auto"/>
              </w:rPr>
            </w:pPr>
          </w:p>
        </w:tc>
        <w:tc>
          <w:tcPr>
            <w:tcW w:w="334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5"/>
                <w:szCs w:val="15"/>
                <w:color w:val="auto"/>
              </w:rPr>
              <w:t>2000:</w:t>
            </w:r>
          </w:p>
        </w:tc>
        <w:tc>
          <w:tcPr>
            <w:tcW w:w="3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80" w:type="dxa"/>
            <w:vAlign w:val="bottom"/>
            <w:gridSpan w:val="2"/>
          </w:tcPr>
          <w:p>
            <w:pPr>
              <w:ind w:left="200"/>
              <w:spacing w:after="0"/>
              <w:rPr>
                <w:sz w:val="20"/>
                <w:szCs w:val="20"/>
                <w:color w:val="auto"/>
              </w:rPr>
            </w:pPr>
            <w:r>
              <w:rPr>
                <w:rFonts w:ascii="Arial" w:cs="Arial" w:eastAsia="Arial" w:hAnsi="Arial"/>
                <w:sz w:val="15"/>
                <w:szCs w:val="15"/>
                <w:color w:val="auto"/>
              </w:rPr>
              <w:t>Allowance for discounts</w:t>
            </w:r>
          </w:p>
        </w:tc>
        <w:tc>
          <w:tcPr>
            <w:tcW w:w="580" w:type="dxa"/>
            <w:vAlign w:val="bottom"/>
            <w:gridSpan w:val="2"/>
          </w:tcPr>
          <w:p>
            <w:pPr>
              <w:jc w:val="right"/>
              <w:ind w:right="50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w:t>
            </w:r>
          </w:p>
        </w:tc>
        <w:tc>
          <w:tcPr>
            <w:tcW w:w="880" w:type="dxa"/>
            <w:vAlign w:val="bottom"/>
            <w:gridSpan w:val="4"/>
          </w:tcPr>
          <w:p>
            <w:pPr>
              <w:jc w:val="right"/>
              <w:ind w:right="58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15</w:t>
            </w:r>
          </w:p>
        </w:tc>
        <w:tc>
          <w:tcPr>
            <w:tcW w:w="220" w:type="dxa"/>
            <w:vAlign w:val="bottom"/>
          </w:tcPr>
          <w:p>
            <w:pPr>
              <w:spacing w:after="0"/>
              <w:rPr>
                <w:sz w:val="16"/>
                <w:szCs w:val="16"/>
                <w:color w:val="auto"/>
              </w:rPr>
            </w:pP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48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13</w:t>
            </w:r>
          </w:p>
        </w:tc>
        <w:tc>
          <w:tcPr>
            <w:tcW w:w="800" w:type="dxa"/>
            <w:vAlign w:val="bottom"/>
            <w:gridSpan w:val="4"/>
          </w:tcPr>
          <w:p>
            <w:pPr>
              <w:jc w:val="right"/>
              <w:ind w:right="50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Allowance for doubtful accounts</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65</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gridSpan w:val="3"/>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gridSpan w:val="3"/>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580" w:type="dxa"/>
            <w:vAlign w:val="bottom"/>
            <w:gridSpan w:val="2"/>
          </w:tcPr>
          <w:p>
            <w:pPr>
              <w:jc w:val="right"/>
              <w:ind w:right="50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124</w:t>
            </w:r>
          </w:p>
        </w:tc>
        <w:tc>
          <w:tcPr>
            <w:tcW w:w="880" w:type="dxa"/>
            <w:vAlign w:val="bottom"/>
            <w:gridSpan w:val="4"/>
          </w:tcPr>
          <w:p>
            <w:pPr>
              <w:jc w:val="right"/>
              <w:ind w:right="58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26</w:t>
            </w:r>
          </w:p>
        </w:tc>
        <w:tc>
          <w:tcPr>
            <w:tcW w:w="220" w:type="dxa"/>
            <w:vAlign w:val="bottom"/>
          </w:tcPr>
          <w:p>
            <w:pPr>
              <w:spacing w:after="0"/>
              <w:rPr>
                <w:sz w:val="23"/>
                <w:szCs w:val="23"/>
                <w:color w:val="auto"/>
              </w:rPr>
            </w:pP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65</w:t>
            </w:r>
          </w:p>
        </w:tc>
        <w:tc>
          <w:tcPr>
            <w:tcW w:w="220" w:type="dxa"/>
            <w:vAlign w:val="bottom"/>
          </w:tcPr>
          <w:p>
            <w:pPr>
              <w:spacing w:after="0"/>
              <w:rPr>
                <w:sz w:val="23"/>
                <w:szCs w:val="23"/>
                <w:color w:val="auto"/>
              </w:rPr>
            </w:pPr>
          </w:p>
        </w:tc>
        <w:tc>
          <w:tcPr>
            <w:tcW w:w="600" w:type="dxa"/>
            <w:vAlign w:val="bottom"/>
          </w:tcPr>
          <w:p>
            <w:pPr>
              <w:jc w:val="right"/>
              <w:ind w:right="48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43</w:t>
            </w:r>
          </w:p>
        </w:tc>
        <w:tc>
          <w:tcPr>
            <w:tcW w:w="800" w:type="dxa"/>
            <w:vAlign w:val="bottom"/>
            <w:gridSpan w:val="4"/>
          </w:tcPr>
          <w:p>
            <w:pPr>
              <w:jc w:val="right"/>
              <w:ind w:right="50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172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Borders>
              <w:bottom w:val="single" w:sz="8" w:color="808080"/>
            </w:tcBorders>
          </w:tcPr>
          <w:p>
            <w:pPr>
              <w:spacing w:after="0"/>
              <w:rPr>
                <w:sz w:val="15"/>
                <w:szCs w:val="15"/>
                <w:color w:val="auto"/>
              </w:rPr>
            </w:pPr>
          </w:p>
        </w:tc>
        <w:tc>
          <w:tcPr>
            <w:tcW w:w="3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-1160780</wp:posOffset>
            </wp:positionV>
            <wp:extent cx="12700"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2487295</wp:posOffset>
            </wp:positionH>
            <wp:positionV relativeFrom="paragraph">
              <wp:posOffset>-1160780</wp:posOffset>
            </wp:positionV>
            <wp:extent cx="12700" cy="69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4309745</wp:posOffset>
            </wp:positionH>
            <wp:positionV relativeFrom="paragraph">
              <wp:posOffset>-1160780</wp:posOffset>
            </wp:positionV>
            <wp:extent cx="12700"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-1160780</wp:posOffset>
            </wp:positionV>
            <wp:extent cx="12700" cy="69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5335905</wp:posOffset>
            </wp:positionH>
            <wp:positionV relativeFrom="paragraph">
              <wp:posOffset>-1160780</wp:posOffset>
            </wp:positionV>
            <wp:extent cx="12700" cy="69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-1160780</wp:posOffset>
            </wp:positionV>
            <wp:extent cx="12700"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6290310</wp:posOffset>
            </wp:positionH>
            <wp:positionV relativeFrom="paragraph">
              <wp:posOffset>-1160780</wp:posOffset>
            </wp:positionV>
            <wp:extent cx="12700"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5486400</wp:posOffset>
            </wp:positionH>
            <wp:positionV relativeFrom="paragraph">
              <wp:posOffset>-1160780</wp:posOffset>
            </wp:positionV>
            <wp:extent cx="12700" cy="69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7259320</wp:posOffset>
            </wp:positionH>
            <wp:positionV relativeFrom="paragraph">
              <wp:posOffset>-1160780</wp:posOffset>
            </wp:positionV>
            <wp:extent cx="12700" cy="69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6440805</wp:posOffset>
            </wp:positionH>
            <wp:positionV relativeFrom="paragraph">
              <wp:posOffset>-1160780</wp:posOffset>
            </wp:positionV>
            <wp:extent cx="12700"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-923290</wp:posOffset>
            </wp:positionV>
            <wp:extent cx="12700" cy="342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2487295</wp:posOffset>
            </wp:positionH>
            <wp:positionV relativeFrom="paragraph">
              <wp:posOffset>-923290</wp:posOffset>
            </wp:positionV>
            <wp:extent cx="12700" cy="34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4309745</wp:posOffset>
            </wp:positionH>
            <wp:positionV relativeFrom="paragraph">
              <wp:posOffset>-923290</wp:posOffset>
            </wp:positionV>
            <wp:extent cx="12700" cy="342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-923290</wp:posOffset>
            </wp:positionV>
            <wp:extent cx="12700" cy="342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5335905</wp:posOffset>
            </wp:positionH>
            <wp:positionV relativeFrom="paragraph">
              <wp:posOffset>-923290</wp:posOffset>
            </wp:positionV>
            <wp:extent cx="1270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-923290</wp:posOffset>
            </wp:positionV>
            <wp:extent cx="12700" cy="342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6290310</wp:posOffset>
            </wp:positionH>
            <wp:positionV relativeFrom="paragraph">
              <wp:posOffset>-923290</wp:posOffset>
            </wp:positionV>
            <wp:extent cx="12700" cy="342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5486400</wp:posOffset>
            </wp:positionH>
            <wp:positionV relativeFrom="paragraph">
              <wp:posOffset>-923290</wp:posOffset>
            </wp:positionV>
            <wp:extent cx="12700" cy="342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7259320</wp:posOffset>
            </wp:positionH>
            <wp:positionV relativeFrom="paragraph">
              <wp:posOffset>-923290</wp:posOffset>
            </wp:positionV>
            <wp:extent cx="12700" cy="342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6440805</wp:posOffset>
            </wp:positionH>
            <wp:positionV relativeFrom="paragraph">
              <wp:posOffset>-923290</wp:posOffset>
            </wp:positionV>
            <wp:extent cx="12700" cy="342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-400685</wp:posOffset>
            </wp:positionV>
            <wp:extent cx="12700"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2487295</wp:posOffset>
            </wp:positionH>
            <wp:positionV relativeFrom="paragraph">
              <wp:posOffset>-400685</wp:posOffset>
            </wp:positionV>
            <wp:extent cx="12700"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4309745</wp:posOffset>
            </wp:positionH>
            <wp:positionV relativeFrom="paragraph">
              <wp:posOffset>-400685</wp:posOffset>
            </wp:positionV>
            <wp:extent cx="12700"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-400685</wp:posOffset>
            </wp:positionV>
            <wp:extent cx="12700"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5335905</wp:posOffset>
            </wp:positionH>
            <wp:positionV relativeFrom="paragraph">
              <wp:posOffset>-400685</wp:posOffset>
            </wp:positionV>
            <wp:extent cx="12700" cy="69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-400685</wp:posOffset>
            </wp:positionV>
            <wp:extent cx="12700" cy="69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6290310</wp:posOffset>
            </wp:positionH>
            <wp:positionV relativeFrom="paragraph">
              <wp:posOffset>-400685</wp:posOffset>
            </wp:positionV>
            <wp:extent cx="12700" cy="69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5486400</wp:posOffset>
            </wp:positionH>
            <wp:positionV relativeFrom="paragraph">
              <wp:posOffset>-400685</wp:posOffset>
            </wp:positionV>
            <wp:extent cx="12700" cy="69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7259320</wp:posOffset>
            </wp:positionH>
            <wp:positionV relativeFrom="paragraph">
              <wp:posOffset>-400685</wp:posOffset>
            </wp:positionV>
            <wp:extent cx="12700" cy="69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6440805</wp:posOffset>
            </wp:positionH>
            <wp:positionV relativeFrom="paragraph">
              <wp:posOffset>-400685</wp:posOffset>
            </wp:positionV>
            <wp:extent cx="12700" cy="69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-162560</wp:posOffset>
            </wp:positionV>
            <wp:extent cx="12700" cy="342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2487295</wp:posOffset>
            </wp:positionH>
            <wp:positionV relativeFrom="paragraph">
              <wp:posOffset>-162560</wp:posOffset>
            </wp:positionV>
            <wp:extent cx="12700" cy="342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4309745</wp:posOffset>
            </wp:positionH>
            <wp:positionV relativeFrom="paragraph">
              <wp:posOffset>-162560</wp:posOffset>
            </wp:positionV>
            <wp:extent cx="12700" cy="342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-162560</wp:posOffset>
            </wp:positionV>
            <wp:extent cx="12700" cy="342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5335905</wp:posOffset>
            </wp:positionH>
            <wp:positionV relativeFrom="paragraph">
              <wp:posOffset>-162560</wp:posOffset>
            </wp:positionV>
            <wp:extent cx="12700" cy="342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-162560</wp:posOffset>
            </wp:positionV>
            <wp:extent cx="12700" cy="342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6290310</wp:posOffset>
            </wp:positionH>
            <wp:positionV relativeFrom="paragraph">
              <wp:posOffset>-162560</wp:posOffset>
            </wp:positionV>
            <wp:extent cx="12700" cy="342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5486400</wp:posOffset>
            </wp:positionH>
            <wp:positionV relativeFrom="paragraph">
              <wp:posOffset>-162560</wp:posOffset>
            </wp:positionV>
            <wp:extent cx="12700" cy="342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7259320</wp:posOffset>
            </wp:positionH>
            <wp:positionV relativeFrom="paragraph">
              <wp:posOffset>-162560</wp:posOffset>
            </wp:positionV>
            <wp:extent cx="12700" cy="342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6440805</wp:posOffset>
            </wp:positionH>
            <wp:positionV relativeFrom="paragraph">
              <wp:posOffset>-162560</wp:posOffset>
            </wp:positionV>
            <wp:extent cx="12700" cy="342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-12700</wp:posOffset>
            </wp:positionV>
            <wp:extent cx="12700" cy="69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pacing w:after="0" w:line="149" w:lineRule="exact"/>
        <w:rPr>
          <w:sz w:val="20"/>
          <w:szCs w:val="20"/>
          <w:color w:val="auto"/>
        </w:rPr>
      </w:pPr>
    </w:p>
    <w:p>
      <w:pPr>
        <w:ind w:left="10"/>
        <w:spacing w:after="0"/>
        <w:rPr>
          <w:sz w:val="20"/>
          <w:szCs w:val="20"/>
          <w:color w:val="auto"/>
        </w:rPr>
      </w:pPr>
      <w:r>
        <w:rPr>
          <w:rFonts w:ascii="Arial" w:cs="Arial" w:eastAsia="Arial" w:hAnsi="Arial"/>
          <w:sz w:val="15"/>
          <w:szCs w:val="15"/>
          <w:color w:val="auto"/>
        </w:rPr>
        <w:t>Notes:</w:t>
      </w:r>
    </w:p>
    <w:p>
      <w:pPr>
        <w:spacing w:after="0" w:line="212" w:lineRule="exact"/>
        <w:rPr>
          <w:sz w:val="20"/>
          <w:szCs w:val="20"/>
          <w:color w:val="auto"/>
        </w:rPr>
      </w:pPr>
    </w:p>
    <w:p>
      <w:pPr>
        <w:ind w:left="450" w:hanging="450"/>
        <w:spacing w:after="0"/>
        <w:tabs>
          <w:tab w:leader="none" w:pos="450" w:val="left"/>
        </w:tabs>
        <w:numPr>
          <w:ilvl w:val="0"/>
          <w:numId w:val="29"/>
        </w:numPr>
        <w:rPr>
          <w:rFonts w:ascii="Arial" w:cs="Arial" w:eastAsia="Arial" w:hAnsi="Arial"/>
          <w:sz w:val="15"/>
          <w:szCs w:val="15"/>
          <w:color w:val="auto"/>
        </w:rPr>
      </w:pPr>
      <w:r>
        <w:rPr>
          <w:rFonts w:ascii="Arial" w:cs="Arial" w:eastAsia="Arial" w:hAnsi="Arial"/>
          <w:sz w:val="15"/>
          <w:szCs w:val="15"/>
          <w:color w:val="auto"/>
        </w:rPr>
        <w:t>Primarily related to divestitures, acquisitions and currency translation.</w:t>
      </w:r>
    </w:p>
    <w:p>
      <w:pPr>
        <w:spacing w:after="0" w:line="200" w:lineRule="exact"/>
        <w:rPr>
          <w:rFonts w:ascii="Arial" w:cs="Arial" w:eastAsia="Arial" w:hAnsi="Arial"/>
          <w:sz w:val="15"/>
          <w:szCs w:val="15"/>
          <w:color w:val="auto"/>
        </w:rPr>
      </w:pPr>
    </w:p>
    <w:p>
      <w:pPr>
        <w:ind w:left="450" w:hanging="450"/>
        <w:spacing w:after="0"/>
        <w:tabs>
          <w:tab w:leader="none" w:pos="45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Represents charges for which allowances were created.</w:t>
      </w:r>
    </w:p>
    <w:p>
      <w:pPr>
        <w:spacing w:after="0" w:line="189"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4560" cy="196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
        <w:spacing w:after="0"/>
        <w:rPr>
          <w:sz w:val="20"/>
          <w:szCs w:val="20"/>
          <w:color w:val="auto"/>
        </w:rPr>
      </w:pPr>
      <w:r>
        <w:rPr>
          <w:rFonts w:ascii="Arial" w:cs="Arial" w:eastAsia="Arial" w:hAnsi="Arial"/>
          <w:sz w:val="18"/>
          <w:szCs w:val="18"/>
          <w:color w:val="auto"/>
        </w:rPr>
        <w:t>QuickLinks</w:t>
      </w:r>
    </w:p>
    <w:p>
      <w:pPr>
        <w:spacing w:after="0" w:line="189" w:lineRule="exact"/>
        <w:rPr>
          <w:sz w:val="20"/>
          <w:szCs w:val="20"/>
          <w:color w:val="auto"/>
        </w:rPr>
      </w:pPr>
    </w:p>
    <w:p>
      <w:pPr>
        <w:ind w:left="10"/>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PART I</w:t>
        </w:r>
      </w:hyperlink>
    </w:p>
    <w:p>
      <w:pPr>
        <w:spacing w:after="0" w:line="189" w:lineRule="exact"/>
        <w:rPr>
          <w:sz w:val="20"/>
          <w:szCs w:val="20"/>
          <w:color w:val="auto"/>
        </w:rPr>
      </w:pPr>
    </w:p>
    <w:p>
      <w:pPr>
        <w:ind w:left="450"/>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Item 1. Business.</w:t>
        </w:r>
      </w:hyperlink>
    </w:p>
    <w:p>
      <w:pPr>
        <w:spacing w:after="0" w:line="189" w:lineRule="exact"/>
        <w:rPr>
          <w:sz w:val="20"/>
          <w:szCs w:val="20"/>
          <w:color w:val="auto"/>
        </w:rPr>
      </w:pPr>
    </w:p>
    <w:p>
      <w:pPr>
        <w:ind w:left="450"/>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Item 2. Properties.</w:t>
        </w:r>
      </w:hyperlink>
    </w:p>
    <w:p>
      <w:pPr>
        <w:spacing w:after="0" w:line="14" w:lineRule="exact"/>
        <w:rPr>
          <w:sz w:val="20"/>
          <w:szCs w:val="20"/>
          <w:color w:val="auto"/>
        </w:rPr>
      </w:pPr>
    </w:p>
    <w:p>
      <w:pPr>
        <w:ind w:left="450"/>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Item 3. Legal Proceedings.</w:t>
        </w:r>
      </w:hyperlink>
    </w:p>
    <w:p>
      <w:pPr>
        <w:spacing w:after="0" w:line="8" w:lineRule="exact"/>
        <w:rPr>
          <w:sz w:val="20"/>
          <w:szCs w:val="20"/>
          <w:color w:val="auto"/>
        </w:rPr>
      </w:pPr>
    </w:p>
    <w:p>
      <w:pPr>
        <w:ind w:left="450"/>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Item 4. Submission of Matters to a Vote of Security Holders.</w:t>
        </w:r>
      </w:hyperlink>
    </w:p>
    <w:p>
      <w:pPr>
        <w:spacing w:after="0" w:line="183" w:lineRule="exact"/>
        <w:rPr>
          <w:sz w:val="20"/>
          <w:szCs w:val="20"/>
          <w:color w:val="auto"/>
        </w:rPr>
      </w:pPr>
    </w:p>
    <w:p>
      <w:pPr>
        <w:ind w:left="10"/>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PART II</w:t>
        </w:r>
      </w:hyperlink>
    </w:p>
    <w:p>
      <w:pPr>
        <w:spacing w:after="0" w:line="189" w:lineRule="exact"/>
        <w:rPr>
          <w:sz w:val="20"/>
          <w:szCs w:val="20"/>
          <w:color w:val="auto"/>
        </w:rPr>
      </w:pPr>
    </w:p>
    <w:p>
      <w:pPr>
        <w:ind w:left="450"/>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Item 5. Market for Registrant's Common Equity and Related Stockholder Matters.</w:t>
        </w:r>
      </w:hyperlink>
    </w:p>
    <w:p>
      <w:pPr>
        <w:spacing w:after="0" w:line="14" w:lineRule="exact"/>
        <w:rPr>
          <w:sz w:val="20"/>
          <w:szCs w:val="20"/>
          <w:color w:val="auto"/>
        </w:rPr>
      </w:pPr>
    </w:p>
    <w:p>
      <w:pPr>
        <w:ind w:left="450"/>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Item 6. Selected Financial Data.</w:t>
        </w:r>
      </w:hyperlink>
    </w:p>
    <w:p>
      <w:pPr>
        <w:spacing w:after="0" w:line="183" w:lineRule="exact"/>
        <w:rPr>
          <w:sz w:val="20"/>
          <w:szCs w:val="20"/>
          <w:color w:val="auto"/>
        </w:rPr>
      </w:pPr>
    </w:p>
    <w:p>
      <w:pPr>
        <w:ind w:left="450"/>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Item 7. Management's Discussion and Analysis of Financial Condition and Results of Operations.</w:t>
        </w:r>
      </w:hyperlink>
    </w:p>
    <w:p>
      <w:pPr>
        <w:spacing w:after="0" w:line="14" w:lineRule="exact"/>
        <w:rPr>
          <w:sz w:val="20"/>
          <w:szCs w:val="20"/>
          <w:color w:val="auto"/>
        </w:rPr>
      </w:pPr>
    </w:p>
    <w:p>
      <w:pPr>
        <w:ind w:left="450"/>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Item 7A. Quantitative and Qualitative Disclosures About Market Risk.</w:t>
        </w:r>
      </w:hyperlink>
    </w:p>
    <w:p>
      <w:pPr>
        <w:spacing w:after="0" w:line="8" w:lineRule="exact"/>
        <w:rPr>
          <w:sz w:val="20"/>
          <w:szCs w:val="20"/>
          <w:color w:val="auto"/>
        </w:rPr>
      </w:pPr>
    </w:p>
    <w:p>
      <w:pPr>
        <w:ind w:left="450"/>
        <w:spacing w:after="0"/>
        <w:rPr>
          <w:rFonts w:ascii="Arial" w:cs="Arial" w:eastAsia="Arial" w:hAnsi="Arial"/>
          <w:sz w:val="15"/>
          <w:szCs w:val="15"/>
          <w:u w:val="single" w:color="auto"/>
          <w:color w:val="0000EE"/>
        </w:rPr>
      </w:pPr>
      <w:hyperlink w:anchor="page8">
        <w:r>
          <w:rPr>
            <w:rFonts w:ascii="Arial" w:cs="Arial" w:eastAsia="Arial" w:hAnsi="Arial"/>
            <w:sz w:val="15"/>
            <w:szCs w:val="15"/>
            <w:u w:val="single" w:color="auto"/>
            <w:color w:val="0000EE"/>
          </w:rPr>
          <w:t>Item 8. Financial Statements and Supplementary Data.</w:t>
        </w:r>
      </w:hyperlink>
    </w:p>
    <w:p>
      <w:pPr>
        <w:spacing w:after="0" w:line="8" w:lineRule="exact"/>
        <w:rPr>
          <w:sz w:val="20"/>
          <w:szCs w:val="20"/>
          <w:color w:val="auto"/>
        </w:rPr>
      </w:pPr>
    </w:p>
    <w:p>
      <w:pPr>
        <w:ind w:left="450"/>
        <w:spacing w:after="0"/>
        <w:rPr>
          <w:rFonts w:ascii="Arial" w:cs="Arial" w:eastAsia="Arial" w:hAnsi="Arial"/>
          <w:sz w:val="15"/>
          <w:szCs w:val="15"/>
          <w:u w:val="single" w:color="auto"/>
          <w:color w:val="0000EE"/>
        </w:rPr>
      </w:pPr>
      <w:hyperlink w:anchor="page8">
        <w:r>
          <w:rPr>
            <w:rFonts w:ascii="Arial" w:cs="Arial" w:eastAsia="Arial" w:hAnsi="Arial"/>
            <w:sz w:val="15"/>
            <w:szCs w:val="15"/>
            <w:u w:val="single" w:color="auto"/>
            <w:color w:val="0000EE"/>
          </w:rPr>
          <w:t>Item 9. Changes in and Disagreements with Accountants on Accounting and Financial Disclosure.</w:t>
        </w:r>
      </w:hyperlink>
    </w:p>
    <w:p>
      <w:pPr>
        <w:spacing w:after="0" w:line="183" w:lineRule="exact"/>
        <w:rPr>
          <w:sz w:val="20"/>
          <w:szCs w:val="20"/>
          <w:color w:val="auto"/>
        </w:rPr>
      </w:pPr>
    </w:p>
    <w:p>
      <w:pPr>
        <w:ind w:left="10"/>
        <w:spacing w:after="0"/>
        <w:rPr>
          <w:rFonts w:ascii="Arial" w:cs="Arial" w:eastAsia="Arial" w:hAnsi="Arial"/>
          <w:sz w:val="15"/>
          <w:szCs w:val="15"/>
          <w:u w:val="single" w:color="auto"/>
          <w:color w:val="0000EE"/>
        </w:rPr>
      </w:pPr>
      <w:hyperlink w:anchor="page8">
        <w:r>
          <w:rPr>
            <w:rFonts w:ascii="Arial" w:cs="Arial" w:eastAsia="Arial" w:hAnsi="Arial"/>
            <w:sz w:val="15"/>
            <w:szCs w:val="15"/>
            <w:u w:val="single" w:color="auto"/>
            <w:color w:val="0000EE"/>
          </w:rPr>
          <w:t>PART III</w:t>
        </w:r>
      </w:hyperlink>
    </w:p>
    <w:p>
      <w:pPr>
        <w:spacing w:after="0" w:line="189" w:lineRule="exact"/>
        <w:rPr>
          <w:sz w:val="20"/>
          <w:szCs w:val="20"/>
          <w:color w:val="auto"/>
        </w:rPr>
      </w:pPr>
    </w:p>
    <w:p>
      <w:pPr>
        <w:ind w:left="450"/>
        <w:spacing w:after="0"/>
        <w:rPr>
          <w:rFonts w:ascii="Arial" w:cs="Arial" w:eastAsia="Arial" w:hAnsi="Arial"/>
          <w:sz w:val="15"/>
          <w:szCs w:val="15"/>
          <w:u w:val="single" w:color="auto"/>
          <w:color w:val="0000EE"/>
        </w:rPr>
      </w:pPr>
      <w:hyperlink w:anchor="page8">
        <w:r>
          <w:rPr>
            <w:rFonts w:ascii="Arial" w:cs="Arial" w:eastAsia="Arial" w:hAnsi="Arial"/>
            <w:sz w:val="15"/>
            <w:szCs w:val="15"/>
            <w:u w:val="single" w:color="auto"/>
            <w:color w:val="0000EE"/>
          </w:rPr>
          <w:t>Item 10. Directors and Executive Officers of the Registrant.</w:t>
        </w:r>
      </w:hyperlink>
    </w:p>
    <w:p>
      <w:pPr>
        <w:spacing w:after="0" w:line="14" w:lineRule="exact"/>
        <w:rPr>
          <w:sz w:val="20"/>
          <w:szCs w:val="20"/>
          <w:color w:val="auto"/>
        </w:rPr>
      </w:pPr>
    </w:p>
    <w:p>
      <w:pPr>
        <w:ind w:left="450"/>
        <w:spacing w:after="0"/>
        <w:rPr>
          <w:rFonts w:ascii="Arial" w:cs="Arial" w:eastAsia="Arial" w:hAnsi="Arial"/>
          <w:sz w:val="15"/>
          <w:szCs w:val="15"/>
          <w:u w:val="single" w:color="auto"/>
          <w:color w:val="0000EE"/>
        </w:rPr>
      </w:pPr>
      <w:hyperlink w:anchor="page8">
        <w:r>
          <w:rPr>
            <w:rFonts w:ascii="Arial" w:cs="Arial" w:eastAsia="Arial" w:hAnsi="Arial"/>
            <w:sz w:val="15"/>
            <w:szCs w:val="15"/>
            <w:u w:val="single" w:color="auto"/>
            <w:color w:val="0000EE"/>
          </w:rPr>
          <w:t>Item 11. Executive Compensation.</w:t>
        </w:r>
      </w:hyperlink>
    </w:p>
    <w:p>
      <w:pPr>
        <w:spacing w:after="0" w:line="8" w:lineRule="exact"/>
        <w:rPr>
          <w:sz w:val="20"/>
          <w:szCs w:val="20"/>
          <w:color w:val="auto"/>
        </w:rPr>
      </w:pPr>
    </w:p>
    <w:p>
      <w:pPr>
        <w:ind w:left="450"/>
        <w:spacing w:after="0"/>
        <w:rPr>
          <w:rFonts w:ascii="Arial" w:cs="Arial" w:eastAsia="Arial" w:hAnsi="Arial"/>
          <w:sz w:val="15"/>
          <w:szCs w:val="15"/>
          <w:u w:val="single" w:color="auto"/>
          <w:color w:val="0000EE"/>
        </w:rPr>
      </w:pPr>
      <w:hyperlink w:anchor="page9">
        <w:r>
          <w:rPr>
            <w:rFonts w:ascii="Arial" w:cs="Arial" w:eastAsia="Arial" w:hAnsi="Arial"/>
            <w:sz w:val="15"/>
            <w:szCs w:val="15"/>
            <w:u w:val="single" w:color="auto"/>
            <w:color w:val="0000EE"/>
          </w:rPr>
          <w:t>Item 12. Security Ownership of Certain Beneficial Owners and Management and Related Stockholder Matters.</w:t>
        </w:r>
      </w:hyperlink>
    </w:p>
    <w:p>
      <w:pPr>
        <w:spacing w:after="0" w:line="183" w:lineRule="exact"/>
        <w:rPr>
          <w:sz w:val="20"/>
          <w:szCs w:val="20"/>
          <w:color w:val="auto"/>
        </w:rPr>
      </w:pPr>
    </w:p>
    <w:p>
      <w:pPr>
        <w:ind w:left="10"/>
        <w:spacing w:after="0"/>
        <w:rPr>
          <w:rFonts w:ascii="Arial" w:cs="Arial" w:eastAsia="Arial" w:hAnsi="Arial"/>
          <w:sz w:val="15"/>
          <w:szCs w:val="15"/>
          <w:u w:val="single" w:color="auto"/>
          <w:color w:val="0000EE"/>
        </w:rPr>
      </w:pPr>
      <w:hyperlink w:anchor="page9">
        <w:r>
          <w:rPr>
            <w:rFonts w:ascii="Arial" w:cs="Arial" w:eastAsia="Arial" w:hAnsi="Arial"/>
            <w:sz w:val="15"/>
            <w:szCs w:val="15"/>
            <w:u w:val="single" w:color="auto"/>
            <w:color w:val="0000EE"/>
          </w:rPr>
          <w:t>Equity Compensation Plan Information</w:t>
        </w:r>
      </w:hyperlink>
    </w:p>
    <w:p>
      <w:pPr>
        <w:spacing w:after="0" w:line="189" w:lineRule="exact"/>
        <w:rPr>
          <w:sz w:val="20"/>
          <w:szCs w:val="20"/>
          <w:color w:val="auto"/>
        </w:rPr>
      </w:pPr>
    </w:p>
    <w:p>
      <w:pPr>
        <w:ind w:left="450"/>
        <w:spacing w:after="0"/>
        <w:rPr>
          <w:rFonts w:ascii="Arial" w:cs="Arial" w:eastAsia="Arial" w:hAnsi="Arial"/>
          <w:sz w:val="15"/>
          <w:szCs w:val="15"/>
          <w:u w:val="single" w:color="auto"/>
          <w:color w:val="0000EE"/>
        </w:rPr>
      </w:pPr>
      <w:hyperlink w:anchor="page9">
        <w:r>
          <w:rPr>
            <w:rFonts w:ascii="Arial" w:cs="Arial" w:eastAsia="Arial" w:hAnsi="Arial"/>
            <w:sz w:val="15"/>
            <w:szCs w:val="15"/>
            <w:u w:val="single" w:color="auto"/>
            <w:color w:val="0000EE"/>
          </w:rPr>
          <w:t>Item 13. Certain Relationships and Related Transactions.</w:t>
        </w:r>
      </w:hyperlink>
    </w:p>
    <w:p>
      <w:pPr>
        <w:spacing w:after="0" w:line="14" w:lineRule="exact"/>
        <w:rPr>
          <w:sz w:val="20"/>
          <w:szCs w:val="20"/>
          <w:color w:val="auto"/>
        </w:rPr>
      </w:pPr>
    </w:p>
    <w:p>
      <w:pPr>
        <w:ind w:left="450"/>
        <w:spacing w:after="0"/>
        <w:rPr>
          <w:rFonts w:ascii="Arial" w:cs="Arial" w:eastAsia="Arial" w:hAnsi="Arial"/>
          <w:sz w:val="15"/>
          <w:szCs w:val="15"/>
          <w:u w:val="single" w:color="auto"/>
          <w:color w:val="0000EE"/>
        </w:rPr>
      </w:pPr>
      <w:hyperlink w:anchor="page9">
        <w:r>
          <w:rPr>
            <w:rFonts w:ascii="Arial" w:cs="Arial" w:eastAsia="Arial" w:hAnsi="Arial"/>
            <w:sz w:val="15"/>
            <w:szCs w:val="15"/>
            <w:u w:val="single" w:color="auto"/>
            <w:color w:val="0000EE"/>
          </w:rPr>
          <w:t>Item 14. Controls and Procedures.</w:t>
        </w:r>
      </w:hyperlink>
    </w:p>
    <w:p>
      <w:pPr>
        <w:spacing w:after="0" w:line="183" w:lineRule="exact"/>
        <w:rPr>
          <w:sz w:val="20"/>
          <w:szCs w:val="20"/>
          <w:color w:val="auto"/>
        </w:rPr>
      </w:pPr>
    </w:p>
    <w:p>
      <w:pPr>
        <w:ind w:left="10"/>
        <w:spacing w:after="0"/>
        <w:rPr>
          <w:rFonts w:ascii="Arial" w:cs="Arial" w:eastAsia="Arial" w:hAnsi="Arial"/>
          <w:sz w:val="15"/>
          <w:szCs w:val="15"/>
          <w:u w:val="single" w:color="auto"/>
          <w:color w:val="0000EE"/>
        </w:rPr>
      </w:pPr>
      <w:hyperlink w:anchor="page9">
        <w:r>
          <w:rPr>
            <w:rFonts w:ascii="Arial" w:cs="Arial" w:eastAsia="Arial" w:hAnsi="Arial"/>
            <w:sz w:val="15"/>
            <w:szCs w:val="15"/>
            <w:u w:val="single" w:color="auto"/>
            <w:color w:val="0000EE"/>
          </w:rPr>
          <w:t>PART IV</w:t>
        </w:r>
      </w:hyperlink>
    </w:p>
    <w:p>
      <w:pPr>
        <w:spacing w:after="0" w:line="189" w:lineRule="exact"/>
        <w:rPr>
          <w:sz w:val="20"/>
          <w:szCs w:val="20"/>
          <w:color w:val="auto"/>
        </w:rPr>
      </w:pPr>
    </w:p>
    <w:p>
      <w:pPr>
        <w:ind w:left="450"/>
        <w:spacing w:after="0"/>
        <w:rPr>
          <w:rFonts w:ascii="Arial" w:cs="Arial" w:eastAsia="Arial" w:hAnsi="Arial"/>
          <w:sz w:val="15"/>
          <w:szCs w:val="15"/>
          <w:u w:val="single" w:color="auto"/>
          <w:color w:val="0000EE"/>
        </w:rPr>
      </w:pPr>
      <w:hyperlink w:anchor="page9">
        <w:r>
          <w:rPr>
            <w:rFonts w:ascii="Arial" w:cs="Arial" w:eastAsia="Arial" w:hAnsi="Arial"/>
            <w:sz w:val="15"/>
            <w:szCs w:val="15"/>
            <w:u w:val="single" w:color="auto"/>
            <w:color w:val="0000EE"/>
          </w:rPr>
          <w:t>Item 15. Exhibits, Financial Statement Schedules, and Reports on Form 8-K.</w:t>
        </w:r>
      </w:hyperlink>
    </w:p>
    <w:p>
      <w:pPr>
        <w:spacing w:after="0" w:line="189" w:lineRule="exact"/>
        <w:rPr>
          <w:sz w:val="20"/>
          <w:szCs w:val="20"/>
          <w:color w:val="auto"/>
        </w:rPr>
      </w:pPr>
    </w:p>
    <w:p>
      <w:pPr>
        <w:ind w:left="10"/>
        <w:spacing w:after="0"/>
        <w:rPr>
          <w:rFonts w:ascii="Arial" w:cs="Arial" w:eastAsia="Arial" w:hAnsi="Arial"/>
          <w:sz w:val="15"/>
          <w:szCs w:val="15"/>
          <w:u w:val="single" w:color="auto"/>
          <w:color w:val="0000EE"/>
        </w:rPr>
      </w:pPr>
      <w:hyperlink w:anchor="page10">
        <w:r>
          <w:rPr>
            <w:rFonts w:ascii="Arial" w:cs="Arial" w:eastAsia="Arial" w:hAnsi="Arial"/>
            <w:sz w:val="15"/>
            <w:szCs w:val="15"/>
            <w:u w:val="single" w:color="auto"/>
            <w:color w:val="0000EE"/>
          </w:rPr>
          <w:t>SIGNATURES</w:t>
        </w:r>
      </w:hyperlink>
    </w:p>
    <w:p>
      <w:pPr>
        <w:sectPr>
          <w:pgSz w:w="11900" w:h="16838" w:orient="portrait"/>
          <w:cols w:equalWidth="0" w:num="1">
            <w:col w:w="11450"/>
          </w:cols>
          <w:pgMar w:left="230" w:top="132" w:right="219" w:bottom="1440" w:gutter="0" w:footer="0" w:header="0"/>
        </w:sectPr>
      </w:pPr>
    </w:p>
    <w:bookmarkStart w:id="13" w:name="page14"/>
    <w:bookmarkEnd w:id="13"/>
    <w:p>
      <w:pPr>
        <w:jc w:val="right"/>
        <w:ind w:right="3179"/>
        <w:spacing w:after="0"/>
        <w:rPr>
          <w:sz w:val="20"/>
          <w:szCs w:val="20"/>
          <w:color w:val="auto"/>
        </w:rPr>
      </w:pPr>
      <w:r>
        <w:rPr>
          <w:rFonts w:ascii="Courier New" w:cs="Courier New" w:eastAsia="Courier New" w:hAnsi="Courier New"/>
          <w:sz w:val="15"/>
          <w:szCs w:val="15"/>
          <w:color w:val="auto"/>
        </w:rPr>
        <w:t>Exhibit 13</w:t>
      </w:r>
    </w:p>
    <w:p>
      <w:pPr>
        <w:ind w:left="2900"/>
        <w:spacing w:after="0"/>
        <w:rPr>
          <w:sz w:val="20"/>
          <w:szCs w:val="20"/>
          <w:color w:val="auto"/>
        </w:rPr>
      </w:pPr>
      <w:r>
        <w:rPr>
          <w:rFonts w:ascii="Courier New" w:cs="Courier New" w:eastAsia="Courier New" w:hAnsi="Courier New"/>
          <w:sz w:val="15"/>
          <w:szCs w:val="15"/>
          <w:color w:val="auto"/>
        </w:rPr>
        <w:t>Kraft Foods Inc.</w:t>
      </w:r>
    </w:p>
    <w:p>
      <w:pPr>
        <w:spacing w:after="0" w:line="174"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Kraft Foods Inc. ("Kraft"), together with its subsidiaries (collectively referred to as the "Company") is the largest branded food and beverage company headquartered in the United States. Prior to June 13, 2001, the Company was a wholly-owned subsidiary of Altria Group, Inc. (formerly Philip Morris Companies Inc.). On June 13, 2001, the Company completed an initial public offering ("IPO") of 280,000,000 shares of its Class A common stock at a price of $31.00 per share. The IPO proceeds, net of the underwriting discount and expenses, of $8.4 billion were used to retire a portion of an $11.0 billion long-term note payable to Altria Group, Inc., incurred in connection with the acquisition of Nabisco Holdings Corp. ("Nabisco"). After the IPO, Altria Group, Inc. owned approximately 83.9% of the outstanding shares of the Company's capital stock through its ownership of 49.5% of the Company's Class A common stock and 100% of the Company's Class B common stock. The Company's Class A common stock has one vote per share, while the Company's Class B common stock has ten votes per share. At December 31, 2002, Altria Group, Inc. held 97.8% of the combined voting power of the Company's outstanding capital stock and owned approximately 84.2% of the outstanding shares of the Company's capital stock.</w:t>
      </w:r>
    </w:p>
    <w:p>
      <w:pPr>
        <w:spacing w:after="0" w:line="16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Company conducts its global business through two subsidiaries: Kraft Foods North America, Inc. ("KFNA") and Kraft Foods International, Inc. ("KFI"). KFNA manages its operations by product category, while KFI manages its operations by geographic region. KFNA's segments are Cheese, Meals and Enhancers; Biscuits, Snacks and Confectionery; Beverages, Desserts and Cereals; and Oscar Mayer and Pizza. KFNA's food service business within the United States and its businesses in Canada and Mexico are reported through the Cheese, Meals and Enhancers segment. KFI's segments are Europe, Middle East and Africa; and Latin America and Asia Pacific.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Financial Reporting Release No. 60, which was issued by the Securities and Exchange Commission ("SEC"), requires all registrants to discuss critical accounting policies or methods used in the preparation of financial statements. Note 2 to the consolidated financial statements includes a summary of the significant accounting policies and methods used in the preparation of the Company's consolidated financial statements. In most instances, the Company must use an accounting policy or method because it is the only policy or method permitted under accounting principles generally accepted in the United States of America ("U.S. GAAP").</w:t>
      </w:r>
    </w:p>
    <w:p>
      <w:pPr>
        <w:spacing w:after="0" w:line="179"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The preparation of all financial statements includes the use of estimates and assumptions that affect a number of amounts included in the Company's financial statements, including, among other things, employee benefit costs and income taxes. The Company bases its estimates historical experience and other assumptions that it believes are reasonable. If actual amounts are ultimately different from previous estimates, the revisions are included in the Company's results for the period in which the actual amounts become known. Historically, the aggregate differences, if any, between the Company's estimates and actual amounts in any year have not had a significant impact on the Company's consolidated financial statements.</w:t>
      </w:r>
    </w:p>
    <w:p>
      <w:pPr>
        <w:spacing w:after="0" w:line="180"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The Company's Audit Committee has reviewed the development, selection and disclosure of the critical accounting policies and estimates.</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following is a review of the more significant assumptions and estimates, as well as the accounting policies and methods used in the preparation of the Company's consolidated financial statements:</w:t>
      </w:r>
    </w:p>
    <w:p>
      <w:pPr>
        <w:spacing w:after="0" w:line="175"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4"/>
          <w:szCs w:val="14"/>
          <w:color w:val="auto"/>
        </w:rPr>
        <w:t>Employee Benefit Plans: As discussed in Note 14 to the consolidated financial statements, the Company provides a range of benefits to its employees and retired employees, including pensions, postretirement health care benefits and postemployment benefits (primarily severance). The Company records amounts relating to these plans based on calculations specified by U.S. GAAP, which include various actuarial assumptions, such as discount rates, assumed rates of return on plan assets, compensation increases, turnover rates and health care cost trend rates. The Company reviews its actuarial assumptions on an annual basis and makes modifications to the assumptions based on current rates and trends when it is deemed appropriate to do so. As required by U.S. GAAP, the effect of the modifications is generally recorded or amortized over future periods. The Company believes that the assumptions utilized in recording its obligations under its plans, which are presented in Note 14 to the consolidated financial statements, are reasonable based on its experience and advice from its actuaries.</w:t>
      </w:r>
    </w:p>
    <w:p>
      <w:pPr>
        <w:spacing w:after="0" w:line="16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During the years ended December 31, 2002, 2001 and 2000, the Company recorded the following amounts in the consolidated statement of earnings for employee benefit plans:</w:t>
      </w:r>
    </w:p>
    <w:p>
      <w:pPr>
        <w:spacing w:after="0" w:line="17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 millions)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----------------- 2002 2001 2000 - --------------------------------------------</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 U.S. pension plan income $(33) $(227)</w:t>
      </w:r>
    </w:p>
    <w:p>
      <w:pPr>
        <w:spacing w:after="0" w:line="5" w:lineRule="exact"/>
        <w:rPr>
          <w:sz w:val="20"/>
          <w:szCs w:val="20"/>
          <w:color w:val="auto"/>
        </w:rPr>
      </w:pPr>
    </w:p>
    <w:p>
      <w:pPr>
        <w:jc w:val="both"/>
        <w:ind w:left="40" w:right="3219" w:firstLine="88"/>
        <w:spacing w:after="0" w:line="256" w:lineRule="auto"/>
        <w:rPr>
          <w:sz w:val="20"/>
          <w:szCs w:val="20"/>
          <w:color w:val="auto"/>
        </w:rPr>
      </w:pPr>
      <w:r>
        <w:rPr>
          <w:rFonts w:ascii="Courier New" w:cs="Courier New" w:eastAsia="Courier New" w:hAnsi="Courier New"/>
          <w:sz w:val="14"/>
          <w:szCs w:val="14"/>
          <w:color w:val="auto"/>
        </w:rPr>
        <w:t>$(315) Non-U.S. pension plan cost 47 35 34 Postretirement healthcare cost 217 199 126 Postemployment benefit plan cost 35 12 9 Employee savings plan cost 64 63 43 - -----------------------------------------------------------------------</w:t>
      </w:r>
    </w:p>
    <w:p>
      <w:pPr>
        <w:ind w:left="260"/>
        <w:spacing w:after="0" w:line="233" w:lineRule="auto"/>
        <w:rPr>
          <w:sz w:val="20"/>
          <w:szCs w:val="20"/>
          <w:color w:val="auto"/>
        </w:rPr>
      </w:pPr>
      <w:r>
        <w:rPr>
          <w:rFonts w:ascii="Courier New" w:cs="Courier New" w:eastAsia="Courier New" w:hAnsi="Courier New"/>
          <w:sz w:val="15"/>
          <w:szCs w:val="15"/>
          <w:color w:val="auto"/>
        </w:rPr>
        <w:t>--------- Net expense (income) for employee benefit plans $330 $ 82 $(103)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305" w:right="1440" w:bottom="0" w:gutter="0" w:footer="0" w:header="0"/>
        </w:sectPr>
      </w:pPr>
    </w:p>
    <w:bookmarkStart w:id="14" w:name="page15"/>
    <w:bookmarkEnd w:id="14"/>
    <w:p>
      <w:pPr>
        <w:ind w:right="3259"/>
        <w:spacing w:after="0" w:line="238" w:lineRule="auto"/>
        <w:rPr>
          <w:sz w:val="20"/>
          <w:szCs w:val="20"/>
          <w:color w:val="auto"/>
        </w:rPr>
      </w:pPr>
      <w:r>
        <w:rPr>
          <w:rFonts w:ascii="Courier New" w:cs="Courier New" w:eastAsia="Courier New" w:hAnsi="Courier New"/>
          <w:sz w:val="15"/>
          <w:szCs w:val="15"/>
          <w:color w:val="auto"/>
        </w:rPr>
        <w:t>The 2002 net expense for employee benefit plans of $330 million increased by $248 million over the 2001 amount. This increase includes the costs associated with voluntary early retirement and integration programs ($148 million), which were recorded during 2002. The remainder of the cost increase primarily relates to a lowering of the Company's discount rate assumption on its pension and postretirement benefit plans, and lower than expected returns on invested pension assets. The 2001 net expense for employee benefit plans of $82 million increased by $185 million over the 2000 amount. This increase was due primarily to the Company's acquisition of Nabisco, lower pension asset returns and higher retiree medical costs.</w:t>
      </w:r>
    </w:p>
    <w:p>
      <w:pPr>
        <w:spacing w:after="0" w:line="3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pacing w:after="0" w:line="200" w:lineRule="exact"/>
        <w:rPr>
          <w:sz w:val="20"/>
          <w:szCs w:val="20"/>
          <w:color w:val="auto"/>
        </w:rPr>
      </w:pPr>
    </w:p>
    <w:p>
      <w:pPr>
        <w:spacing w:after="0" w:line="30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Kraft Foods Inc.</w:t>
      </w:r>
    </w:p>
    <w:p>
      <w:pPr>
        <w:spacing w:after="0" w:line="175"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At December 31, 2002, for the U.S. pension and postretirement plans, the Company reduced its discount rate assumption from 7.0% to 6.5%, maintained its expected return on asset assumption at 9.0%, and increased its medical trend rate assumption. The Company presently anticipates that these assumption changes, coupled with lower returns on pension fund assets in prior years, will result in an increase in 2003 pre-tax benefit expense of approximately $180 million, or approximately $0.07 per share, exclusive of the impact of the voluntary early retirement and integration programs in 2002. The Company's long-term rate of return assumption remains at 9.0% based on the investment of its pension assets primarily in U.S. equity securities. While the Company does not presently anticipate a change in its 2003 assumptions, a fifty basis point decline in</w:t>
      </w:r>
    </w:p>
    <w:p>
      <w:pPr>
        <w:spacing w:after="0" w:line="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Company's discount rate would increase the Company's pension and postretirement expense by approximately $50 million, while a fifty basis point increase in the discount rate would decrease pension and postretirement expense by approximately $35 million. Similarly, a fifty basis point decline (increase) in the expected return on plan assets would increase (decrease) the Company's pension expense for the U.S. pension plans by approximately $35 million. See Note 14 to the consolidated financial statements, for a sensitivity discussion of the assumed health care cost trend rates.</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Revenue Recognition: As required by U.S. GAAP, the Company recognizes revenues, net of sales incentives, and including shipping and handling charges billed to customers, upon shipment of goods when title and risk of loss pass to customers. Shipping and handling costs are classified as part of cost of sales. Provisions and allowances for sales returns and bad debts are also recorded in the Company's consolidated financial statements. The amounts recorded for these provisions and related allowances are not significant to the Company's consolidated financial position or results of operations. As discussed in Note 2 to the consolidated financial statements, effective January 1, 2002, the Company adopted newly required accounting standards mandating that certain costs reported as marketing, administration and research costs be shown as a reduction of operating revenues or an increase in cost of sales. As a result, previously reported revenues were reduced by approximately $4.6 billion and $3.6 billion for 2001 and 2000, respectively. The adoption of the new accounting standards had no impact on operating income, net earnings or basic or diluted earnings per share ("EPS").</w:t>
      </w:r>
    </w:p>
    <w:p>
      <w:pPr>
        <w:spacing w:after="0" w:line="186"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Depreciation and Amortization: The Company depreciates property, plant and equipment and amortizes definite life intangibles using straight-line methods over the estimated useful lives of the assets. As discussed in Note 2 to the consolidated financial statements, the Company adopted Statement of Financial Accounting Standards ("SFAS") No. 141, "Business Combinations" and SFAS No. 142, "Goodwill and Other Intangible Assets," on January 1, 2002. The Company has determined that substantially all of its goodwill and other intangible assets have indefinite lives due to the long history of its brands. As a result, the Company stopped recording the amortization of goodwill and substantially all of its intangible assets as a charge to earnings. Net earnings and diluted EPS would have been as follows had the provisions of the new standards been applied as of January 1, 2000:</w:t>
      </w:r>
    </w:p>
    <w:p>
      <w:pPr>
        <w:spacing w:after="0" w:line="182"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 millions, except per share amounts)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Year Ended December 31, 2001 2000 -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40" w:right="3219" w:firstLine="523"/>
        <w:spacing w:after="0" w:line="256" w:lineRule="auto"/>
        <w:tabs>
          <w:tab w:leader="none" w:pos="745"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as previously reported $1,882 $2,001 Adjustment for amortization of goodwill and indefinite life intangibles 955 530 - ------------</w:t>
      </w:r>
    </w:p>
    <w:p>
      <w:pPr>
        <w:ind w:left="340"/>
        <w:spacing w:after="0" w:line="233" w:lineRule="auto"/>
        <w:rPr>
          <w:sz w:val="20"/>
          <w:szCs w:val="20"/>
          <w:color w:val="auto"/>
        </w:rPr>
      </w:pPr>
      <w:r>
        <w:rPr>
          <w:rFonts w:ascii="Courier New" w:cs="Courier New" w:eastAsia="Courier New" w:hAnsi="Courier New"/>
          <w:sz w:val="15"/>
          <w:szCs w:val="15"/>
          <w:color w:val="auto"/>
        </w:rPr>
        <w:t>-------------------------------------------------------------------- Net</w:t>
      </w:r>
    </w:p>
    <w:p>
      <w:pPr>
        <w:jc w:val="center"/>
        <w:ind w:right="3179"/>
        <w:spacing w:after="0"/>
        <w:rPr>
          <w:sz w:val="20"/>
          <w:szCs w:val="20"/>
          <w:color w:val="auto"/>
        </w:rPr>
      </w:pPr>
      <w:r>
        <w:rPr>
          <w:rFonts w:ascii="Courier New" w:cs="Courier New" w:eastAsia="Courier New" w:hAnsi="Courier New"/>
          <w:sz w:val="15"/>
          <w:szCs w:val="15"/>
          <w:color w:val="auto"/>
        </w:rPr>
        <w:t>earnings, as adjusted $2,837 $2,531</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Diluted EPS, as previously reported $ 1.17 $ 1.38 Adjustment for amortization</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of goodwill and indefinite life intangibles 0.59 0.36 - -----------------------</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 Diluted EPS, as</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adjusted $ 1.76 $ 1.74 -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Average diluted shares outstanding 1,610 1,455 - ---</w:t>
      </w:r>
    </w:p>
    <w:p>
      <w:pPr>
        <w:spacing w:after="0" w:line="11" w:lineRule="exact"/>
        <w:rPr>
          <w:sz w:val="20"/>
          <w:szCs w:val="20"/>
          <w:color w:val="auto"/>
        </w:rPr>
      </w:pPr>
    </w:p>
    <w:p>
      <w:pPr>
        <w:ind w:left="120"/>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Marketing and Advertising Costs: As required by U.S. GAAP, the Company records marketing costs as an expense in the year to which such costs relate. The Company does not defer any amounts on its consolidated balance sheet with respect to marketing costs. The Company expenses advertising costs in the year in which the related advertisement initially appears. The Company records consumer incentive and trade promotion costs as a reduction of revenues in the year in which these programs are offered, based on estimates of utilization and redemption rates that are developed from historical information.</w:t>
      </w:r>
    </w:p>
    <w:p>
      <w:pPr>
        <w:spacing w:after="0" w:line="167" w:lineRule="exact"/>
        <w:rPr>
          <w:sz w:val="20"/>
          <w:szCs w:val="20"/>
          <w:color w:val="auto"/>
        </w:rPr>
      </w:pPr>
    </w:p>
    <w:p>
      <w:pPr>
        <w:ind w:right="3179"/>
        <w:spacing w:after="0" w:line="265" w:lineRule="auto"/>
        <w:rPr>
          <w:sz w:val="20"/>
          <w:szCs w:val="20"/>
          <w:color w:val="auto"/>
        </w:rPr>
      </w:pPr>
      <w:r>
        <w:rPr>
          <w:rFonts w:ascii="Courier New" w:cs="Courier New" w:eastAsia="Courier New" w:hAnsi="Courier New"/>
          <w:sz w:val="14"/>
          <w:szCs w:val="14"/>
          <w:color w:val="auto"/>
        </w:rPr>
        <w:t>Related Party Transactions: As discussed in Note 3 to the consolidated financial statements, Altria Group, Inc.'s subsidiary, Altria Corporate Services, Inc.</w:t>
      </w:r>
    </w:p>
    <w:p>
      <w:pPr>
        <w:sectPr>
          <w:pgSz w:w="11900" w:h="16838" w:orient="portrait"/>
          <w:cols w:equalWidth="0" w:num="1">
            <w:col w:w="10219"/>
          </w:cols>
          <w:pgMar w:left="240" w:top="480" w:right="1440" w:bottom="0" w:gutter="0" w:footer="0" w:header="0"/>
        </w:sectPr>
      </w:pPr>
    </w:p>
    <w:bookmarkStart w:id="15" w:name="page16"/>
    <w:bookmarkEnd w:id="15"/>
    <w:p>
      <w:pPr>
        <w:ind w:right="3179"/>
        <w:spacing w:after="0" w:line="238" w:lineRule="auto"/>
        <w:rPr>
          <w:sz w:val="20"/>
          <w:szCs w:val="20"/>
          <w:color w:val="auto"/>
        </w:rPr>
      </w:pPr>
      <w:r>
        <w:rPr>
          <w:rFonts w:ascii="Courier New" w:cs="Courier New" w:eastAsia="Courier New" w:hAnsi="Courier New"/>
          <w:sz w:val="15"/>
          <w:szCs w:val="15"/>
          <w:color w:val="auto"/>
        </w:rPr>
        <w:t>(formerly Philip Morris Management Corp.), provides the Company with various services, including planning, legal, treasury, accounting, auditing, insurance, human resources, office of the secretary, corporate affairs, information technology and tax services. Billings for these services, which were based on the cost to Altria Corporate Services, Inc. to provide such services plus a management fee, were $327 million, $339 million and $248 million for the years ended December 31, 2002, 2001 and 2000, respectively. Although the value of services provided by Altria Corporate Services, Inc. cannot be quantified on a stand-alone basis, management believes that the billings are reasonable based on the level of support provided by Altria Corporate Services, Inc., and that the charges reflect all services provided. The cost and nature of the services are reviewed annually by the Company's Audit Committee, which is comprised of independent directors.</w:t>
      </w:r>
    </w:p>
    <w:p>
      <w:pPr>
        <w:spacing w:after="0" w:line="183"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The Company also has long-term notes payable to Altria Group, Inc. and its affiliates of $2.6 billion at December 31, 2002 and $5.0 billion at December 31, 2001. The decrease from 2001 to 2002 reflects the repayment of borrowings with proceeds from public global bond offerings, floating rate notes and short-term borrowings. The interest rates on the debt with Altria Group, Inc. were established at market rates available to Altria Group, Inc. at the time of issuance for similar debt with matching maturities. The remaining amount due under the 7.0% long-term note payable to Altria Group, Inc. and affiliates has no prepayment penalty, and</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pacing w:after="0" w:line="200" w:lineRule="exact"/>
        <w:rPr>
          <w:sz w:val="20"/>
          <w:szCs w:val="20"/>
          <w:color w:val="auto"/>
        </w:rPr>
      </w:pPr>
    </w:p>
    <w:p>
      <w:pPr>
        <w:spacing w:after="0" w:line="30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Kraft Foods Inc.</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the Company may repay some or all of the note with the proceeds from external debt offerings.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accounts for income taxes in accordance with SFAS No. 109, "Accounting for Income Taxes." The accounts of the Company are included in the consolidated federal income tax return of Altria Group, Inc. Income taxes are generally computed on a separate company basis. To the extent that foreign tax credits, capital losses and other credits generated by the Company, which cannot be utilized on a separate company basis, are utilized in Altria Group, Inc.'s consolidated federal income tax return, the benefit is recognized in the calculation of the Company's provision for income taxes. The Company utilized tax benefits that it would otherwise not have been able to use of $193 million, $185 million and $139 million for the years ended December 31, 2002, 2001 and 2000, respectively.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Environment</w:t>
      </w:r>
    </w:p>
    <w:p>
      <w:pPr>
        <w:spacing w:after="0" w:line="175" w:lineRule="exact"/>
        <w:rPr>
          <w:sz w:val="20"/>
          <w:szCs w:val="20"/>
          <w:color w:val="auto"/>
        </w:rPr>
      </w:pPr>
    </w:p>
    <w:p>
      <w:pPr>
        <w:ind w:right="3539"/>
        <w:spacing w:after="0" w:line="257" w:lineRule="auto"/>
        <w:rPr>
          <w:sz w:val="20"/>
          <w:szCs w:val="20"/>
          <w:color w:val="auto"/>
        </w:rPr>
      </w:pPr>
      <w:r>
        <w:rPr>
          <w:rFonts w:ascii="Courier New" w:cs="Courier New" w:eastAsia="Courier New" w:hAnsi="Courier New"/>
          <w:sz w:val="14"/>
          <w:szCs w:val="14"/>
          <w:color w:val="auto"/>
        </w:rPr>
        <w:t>The Company faces a number of challenges in 2003, including among other things, higher benefit costs, increased stock compensation costs and weak economies in certain parts of Latin America. As previously discussed, higher benefit costs are expected to impact 2003 EPS by approximately $0.07 per share. The higher benefit costs are primarily the result of lower returns on pension fund assets, a lower discount rate and higher retiree medical costs. The additional stock compensation costs, which are expected to impact 2003 earnings per share by approximately $0.02 per share, relate to restricted stock awards to employees. These awards have a three-year vesting period and will further align the long-term interests of employees with those of the Company's shareholders. The award of restricted stock to employees (rather than stock options) is more transparent to shareholders as the cost of the program is based upon the average market price of the stock on the date of grant, rather than a fair value generated by an option-pricing model. In Latin America, political unrest in Venezuela, as well as the devaluation of certain currencies, are also expected to negatively impact 2003 EPS.</w:t>
      </w:r>
    </w:p>
    <w:p>
      <w:pPr>
        <w:spacing w:after="0" w:line="16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is subject to fluctuating commodity costs, currency movements and competitive challenges in various product categories and markets, including a trend toward increasing consolidation in the retail trade and consequent inventory reductions and changing consumer preferences. In addition, certain competitors may have different profit objectives, and some competitors may be more or less susceptible to currency exchange rates. To confront these challenges, the Company continues to take steps to build the value of its brands and improve its food business portfolio with new products and marketing initiatives.</w:t>
      </w:r>
    </w:p>
    <w:p>
      <w:pPr>
        <w:spacing w:after="0" w:line="179"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Fluctuations in commodity costs can lead to retail price volatility, intensify price competition and influence consumer and trade buying patterns. KFNA's and KFI's businesses are subject to fluctuating commodity costs, including dairy, coffee bean and cocoa costs. Dairy commodity costs on average were lower in 2002 than those seen in 2001. Coffee bean prices were also lower, while cocoa bean prices were higher than in 2001.</w:t>
      </w:r>
    </w:p>
    <w:p>
      <w:pPr>
        <w:spacing w:after="0" w:line="176"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On December 11, 2000, the Company acquired all of the outstanding shares of Nabisco for $55 per share in cash. The purchase of the outstanding shares, retirement of employee stock options and other payments totaled approximately $15.2 billion. In addition, the acquisition included the assumption of approximately $4.0 billion of existing Nabisco debt. The Company financed the acquisition through the issuance of two long-term notes payable to Altria Group, Inc., totaling $15.0 billion, and short-term intercompany borrowings of $255 million. The acquisition has been accounted for as a purchase. Beginning January 1, 2001, Nabisco's earnings have been included in the consolidated operating results of the Company.</w:t>
      </w:r>
    </w:p>
    <w:p>
      <w:pPr>
        <w:spacing w:after="0" w:line="180" w:lineRule="exact"/>
        <w:rPr>
          <w:sz w:val="20"/>
          <w:szCs w:val="20"/>
          <w:color w:val="auto"/>
        </w:rPr>
      </w:pPr>
    </w:p>
    <w:p>
      <w:pPr>
        <w:ind w:right="3439"/>
        <w:spacing w:after="0" w:line="259" w:lineRule="auto"/>
        <w:rPr>
          <w:sz w:val="20"/>
          <w:szCs w:val="20"/>
          <w:color w:val="auto"/>
        </w:rPr>
      </w:pPr>
      <w:r>
        <w:rPr>
          <w:rFonts w:ascii="Courier New" w:cs="Courier New" w:eastAsia="Courier New" w:hAnsi="Courier New"/>
          <w:sz w:val="14"/>
          <w:szCs w:val="14"/>
          <w:color w:val="auto"/>
        </w:rPr>
        <w:t>The closure of a number of Nabisco domestic and international facilities resulted in severance and other exit costs of $379 million, which are included in the adjustments for the allocation of the Nabisco purchase price. The closures will result in the termination of approximately 7,500 employees</w:t>
      </w:r>
    </w:p>
    <w:p>
      <w:pPr>
        <w:sectPr>
          <w:pgSz w:w="11900" w:h="16838" w:orient="portrait"/>
          <w:cols w:equalWidth="0" w:num="1">
            <w:col w:w="10219"/>
          </w:cols>
          <w:pgMar w:left="240" w:top="141" w:right="1440" w:bottom="0" w:gutter="0" w:footer="0" w:header="0"/>
        </w:sectPr>
      </w:pPr>
    </w:p>
    <w:bookmarkStart w:id="16" w:name="page17"/>
    <w:bookmarkEnd w:id="16"/>
    <w:p>
      <w:pPr>
        <w:ind w:right="3539"/>
        <w:spacing w:after="0" w:line="237" w:lineRule="auto"/>
        <w:rPr>
          <w:sz w:val="20"/>
          <w:szCs w:val="20"/>
          <w:color w:val="auto"/>
        </w:rPr>
      </w:pPr>
      <w:r>
        <w:rPr>
          <w:rFonts w:ascii="Courier New" w:cs="Courier New" w:eastAsia="Courier New" w:hAnsi="Courier New"/>
          <w:sz w:val="15"/>
          <w:szCs w:val="15"/>
          <w:color w:val="auto"/>
        </w:rPr>
        <w:t>and will require total cash payments of $373 million, of which approximately $190 million has been spent through December 31, 2002. Substantially all of the closures were completed as of December 31, 2002, and the remaining payments relate to salary continuation payments for severed employees and lease payments.</w:t>
      </w:r>
    </w:p>
    <w:p>
      <w:pPr>
        <w:spacing w:after="0" w:line="178" w:lineRule="exact"/>
        <w:rPr>
          <w:sz w:val="20"/>
          <w:szCs w:val="20"/>
          <w:color w:val="auto"/>
        </w:rPr>
      </w:pPr>
    </w:p>
    <w:p>
      <w:pPr>
        <w:ind w:right="3439"/>
        <w:spacing w:after="0" w:line="239" w:lineRule="auto"/>
        <w:rPr>
          <w:sz w:val="20"/>
          <w:szCs w:val="20"/>
          <w:color w:val="auto"/>
        </w:rPr>
      </w:pPr>
      <w:r>
        <w:rPr>
          <w:rFonts w:ascii="Courier New" w:cs="Courier New" w:eastAsia="Courier New" w:hAnsi="Courier New"/>
          <w:sz w:val="15"/>
          <w:szCs w:val="15"/>
          <w:color w:val="auto"/>
        </w:rPr>
        <w:t>The integration of Nabisco into the operations of the Company has also resulted in the closure or reconfiguration of several of the Company's existing facilities. The aggregate charges to the Company's consolidated statement of earnings to close or reconfigure its facilities and integrate Nabisco were originally estimated to be in the range of $200 million to $300 million. During 2002, the Company recorded pre-tax integration related charges of $115 million to consolidate production lines, close facilities and for other consolidation programs. In addition, during 2001, the Company incurred pre-tax integration costs of $53 million for site reconfigurations and other consolidation programs in the United States. The integration related charges of $168 million included $27 million relating to severance, $117 million relating to asset write-offs and $24 million relating to other cash exit costs. Cash payments relating to these charges will approximate $51 million, of which $21 million has been paid through December 31, 2002. In addition, during 2002, approximately 700 salaried employees elected to retire or terminate employment under voluntary retirement programs. As a result, the Company recorded a pre-tax charge of $142 million related to these programs. As of December 31, 2002, the aggregate pre-tax charges to close or reconfigure the Company's facilities and integrate Nabisco, including charges for early retirement programs, were $310 million, slightly above the original estimate. No additional pre-tax charges are expected to be recorded for these programs.</w:t>
      </w:r>
    </w:p>
    <w:p>
      <w:pPr>
        <w:spacing w:after="0" w:line="176"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During 2001, certain small Nabisco businesses were reclassified to businesses held for sale, including their estimated results of operations through anticipated sale dates. These businesses have subsequently been sold, with the exception of one business that had been held for sale since the acquisition of Nabisco. This business, which is no longer held for sale, has been included in 2002 consolidated operating results.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pacing w:after="0" w:line="200" w:lineRule="exact"/>
        <w:rPr>
          <w:sz w:val="20"/>
          <w:szCs w:val="20"/>
          <w:color w:val="auto"/>
        </w:rPr>
      </w:pPr>
    </w:p>
    <w:p>
      <w:pPr>
        <w:spacing w:after="0" w:line="30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Kraft Foods Inc.</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During 2002, the Company acquired a snacks business in Turkey and a biscuits business in Australia. The total cost of these and other smaller acquisitions was $122 million. During 2001, the Company purchased coffee businesses in Romania, Morocco and Bulgaria and also acquired confectionery businesses in Russia and Poland. The total cost of these and other smaller acquisitions was $194 million. During 2000, the Company purchased Balance Bar Co. and Boca Burger, Inc. The total cost of these and other smaller acquisitions was $365 million. The operating results of these businesses were not material to the Company's consolidated financial position or results of operations in any of the periods presented.</w:t>
      </w:r>
    </w:p>
    <w:p>
      <w:pPr>
        <w:spacing w:after="0" w:line="180"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During 2002, the Company sold several small North American food businesses, some of which were previously classified as businesses held for sale. The net revenues and operating results of the businesses held for sale, which were not significant, were excluded from the Company's consolidated statements of earnings, and no gain or loss was recognized on these sales. In addition, the Company sold its Latin American yeast and industrial bakery ingredients business for $110 million and recorded a pre-tax gain of $69 million. The aggregate proceeds received from sales of businesses during 2002 were $219 million, on which the Company recorded pre-tax gains of $80 million.</w:t>
      </w:r>
    </w:p>
    <w:p>
      <w:pPr>
        <w:spacing w:after="0" w:line="179"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During 2001, the Company sold several small food businesses. The aggregate proceeds received in these transactions were $21 million, on which the Company recorded pre-tax gains of $8 million.</w:t>
      </w:r>
    </w:p>
    <w:p>
      <w:pPr>
        <w:spacing w:after="0" w:line="175" w:lineRule="exact"/>
        <w:rPr>
          <w:sz w:val="20"/>
          <w:szCs w:val="20"/>
          <w:color w:val="auto"/>
        </w:rPr>
      </w:pPr>
    </w:p>
    <w:p>
      <w:pPr>
        <w:ind w:right="3439"/>
        <w:spacing w:after="0" w:line="256" w:lineRule="auto"/>
        <w:rPr>
          <w:sz w:val="20"/>
          <w:szCs w:val="20"/>
          <w:color w:val="auto"/>
        </w:rPr>
      </w:pPr>
      <w:r>
        <w:rPr>
          <w:rFonts w:ascii="Courier New" w:cs="Courier New" w:eastAsia="Courier New" w:hAnsi="Courier New"/>
          <w:sz w:val="14"/>
          <w:szCs w:val="14"/>
          <w:color w:val="auto"/>
        </w:rPr>
        <w:t>During 2000, the Company sold a French confectionery business for proceeds of $251 million, on which a pre-tax gain of $139 million was recorded. Several small international and North American food businesses were also sold in</w:t>
      </w:r>
    </w:p>
    <w:p>
      <w:pPr>
        <w:spacing w:after="0" w:line="1"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2000. The aggregate proceeds received from sales of businesses during 2000 were $300 million, on which the Company recorded pre-tax gains of $172 million.</w:t>
      </w:r>
    </w:p>
    <w:p>
      <w:pPr>
        <w:spacing w:after="0" w:line="17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The operating results of the businesses sold were not material to the Company's consolidated operating results in any of the periods presented.</w:t>
      </w:r>
    </w:p>
    <w:p>
      <w:pPr>
        <w:spacing w:after="0" w:line="176"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Century Date Change: The Company did not experience any material disruptions to its business as a result of the Century Date Change ("CDC"). The Company's increases in 1999 year-end inventories and trade receivables caused by preemptive CDC contingency plans resulted in incremental cash outflows during 1999 of approximately $155 million. The cash outflows reversed in the first quarter of 2000. In addition, the Company had increased shipments in the fourth quarter of 1999 because customers purchased additional product in anticipation of potential CDC-related disruptions. The increased shipments in 1999 resulted in estimated incremental net revenues and operating companies income in 1999 of approximately $85 million and $40 million, respectively, and corresponding decreases in net revenues and operating companies income in 2000.</w:t>
      </w:r>
    </w:p>
    <w:p>
      <w:pPr>
        <w:spacing w:after="0" w:line="182"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53rd Week: The Company's subsidiaries end their fiscal years as of the Saturday closest to the end of each year. Accordingly, most years contain 52 weeks of operating results while every fifth or sixth year includes 53 weeks. The Company's consolidated statement of earnings for the year ended December 31, 2000 included a 53rd week. Volume comparisons contained in this Management's Discussion and Analysis for 2001 versus 2000 have been provided on a comparable</w:t>
      </w:r>
    </w:p>
    <w:p>
      <w:pPr>
        <w:sectPr>
          <w:pgSz w:w="11900" w:h="16838" w:orient="portrait"/>
          <w:cols w:equalWidth="0" w:num="1">
            <w:col w:w="10219"/>
          </w:cols>
          <w:pgMar w:left="240" w:top="141" w:right="1440" w:bottom="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52-week basis to provide a more meaningful comparison of operating results.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Operating Results</w:t>
      </w:r>
    </w:p>
    <w:p>
      <w:pPr>
        <w:spacing w:after="0" w:line="175" w:lineRule="exact"/>
        <w:rPr>
          <w:sz w:val="20"/>
          <w:szCs w:val="20"/>
          <w:color w:val="auto"/>
        </w:rPr>
      </w:pPr>
    </w:p>
    <w:p>
      <w:pPr>
        <w:ind w:right="3359"/>
        <w:spacing w:after="0" w:line="256" w:lineRule="auto"/>
        <w:rPr>
          <w:sz w:val="20"/>
          <w:szCs w:val="20"/>
          <w:color w:val="auto"/>
        </w:rPr>
      </w:pPr>
      <w:r>
        <w:rPr>
          <w:rFonts w:ascii="Courier New" w:cs="Courier New" w:eastAsia="Courier New" w:hAnsi="Courier New"/>
          <w:sz w:val="14"/>
          <w:szCs w:val="14"/>
          <w:color w:val="auto"/>
        </w:rPr>
        <w:t>The acquisition of Nabisco and subsequent IPO were significant events that affect the comparability of earnings. In order to isolate the financial effects of these events, and to provide a more meaningful comparison of the Company's results of operations, the following tables and the subsequent discussion of the Company's consolidated operating results refer to results on a reported and pro forma basis. Reported results include the operating results of Nabisco in 2002 and 2001, but not in 2000. Reported results also reflect average shares of common stock outstanding during 2002 and 2001, and reflect an average of 1.455 billion shares outstanding during 2000. Pro forma results assume the Company owned Nabisco for all of 2000. In addition, pro forma results reflect common shares outstanding based on the assumption that shares issued immediately following the IPO were outstanding during 2001 and 2000, and that, effective January 1, 2000, the net proceeds of the IPO were used to retire a portion of a long-term note payable used to finance the Nabisco acquisition. Pro forma results also adjust for other items, all of which are detailed in reconciliations of reported to pro forma results throughout this discussion. Management uses pro forma results to manage and to evaluate the performance of the Company. Management believes it is appropriate to disclose pro forma results to assist investors with analyzing business performance and trends. Pro forma measures should not be considered in isolation or as a substitute for reported results, which are prepared in accordance with accounting principles generally accepted in the United States.</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pacing w:after="0" w:line="200" w:lineRule="exact"/>
        <w:rPr>
          <w:sz w:val="20"/>
          <w:szCs w:val="20"/>
          <w:color w:val="auto"/>
        </w:rPr>
      </w:pPr>
    </w:p>
    <w:p>
      <w:pPr>
        <w:spacing w:after="0" w:line="30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Kraft Foods Inc.</w:t>
      </w:r>
    </w:p>
    <w:p>
      <w:pPr>
        <w:spacing w:after="0" w:line="17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Consolidated Operating Results (in millions) - --------------------------------</w:t>
      </w:r>
    </w:p>
    <w:p>
      <w:pPr>
        <w:spacing w:after="0" w:line="11" w:lineRule="exact"/>
        <w:rPr>
          <w:sz w:val="20"/>
          <w:szCs w:val="20"/>
          <w:color w:val="auto"/>
        </w:rPr>
      </w:pPr>
    </w:p>
    <w:p>
      <w:pPr>
        <w:ind w:left="120"/>
        <w:spacing w:after="0"/>
        <w:rPr>
          <w:sz w:val="20"/>
          <w:szCs w:val="20"/>
          <w:color w:val="auto"/>
        </w:rPr>
      </w:pPr>
      <w:r>
        <w:rPr>
          <w:rFonts w:ascii="Courier New" w:cs="Courier New" w:eastAsia="Courier New" w:hAnsi="Courier New"/>
          <w:sz w:val="14"/>
          <w:szCs w:val="14"/>
          <w:color w:val="auto"/>
        </w:rPr>
        <w:t>------------------------------------------------ Year Ended December 31, 2002</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2001 2000 -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Reported volume (in pounds): Kraft Foods North America Cheese,</w:t>
      </w:r>
    </w:p>
    <w:p>
      <w:pPr>
        <w:jc w:val="center"/>
        <w:ind w:right="3179"/>
        <w:spacing w:after="0"/>
        <w:rPr>
          <w:sz w:val="20"/>
          <w:szCs w:val="20"/>
          <w:color w:val="auto"/>
        </w:rPr>
      </w:pPr>
      <w:r>
        <w:rPr>
          <w:rFonts w:ascii="Courier New" w:cs="Courier New" w:eastAsia="Courier New" w:hAnsi="Courier New"/>
          <w:sz w:val="15"/>
          <w:szCs w:val="15"/>
          <w:color w:val="auto"/>
        </w:rPr>
        <w:t>Meals and Enhancers 5,898 5,219 4,820 Biscuits, Snacks and Confectionery 2,369</w:t>
      </w:r>
    </w:p>
    <w:p>
      <w:pPr>
        <w:jc w:val="center"/>
        <w:ind w:right="3179"/>
        <w:spacing w:after="0"/>
        <w:rPr>
          <w:sz w:val="20"/>
          <w:szCs w:val="20"/>
          <w:color w:val="auto"/>
        </w:rPr>
      </w:pPr>
      <w:r>
        <w:rPr>
          <w:rFonts w:ascii="Courier New" w:cs="Courier New" w:eastAsia="Courier New" w:hAnsi="Courier New"/>
          <w:sz w:val="15"/>
          <w:szCs w:val="15"/>
          <w:color w:val="auto"/>
        </w:rPr>
        <w:t>2,350 54 Beverages, Desserts and Cereals 3,708 3,421 3,117 Oscar Mayer and</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Pizza 1,554 1,519 1,507 -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Total Kraft Foods North America 13,529 12,509 9,498</w:t>
      </w:r>
    </w:p>
    <w:p>
      <w:pPr>
        <w:spacing w:after="0" w:line="11" w:lineRule="exact"/>
        <w:rPr>
          <w:sz w:val="20"/>
          <w:szCs w:val="20"/>
          <w:color w:val="auto"/>
        </w:rPr>
      </w:pPr>
    </w:p>
    <w:p>
      <w:pPr>
        <w:ind w:left="220" w:hanging="186"/>
        <w:spacing w:after="0"/>
        <w:tabs>
          <w:tab w:leader="none" w:pos="2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jc w:val="both"/>
        <w:ind w:left="40" w:right="3219" w:firstLine="38"/>
        <w:spacing w:after="0" w:line="265" w:lineRule="auto"/>
        <w:tabs>
          <w:tab w:leader="none" w:pos="437"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Kraft Foods International Europe, Middle East and Africa 2,961 2,826 2,829 Latin America and Asia Pacific 2,059 2,057 803 - ------------------------------</w:t>
      </w:r>
    </w:p>
    <w:p>
      <w:pPr>
        <w:spacing w:after="0" w:line="200" w:lineRule="exact"/>
        <w:rPr>
          <w:sz w:val="20"/>
          <w:szCs w:val="20"/>
          <w:color w:val="auto"/>
        </w:rPr>
      </w:pPr>
    </w:p>
    <w:p>
      <w:pPr>
        <w:spacing w:after="0" w:line="297" w:lineRule="exact"/>
        <w:rPr>
          <w:sz w:val="20"/>
          <w:szCs w:val="20"/>
          <w:color w:val="auto"/>
        </w:rPr>
      </w:pPr>
    </w:p>
    <w:p>
      <w:pPr>
        <w:ind w:left="220" w:hanging="186"/>
        <w:spacing w:after="0"/>
        <w:tabs>
          <w:tab w:leader="none" w:pos="2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260" w:right="3439" w:firstLine="171"/>
        <w:spacing w:after="0" w:line="256" w:lineRule="auto"/>
        <w:tabs>
          <w:tab w:leader="none" w:pos="789"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Reported net revenues: Kraft Foods North America Cheese, Meals and Enhancers $ 8,877 $ 8,732 $ 7,923 Biscuits, Snacks and Confectionery 5,182</w:t>
      </w:r>
    </w:p>
    <w:p>
      <w:pPr>
        <w:spacing w:after="0" w:line="1" w:lineRule="exact"/>
        <w:rPr>
          <w:sz w:val="20"/>
          <w:szCs w:val="20"/>
          <w:color w:val="auto"/>
        </w:rPr>
      </w:pPr>
    </w:p>
    <w:p>
      <w:pPr>
        <w:jc w:val="both"/>
        <w:ind w:left="40" w:right="3219" w:firstLine="176"/>
        <w:spacing w:after="0" w:line="256" w:lineRule="auto"/>
        <w:rPr>
          <w:sz w:val="20"/>
          <w:szCs w:val="20"/>
          <w:color w:val="auto"/>
        </w:rPr>
      </w:pPr>
      <w:r>
        <w:rPr>
          <w:rFonts w:ascii="Courier New" w:cs="Courier New" w:eastAsia="Courier New" w:hAnsi="Courier New"/>
          <w:sz w:val="14"/>
          <w:szCs w:val="14"/>
          <w:color w:val="auto"/>
        </w:rPr>
        <w:t>5,071 293 Beverages, Desserts and Cereals 4,412 4,237 4,267 Oscar Mayer and Pizza 3,014 2,930 2,829 - -----------------------------------------------------</w:t>
      </w:r>
    </w:p>
    <w:p>
      <w:pPr>
        <w:ind w:left="300"/>
        <w:spacing w:after="0" w:line="233" w:lineRule="auto"/>
        <w:rPr>
          <w:sz w:val="20"/>
          <w:szCs w:val="20"/>
          <w:color w:val="auto"/>
        </w:rPr>
      </w:pPr>
      <w:r>
        <w:rPr>
          <w:rFonts w:ascii="Courier New" w:cs="Courier New" w:eastAsia="Courier New" w:hAnsi="Courier New"/>
          <w:sz w:val="15"/>
          <w:szCs w:val="15"/>
          <w:color w:val="auto"/>
        </w:rPr>
        <w:t>--------------------------- Total Kraft Foods North America 21,485 20,970</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15,312 -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Kraft Foods International Europe, Middle East and Africa 6,203 5,936</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6,398 Latin America and Asia Pacific 2,035 2,328 1,212 -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Total Kraft Foods</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International 8,238 8,264 7,610 -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Total reported net revenues $29,723 $29,234</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$22,922</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jc w:val="center"/>
        <w:ind w:right="3179"/>
        <w:spacing w:after="0" w:line="256" w:lineRule="auto"/>
        <w:rPr>
          <w:sz w:val="20"/>
          <w:szCs w:val="20"/>
          <w:color w:val="auto"/>
        </w:rPr>
      </w:pPr>
      <w:r>
        <w:rPr>
          <w:rFonts w:ascii="Courier New" w:cs="Courier New" w:eastAsia="Courier New" w:hAnsi="Courier New"/>
          <w:sz w:val="14"/>
          <w:szCs w:val="14"/>
          <w:color w:val="auto"/>
        </w:rPr>
        <w:t>Reported operating companies income: Kraft Foods North America Cheese, Meals and Enhancers $ 2,168 $ 2,099 $ 1,845 Biscuits, Snacks and Confectionery 1,093 966 100 Beverages, Desserts and Cereals 1,136 1,192 1,090 Oscar Mayer and Pizza 556 539 512 -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Total Kraft Foods North America 4,953 4,796 3,547 - -----------</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 Kraft</w:t>
      </w:r>
    </w:p>
    <w:p>
      <w:pPr>
        <w:spacing w:after="0" w:line="5" w:lineRule="exact"/>
        <w:rPr>
          <w:sz w:val="20"/>
          <w:szCs w:val="20"/>
          <w:color w:val="auto"/>
        </w:rPr>
      </w:pPr>
    </w:p>
    <w:p>
      <w:pPr>
        <w:jc w:val="both"/>
        <w:ind w:left="40" w:right="3219" w:firstLine="44"/>
        <w:spacing w:after="0" w:line="256" w:lineRule="auto"/>
        <w:rPr>
          <w:sz w:val="20"/>
          <w:szCs w:val="20"/>
          <w:color w:val="auto"/>
        </w:rPr>
      </w:pPr>
      <w:r>
        <w:rPr>
          <w:rFonts w:ascii="Courier New" w:cs="Courier New" w:eastAsia="Courier New" w:hAnsi="Courier New"/>
          <w:sz w:val="14"/>
          <w:szCs w:val="14"/>
          <w:color w:val="auto"/>
        </w:rPr>
        <w:t>Foods International Europe, Middle East and Africa 962 861 1,019 Latin America and Asia Pacific 368 378 189 - ------------------------------------------------</w:t>
      </w:r>
    </w:p>
    <w:p>
      <w:pPr>
        <w:ind w:left="160"/>
        <w:spacing w:after="0" w:line="233" w:lineRule="auto"/>
        <w:rPr>
          <w:sz w:val="20"/>
          <w:szCs w:val="20"/>
          <w:color w:val="auto"/>
        </w:rPr>
      </w:pPr>
      <w:r>
        <w:rPr>
          <w:rFonts w:ascii="Courier New" w:cs="Courier New" w:eastAsia="Courier New" w:hAnsi="Courier New"/>
          <w:sz w:val="15"/>
          <w:szCs w:val="15"/>
          <w:color w:val="auto"/>
        </w:rPr>
        <w:t>-------------------------------- Total Kraft Foods International 1,330 1,239</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1,208 - -----------------------------------------------------------------------</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 Total reported operating companies income $ 6,283 $ 6,035 $ 4,755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The following is a reconciliation of reported operating results to pro forma operating results:</w:t>
      </w:r>
    </w:p>
    <w:p>
      <w:pPr>
        <w:spacing w:after="0" w:line="176"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 millions)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Year Ended December 31, 2002 2001 2000 -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Reported volume</w:t>
      </w:r>
    </w:p>
    <w:p>
      <w:pPr>
        <w:spacing w:after="0" w:line="5" w:lineRule="exact"/>
        <w:rPr>
          <w:sz w:val="20"/>
          <w:szCs w:val="20"/>
          <w:color w:val="auto"/>
        </w:rPr>
      </w:pPr>
    </w:p>
    <w:p>
      <w:pPr>
        <w:jc w:val="center"/>
        <w:ind w:right="3179"/>
        <w:spacing w:after="0" w:line="256" w:lineRule="auto"/>
        <w:rPr>
          <w:sz w:val="20"/>
          <w:szCs w:val="20"/>
          <w:color w:val="auto"/>
        </w:rPr>
      </w:pPr>
      <w:r>
        <w:rPr>
          <w:rFonts w:ascii="Courier New" w:cs="Courier New" w:eastAsia="Courier New" w:hAnsi="Courier New"/>
          <w:sz w:val="14"/>
          <w:szCs w:val="14"/>
          <w:color w:val="auto"/>
        </w:rPr>
        <w:t>(in pounds) 18,549 17,392 13,130 Volume of businesses sold (150) (187) (82) Changes due to businesses held for sale 647 Estimated impact of century date change 55 Nabisco volume 4,367 - ----------------------------------------------</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4"/>
          <w:szCs w:val="14"/>
          <w:color w:val="auto"/>
        </w:rPr>
        <w:t>---------------------------------- Pro forma volume (in pounds) 18,399 17,852</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17,470 - ----------------------------------------------------------------------</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 Reported net revenues $29,723 $29,234 $22,922 Net revenues of</w:t>
      </w:r>
    </w:p>
    <w:p>
      <w:pPr>
        <w:jc w:val="center"/>
        <w:ind w:right="3179"/>
        <w:spacing w:after="0"/>
        <w:rPr>
          <w:sz w:val="20"/>
          <w:szCs w:val="20"/>
          <w:color w:val="auto"/>
        </w:rPr>
      </w:pPr>
      <w:r>
        <w:rPr>
          <w:rFonts w:ascii="Courier New" w:cs="Courier New" w:eastAsia="Courier New" w:hAnsi="Courier New"/>
          <w:sz w:val="15"/>
          <w:szCs w:val="15"/>
          <w:color w:val="auto"/>
        </w:rPr>
        <w:t>businesses sold (89) (121) (162) Changes due to businesses held for sale 252</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Estimated impact of century date change 85 Nabisco net revenues 6,822 - -------</w:t>
      </w:r>
    </w:p>
    <w:p>
      <w:pPr>
        <w:spacing w:after="0" w:line="11" w:lineRule="exact"/>
        <w:rPr>
          <w:sz w:val="20"/>
          <w:szCs w:val="20"/>
          <w:color w:val="auto"/>
        </w:rPr>
      </w:pPr>
    </w:p>
    <w:p>
      <w:pPr>
        <w:ind w:left="120"/>
        <w:spacing w:after="0"/>
        <w:rPr>
          <w:sz w:val="20"/>
          <w:szCs w:val="20"/>
          <w:color w:val="auto"/>
        </w:rPr>
      </w:pPr>
      <w:r>
        <w:rPr>
          <w:rFonts w:ascii="Courier New" w:cs="Courier New" w:eastAsia="Courier New" w:hAnsi="Courier New"/>
          <w:sz w:val="14"/>
          <w:szCs w:val="14"/>
          <w:color w:val="auto"/>
        </w:rPr>
        <w:t>------------------------------------------------------------------------- Pro</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forma net revenues $29,634 $29,365 $29,667</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jc w:val="center"/>
        <w:ind w:right="3199"/>
        <w:spacing w:after="0" w:line="260" w:lineRule="auto"/>
        <w:rPr>
          <w:sz w:val="20"/>
          <w:szCs w:val="20"/>
          <w:color w:val="auto"/>
        </w:rPr>
      </w:pPr>
      <w:r>
        <w:rPr>
          <w:rFonts w:ascii="Courier New" w:cs="Courier New" w:eastAsia="Courier New" w:hAnsi="Courier New"/>
          <w:sz w:val="14"/>
          <w:szCs w:val="14"/>
          <w:color w:val="auto"/>
        </w:rPr>
        <w:t>Reported operating companies income $ 6,283 $ 6,035 $ 4,755 Gains on sales of businesses (80) (8) (172) Operating companies income of businesses sold (15) (24) (39) Integration costs and a loss on sale of a food factory 111 82</w:t>
      </w:r>
    </w:p>
    <w:p>
      <w:pPr>
        <w:sectPr>
          <w:pgSz w:w="11900" w:h="16838" w:orient="portrait"/>
          <w:cols w:equalWidth="0" w:num="1">
            <w:col w:w="10219"/>
          </w:cols>
          <w:pgMar w:left="240" w:top="136" w:right="1440" w:bottom="0" w:gutter="0" w:footer="0" w:header="0"/>
        </w:sectPr>
      </w:pPr>
    </w:p>
    <w:bookmarkStart w:id="18" w:name="page19"/>
    <w:bookmarkEnd w:id="18"/>
    <w:p>
      <w:pPr>
        <w:jc w:val="center"/>
        <w:ind w:right="3179"/>
        <w:spacing w:after="0"/>
        <w:rPr>
          <w:sz w:val="20"/>
          <w:szCs w:val="20"/>
          <w:color w:val="auto"/>
        </w:rPr>
      </w:pPr>
      <w:r>
        <w:rPr>
          <w:rFonts w:ascii="Courier New" w:cs="Courier New" w:eastAsia="Courier New" w:hAnsi="Courier New"/>
          <w:sz w:val="15"/>
          <w:szCs w:val="15"/>
          <w:color w:val="auto"/>
        </w:rPr>
        <w:t>Separation programs 142 Changes due to businesses held for sale 23 Estimated</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impact of century date change 40 Nabisco operating companies income 1,000 - ---</w:t>
      </w:r>
    </w:p>
    <w:p>
      <w:pPr>
        <w:spacing w:after="0" w:line="11" w:lineRule="exact"/>
        <w:rPr>
          <w:sz w:val="20"/>
          <w:szCs w:val="20"/>
          <w:color w:val="auto"/>
        </w:rPr>
      </w:pPr>
    </w:p>
    <w:p>
      <w:pPr>
        <w:ind w:left="1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Pro forma operating companies income $ 6,441 $ 6,108 $ 5,584</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jc w:val="center"/>
        <w:ind w:right="3179"/>
        <w:spacing w:after="0" w:line="256" w:lineRule="auto"/>
        <w:rPr>
          <w:sz w:val="20"/>
          <w:szCs w:val="20"/>
          <w:color w:val="auto"/>
        </w:rPr>
      </w:pPr>
      <w:r>
        <w:rPr>
          <w:rFonts w:ascii="Courier New" w:cs="Courier New" w:eastAsia="Courier New" w:hAnsi="Courier New"/>
          <w:sz w:val="14"/>
          <w:szCs w:val="14"/>
          <w:color w:val="auto"/>
        </w:rPr>
        <w:t>Reported net earnings $ 3,394 $ 1,882 $ 2,001 After-tax effect of: Integration costs and a loss on sale of a food factory 72 45 Separation programs 91 Gains on sales of businesses (52) (5) (101) Cessation of goodwill and indefinite life intangible asset amortization 955 530 Nabisco results (135) Interest reduction assuming full-year IPO 165 363 Estimated impact of century date change 23 - ---</w:t>
      </w:r>
    </w:p>
    <w:p>
      <w:pPr>
        <w:spacing w:after="0" w:line="2" w:lineRule="exact"/>
        <w:rPr>
          <w:sz w:val="20"/>
          <w:szCs w:val="20"/>
          <w:color w:val="auto"/>
        </w:rPr>
      </w:pPr>
    </w:p>
    <w:p>
      <w:pPr>
        <w:ind w:left="12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jc w:val="center"/>
        <w:ind w:right="3179"/>
        <w:spacing w:after="0" w:line="256" w:lineRule="auto"/>
        <w:rPr>
          <w:sz w:val="20"/>
          <w:szCs w:val="20"/>
          <w:color w:val="auto"/>
        </w:rPr>
      </w:pPr>
      <w:r>
        <w:rPr>
          <w:rFonts w:ascii="Courier New" w:cs="Courier New" w:eastAsia="Courier New" w:hAnsi="Courier New"/>
          <w:sz w:val="14"/>
          <w:szCs w:val="14"/>
          <w:color w:val="auto"/>
        </w:rPr>
        <w:t>Pro forma net earnings $ 3,505 $ 3,042 $ 2,681 ================================================================================ Average diluted shares outstanding 1,736 1,610 1,455 Adjustment to reflect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shares outstanding after IPO 125 280 - ----------------------------------------</w:t>
      </w:r>
    </w:p>
    <w:p>
      <w:pPr>
        <w:spacing w:after="0" w:line="11" w:lineRule="exact"/>
        <w:rPr>
          <w:sz w:val="20"/>
          <w:szCs w:val="20"/>
          <w:color w:val="auto"/>
        </w:rPr>
      </w:pPr>
    </w:p>
    <w:p>
      <w:pPr>
        <w:ind w:left="120"/>
        <w:spacing w:after="0"/>
        <w:rPr>
          <w:sz w:val="20"/>
          <w:szCs w:val="20"/>
          <w:color w:val="auto"/>
        </w:rPr>
      </w:pPr>
      <w:r>
        <w:rPr>
          <w:rFonts w:ascii="Courier New" w:cs="Courier New" w:eastAsia="Courier New" w:hAnsi="Courier New"/>
          <w:sz w:val="14"/>
          <w:szCs w:val="14"/>
          <w:color w:val="auto"/>
        </w:rPr>
        <w:t>---------------------------------------- Pro forma diluted shares outstanding</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1,736 1,735 1,735 - -----------------------------------------------------------</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30</w:t>
      </w:r>
    </w:p>
    <w:p>
      <w:pPr>
        <w:spacing w:after="0" w:line="200" w:lineRule="exact"/>
        <w:rPr>
          <w:sz w:val="20"/>
          <w:szCs w:val="20"/>
          <w:color w:val="auto"/>
        </w:rPr>
      </w:pPr>
    </w:p>
    <w:p>
      <w:pPr>
        <w:spacing w:after="0" w:line="30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Kraft Foods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 compared with 2001</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Reported volume for 2002 increased 1,157 million pounds (6.7%) over 2001, due primarily to the inclusion in 2002 of a business previously considered held for sale, new product introductions, geographic expansion and acquisitions. Pro forma volume increased 3.1% over 2001, due primarily to new product introductions, geographic expansion and acquisitions.</w:t>
      </w:r>
    </w:p>
    <w:p>
      <w:pPr>
        <w:spacing w:after="0" w:line="178"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Reported net revenues for 2002 increased $489 million (1.7%) over 2001, due primarily to the inclusion in 2002 of a business previously considered held for sale, higher volume/mix and the impact of acquisitions, partially offset by the adverse effect of currency exchange rates and lower sales prices on cheese and coffee products (driven by commodity-related declines). Pro forma net revenues increased $269 million (0.9%) over 2001, due primarily to higher volume/mix ($401 million) and the impact of acquisitions ($191 million), partially offset by the adverse effect of currency exchange rates ($291 million) and lower sales prices on cheese and coffee products (driven by commodity-related declines).</w:t>
      </w:r>
    </w:p>
    <w:p>
      <w:pPr>
        <w:spacing w:after="0" w:line="180"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4"/>
          <w:szCs w:val="14"/>
          <w:color w:val="auto"/>
        </w:rPr>
        <w:t>The Company's management reviews operating companies income to evaluate segment performance and allocate resources. Operating companies income excludes general corporate expenses and amortization of intangibles. Reported operating companies income was affected by the following unusual items during 2002 and 2001:</w:t>
      </w:r>
    </w:p>
    <w:p>
      <w:pPr>
        <w:spacing w:after="0" w:line="16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 Integration Costs and a Loss on Sale of a Food Factory: During 2002, the Company recorded pre-tax integration related charges of $115 million to consolidate production lines, close facilities and for other consolidation programs. In addition, during 2002, the Company reversed $4 million related to the loss on sale of a North American food factory. During 2001, the Company incurred pre-tax integration costs of $53 million for site reconfigurations and other consolidation programs in the United States. In addition, the Company recorded a pre-tax charge of $29 million to close a North American food factory. These items were included in the operating companies income of the following segments:</w:t>
      </w:r>
    </w:p>
    <w:p>
      <w:pPr>
        <w:spacing w:after="0" w:line="180"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 millions)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----------------- 2002 2001 - -------------------------------------------------</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 Cheese, Meals and Enhancers $ 30 $63 Biscuits,</w:t>
      </w:r>
    </w:p>
    <w:p>
      <w:pPr>
        <w:spacing w:after="0" w:line="11" w:lineRule="exact"/>
        <w:rPr>
          <w:sz w:val="20"/>
          <w:szCs w:val="20"/>
          <w:color w:val="auto"/>
        </w:rPr>
      </w:pPr>
    </w:p>
    <w:p>
      <w:pPr>
        <w:ind w:left="40" w:right="3219" w:firstLine="44"/>
        <w:spacing w:after="0" w:line="256" w:lineRule="auto"/>
        <w:rPr>
          <w:sz w:val="20"/>
          <w:szCs w:val="20"/>
          <w:color w:val="auto"/>
        </w:rPr>
      </w:pPr>
      <w:r>
        <w:rPr>
          <w:rFonts w:ascii="Courier New" w:cs="Courier New" w:eastAsia="Courier New" w:hAnsi="Courier New"/>
          <w:sz w:val="14"/>
          <w:szCs w:val="14"/>
          <w:color w:val="auto"/>
        </w:rPr>
        <w:t>Snacks and Confectionery 1 2 Beverages, Desserts and Cereals 56 12 Oscar Mayer and Pizza 7 5 Latin America and Asia Pacific 17 - -----------------------------</w:t>
      </w:r>
    </w:p>
    <w:p>
      <w:pPr>
        <w:ind w:left="880"/>
        <w:spacing w:after="0" w:line="233" w:lineRule="auto"/>
        <w:rPr>
          <w:sz w:val="20"/>
          <w:szCs w:val="20"/>
          <w:color w:val="auto"/>
        </w:rPr>
      </w:pPr>
      <w:r>
        <w:rPr>
          <w:rFonts w:ascii="Courier New" w:cs="Courier New" w:eastAsia="Courier New" w:hAnsi="Courier New"/>
          <w:sz w:val="15"/>
          <w:szCs w:val="15"/>
          <w:color w:val="auto"/>
        </w:rPr>
        <w:t>--------------------------------------------------- $111 $82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right="3539"/>
        <w:spacing w:after="0" w:line="257" w:lineRule="auto"/>
        <w:rPr>
          <w:sz w:val="20"/>
          <w:szCs w:val="20"/>
          <w:color w:val="auto"/>
        </w:rPr>
      </w:pPr>
      <w:r>
        <w:rPr>
          <w:rFonts w:ascii="Courier New" w:cs="Courier New" w:eastAsia="Courier New" w:hAnsi="Courier New"/>
          <w:sz w:val="14"/>
          <w:szCs w:val="14"/>
          <w:color w:val="auto"/>
        </w:rPr>
        <w:t>o Separation Programs: During 2002, approximately 700 salaried employees elected to retire or terminate employment under voluntary retirement programs. As a result, the Company recorded a pre-tax charge in 2002 of $142 million related to these programs. This charge was included in the operating companies income of the following segments: Cheese, Meals and Enhancers, $60 million; Biscuits, Snacks and Confectionery, $3 million; Beverages, Desserts and Cereals, $47 million; Oscar Mayer and Pizza, $25 million; Europe, Middle East and Africa, $5 million; and Latin America and Asia Pacific, $2 million.</w:t>
      </w:r>
    </w:p>
    <w:p>
      <w:pPr>
        <w:spacing w:after="0" w:line="167" w:lineRule="exact"/>
        <w:rPr>
          <w:sz w:val="20"/>
          <w:szCs w:val="20"/>
          <w:color w:val="auto"/>
        </w:rPr>
      </w:pPr>
    </w:p>
    <w:p>
      <w:pPr>
        <w:ind w:right="3539"/>
        <w:spacing w:after="0" w:line="257" w:lineRule="auto"/>
        <w:rPr>
          <w:sz w:val="20"/>
          <w:szCs w:val="20"/>
          <w:color w:val="auto"/>
        </w:rPr>
      </w:pPr>
      <w:r>
        <w:rPr>
          <w:rFonts w:ascii="Courier New" w:cs="Courier New" w:eastAsia="Courier New" w:hAnsi="Courier New"/>
          <w:sz w:val="14"/>
          <w:szCs w:val="14"/>
          <w:color w:val="auto"/>
        </w:rPr>
        <w:t>o Businesses Held for Sale: During 2001, certain small Nabisco businesses were reclassified to businesses held for sale, including their estimated results of operations through anticipated sale dates. These businesses have subsequently been sold with the exception of one business that had been held for sale since the acquisition of Nabisco. This business, which is no longer held for sale, has been included in 2002 reported operating results and has been included as an adjustment to arrive at pro forma results for 2001.</w:t>
      </w:r>
    </w:p>
    <w:p>
      <w:pPr>
        <w:spacing w:after="0" w:line="16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Reported operating companies income increased $248 million (4.1%) over 2001. On a pro forma basis, operating companies income increased $333 million (5.5%), driven primarily by volume growth and favorable margins.</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In addition, reported net earnings were also affected by the following during 2002:</w:t>
      </w:r>
    </w:p>
    <w:p>
      <w:pPr>
        <w:spacing w:after="0" w:line="176" w:lineRule="exact"/>
        <w:rPr>
          <w:sz w:val="20"/>
          <w:szCs w:val="20"/>
          <w:color w:val="auto"/>
        </w:rPr>
      </w:pPr>
    </w:p>
    <w:p>
      <w:pPr>
        <w:ind w:right="3619"/>
        <w:spacing w:after="0" w:line="265" w:lineRule="auto"/>
        <w:rPr>
          <w:sz w:val="20"/>
          <w:szCs w:val="20"/>
          <w:color w:val="auto"/>
        </w:rPr>
      </w:pPr>
      <w:r>
        <w:rPr>
          <w:rFonts w:ascii="Courier New" w:cs="Courier New" w:eastAsia="Courier New" w:hAnsi="Courier New"/>
          <w:sz w:val="14"/>
          <w:szCs w:val="14"/>
          <w:color w:val="auto"/>
        </w:rPr>
        <w:t>o Amortization of Intangibles: On January 1, 2002, the Company adopted SFAS No. 141 and SFAS No. 142. As a result, the Company stopped recording the</w:t>
      </w:r>
    </w:p>
    <w:p>
      <w:pPr>
        <w:sectPr>
          <w:pgSz w:w="11900" w:h="16838" w:orient="portrait"/>
          <w:cols w:equalWidth="0" w:num="1">
            <w:col w:w="10219"/>
          </w:cols>
          <w:pgMar w:left="240" w:top="136" w:right="1440" w:bottom="0" w:gutter="0" w:footer="0" w:header="0"/>
        </w:sectPr>
      </w:pPr>
    </w:p>
    <w:bookmarkStart w:id="19" w:name="page20"/>
    <w:bookmarkEnd w:id="19"/>
    <w:p>
      <w:pPr>
        <w:ind w:right="3439"/>
        <w:spacing w:after="0" w:line="258" w:lineRule="auto"/>
        <w:rPr>
          <w:sz w:val="20"/>
          <w:szCs w:val="20"/>
          <w:color w:val="auto"/>
        </w:rPr>
      </w:pPr>
      <w:r>
        <w:rPr>
          <w:rFonts w:ascii="Courier New" w:cs="Courier New" w:eastAsia="Courier New" w:hAnsi="Courier New"/>
          <w:sz w:val="14"/>
          <w:szCs w:val="14"/>
          <w:color w:val="auto"/>
        </w:rPr>
        <w:t>amortization of goodwill and indefinite life intangible assets as a charge to earnings. Reported net earnings and diluted EPS would have been approximately $2.8 billion and $1.76, respectively, for the year ended December 31, 2001, and $2.5 billion and $1.74, respectively, for the year ended December 31, 2000, had the provisions of the new standards been applied in those periods.</w:t>
      </w:r>
    </w:p>
    <w:p>
      <w:pPr>
        <w:spacing w:after="0" w:line="16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Currency movements have decreased net revenues by $291 million and operating companies income by $4 million from 2001. Decreases in net revenues and operating companies income are due primarily to the strength of the U.S. dollar against certain Latin American currencies, partially offset by the weakness of the U.S. dollar against the euro and other currencies.</w:t>
      </w:r>
    </w:p>
    <w:p>
      <w:pPr>
        <w:spacing w:after="0" w:line="16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Reported interest and other debt expense, net, decreased $590 million in 2002. This decrease was due primarily to lower debt levels after the repayment of Nabisco acquisition borrowings with the proceeds from the Company's IPO, as well as the Company's refinancing of notes payable to Altria Group, Inc. and lower short-term interest rates. On a pro forma basis, interest and other debt expense, net, decreased $288 million in 2002 from $1,135 million in 2001. This decrease in pro forma interest expense is due to the use of free cash flow to repay debt, the refinancing of notes payable to Altria Group, Inc. and lower short-term interest rates.</w:t>
      </w:r>
    </w:p>
    <w:p>
      <w:pPr>
        <w:spacing w:after="0" w:line="17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During 2002, the Company's reported effective tax rate decreased by 9.9 percentage points to 35.5% as compared with 2001, due primarily to the adoption of SFAS No. 141 and SFAS No. 142, under which the Company is no longer required to amortize goodwill and indefinite life intangible assets as a charge to earnings.</w:t>
      </w:r>
    </w:p>
    <w:p>
      <w:pPr>
        <w:spacing w:after="0" w:line="178"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Reported diluted and basic EPS, which were both $1.96 for 2002, increased by 67.5% over 2001, due primarily to growth in operating companies income, lower interest expense and the</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pacing w:after="0" w:line="200" w:lineRule="exact"/>
        <w:rPr>
          <w:sz w:val="20"/>
          <w:szCs w:val="20"/>
          <w:color w:val="auto"/>
        </w:rPr>
      </w:pPr>
    </w:p>
    <w:p>
      <w:pPr>
        <w:spacing w:after="0" w:line="30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Kraft Foods Inc.</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elimination of substantially all goodwill amortization. Reported net earnings of $3,394 million for 2002 increased $1,512 million (80.3%) over 2001. On a pro forma basis, diluted and basic EPS, which were both $2.02 for 2002, increased by 15.4% over 2001, due primarily to growth in operating companies income and lower interest expense. On a pro forma basis, net earnings of $3,505 million for 2002 increased $463 million (15.2%) over 2001.</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compared with 2000</w:t>
      </w:r>
    </w:p>
    <w:p>
      <w:pPr>
        <w:spacing w:after="0" w:line="175" w:lineRule="exact"/>
        <w:rPr>
          <w:sz w:val="20"/>
          <w:szCs w:val="20"/>
          <w:color w:val="auto"/>
        </w:rPr>
      </w:pPr>
    </w:p>
    <w:p>
      <w:pPr>
        <w:ind w:right="3359"/>
        <w:spacing w:after="0" w:line="259" w:lineRule="auto"/>
        <w:rPr>
          <w:sz w:val="20"/>
          <w:szCs w:val="20"/>
          <w:color w:val="auto"/>
        </w:rPr>
      </w:pPr>
      <w:r>
        <w:rPr>
          <w:rFonts w:ascii="Courier New" w:cs="Courier New" w:eastAsia="Courier New" w:hAnsi="Courier New"/>
          <w:sz w:val="14"/>
          <w:szCs w:val="14"/>
          <w:color w:val="auto"/>
        </w:rPr>
        <w:t>Reported volume for 2001 increased 4,262 million pounds (32.5%) over 2000, due primarily to the acquisition of Nabisco. Pro forma volume increased 2.2% over 2000. Excluding the 53rd week of shipments in 2000, volume increased 3.4%, reflecting new product introductions and volume gains in developing markets.</w:t>
      </w:r>
    </w:p>
    <w:p>
      <w:pPr>
        <w:spacing w:after="0" w:line="16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Reported net revenues for 2001 increased $6,312 million (27.5%) over 2000, due primarily to the acquisition of Nabisco. Pro forma net revenues decreased slightly from 2000, due primarily to the 53rd week of sales in 2000, the adverse effect of currency exchange rates and lower sales prices on coffee products (driven by commodity-related price declines), partially offset by the favorable impact of volume growth.</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Reported operating companies income increased $1,280 million (26.9%) over 2000, due primarily to the acquisition of Nabisco. On a pro forma basis, operating companies income increased $524 million (9.4%), driven by volume growth, productivity savings and Nabisco synergies, partially offset by unfavorable currency movements.</w:t>
      </w:r>
    </w:p>
    <w:p>
      <w:pPr>
        <w:spacing w:after="0" w:line="178" w:lineRule="exact"/>
        <w:rPr>
          <w:sz w:val="20"/>
          <w:szCs w:val="20"/>
          <w:color w:val="auto"/>
        </w:rPr>
      </w:pPr>
    </w:p>
    <w:p>
      <w:pPr>
        <w:ind w:right="3359"/>
        <w:spacing w:after="0" w:line="259" w:lineRule="auto"/>
        <w:rPr>
          <w:sz w:val="20"/>
          <w:szCs w:val="20"/>
          <w:color w:val="auto"/>
        </w:rPr>
      </w:pPr>
      <w:r>
        <w:rPr>
          <w:rFonts w:ascii="Courier New" w:cs="Courier New" w:eastAsia="Courier New" w:hAnsi="Courier New"/>
          <w:sz w:val="14"/>
          <w:szCs w:val="14"/>
          <w:color w:val="auto"/>
        </w:rPr>
        <w:t>Currency movements decreased net revenues by $493 million and operating companies income by $60 million from 2000. Decreases in net revenues and operating companies income were due to the strength of the U.S. dollar against the euro, Canadian dollar and certain Asian and Latin American currencies.</w:t>
      </w:r>
    </w:p>
    <w:p>
      <w:pPr>
        <w:spacing w:after="0" w:line="16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Reported interest and other debt expense, net, increased $840 million in 2001. This increase was due primarily to notes issued to Altria Group, Inc. in the fourth quarter of 2000 to finance the acquisition of Nabisco. On a pro forma basis, interest and other debt expense, net, decreased $213 million in 2001 from $1,348 million in 2000. This decrease in pro forma interest expense is due to the use of free cash flow to repay debt and the refinancing of debt payable to Altria Group, Inc.</w:t>
      </w:r>
    </w:p>
    <w:p>
      <w:pPr>
        <w:spacing w:after="0" w:line="177" w:lineRule="exact"/>
        <w:rPr>
          <w:sz w:val="20"/>
          <w:szCs w:val="20"/>
          <w:color w:val="auto"/>
        </w:rPr>
      </w:pPr>
    </w:p>
    <w:p>
      <w:pPr>
        <w:ind w:right="3799"/>
        <w:spacing w:after="0" w:line="260" w:lineRule="auto"/>
        <w:rPr>
          <w:sz w:val="20"/>
          <w:szCs w:val="20"/>
          <w:color w:val="auto"/>
        </w:rPr>
      </w:pPr>
      <w:r>
        <w:rPr>
          <w:rFonts w:ascii="Courier New" w:cs="Courier New" w:eastAsia="Courier New" w:hAnsi="Courier New"/>
          <w:sz w:val="14"/>
          <w:szCs w:val="14"/>
          <w:color w:val="auto"/>
        </w:rPr>
        <w:t>During 2001, the Company's reported effective tax rate increased by 4.0 percentage points to 45.4% as compared with 2000, due primarily to higher Nabisco-related goodwill amortization, which was not tax deductible.</w:t>
      </w:r>
    </w:p>
    <w:p>
      <w:pPr>
        <w:spacing w:after="0" w:line="332" w:lineRule="exact"/>
        <w:rPr>
          <w:sz w:val="20"/>
          <w:szCs w:val="20"/>
          <w:color w:val="auto"/>
        </w:rPr>
      </w:pPr>
    </w:p>
    <w:p>
      <w:pPr>
        <w:ind w:right="3539"/>
        <w:spacing w:after="0" w:line="257" w:lineRule="auto"/>
        <w:rPr>
          <w:sz w:val="20"/>
          <w:szCs w:val="20"/>
          <w:color w:val="auto"/>
        </w:rPr>
      </w:pPr>
      <w:r>
        <w:rPr>
          <w:rFonts w:ascii="Courier New" w:cs="Courier New" w:eastAsia="Courier New" w:hAnsi="Courier New"/>
          <w:sz w:val="14"/>
          <w:szCs w:val="14"/>
          <w:color w:val="auto"/>
        </w:rPr>
        <w:t>Reported diluted and basic EPS, which were both $1.17 for 2001, decreased by 15.2% from 2000, due primarily to higher levels of goodwill amortization and interest expense associated with the acquisition of Nabisco. Reported net earnings of $1,882 million for 2001 decreased $119 million (5.9%) from 2000. On a pro forma basis, diluted and basic EPS, which were both $1.75 for 2001, increased by 12.9% over 2000, due primarily to higher operating results in all segments. On a pro forma basis, net earnings $3,042 million for 2001 increased $361 million (13.5%) from 2000.</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Results By Reportable Segment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North America</w:t>
      </w:r>
    </w:p>
    <w:p>
      <w:pPr>
        <w:sectPr>
          <w:pgSz w:w="11900" w:h="16838" w:orient="portrait"/>
          <w:cols w:equalWidth="0" w:num="1">
            <w:col w:w="10219"/>
          </w:cols>
          <w:pgMar w:left="240" w:top="141" w:right="1440" w:bottom="0" w:gutter="0" w:footer="0" w:header="0"/>
        </w:sectPr>
      </w:pPr>
    </w:p>
    <w:bookmarkStart w:id="20" w:name="page21"/>
    <w:bookmarkEnd w:id="20"/>
    <w:p>
      <w:pPr>
        <w:ind w:left="40"/>
        <w:spacing w:after="0"/>
        <w:rPr>
          <w:sz w:val="20"/>
          <w:szCs w:val="20"/>
          <w:color w:val="auto"/>
        </w:rPr>
      </w:pPr>
      <w:r>
        <w:rPr>
          <w:rFonts w:ascii="Courier New" w:cs="Courier New" w:eastAsia="Courier New" w:hAnsi="Courier New"/>
          <w:sz w:val="14"/>
          <w:szCs w:val="14"/>
          <w:color w:val="auto"/>
        </w:rPr>
        <w:t>(in millions)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Year Ended December 31, 2002 2001 2000 -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Reported volume</w:t>
      </w:r>
    </w:p>
    <w:p>
      <w:pPr>
        <w:spacing w:after="0" w:line="5" w:lineRule="exact"/>
        <w:rPr>
          <w:sz w:val="20"/>
          <w:szCs w:val="20"/>
          <w:color w:val="auto"/>
        </w:rPr>
      </w:pPr>
    </w:p>
    <w:p>
      <w:pPr>
        <w:jc w:val="both"/>
        <w:ind w:left="40" w:right="3219"/>
        <w:spacing w:after="0" w:line="256" w:lineRule="auto"/>
        <w:rPr>
          <w:sz w:val="20"/>
          <w:szCs w:val="20"/>
          <w:color w:val="auto"/>
        </w:rPr>
      </w:pPr>
      <w:r>
        <w:rPr>
          <w:rFonts w:ascii="Courier New" w:cs="Courier New" w:eastAsia="Courier New" w:hAnsi="Courier New"/>
          <w:sz w:val="14"/>
          <w:szCs w:val="14"/>
          <w:color w:val="auto"/>
        </w:rPr>
        <w:t>(in pounds): Cheese, Meals and Enhancers 5,898 5,219 4,820 Biscuits, Snacks and Confectionery 2,369 2,350 54 Beverages, Desserts and Cereals 3,708 3,421 3,117 Oscar Mayer and Pizza 1,554 1,519 1,507 - -------------------------------------</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4"/>
          <w:szCs w:val="14"/>
          <w:color w:val="auto"/>
        </w:rPr>
        <w:t>------------------------------------------- Total reported volume (in pounds)</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13,529 12,509 9,498 Volume of businesses sold: Cheese, Meals and Enhancers (5)</w:t>
      </w:r>
    </w:p>
    <w:p>
      <w:pPr>
        <w:jc w:val="center"/>
        <w:ind w:right="3179"/>
        <w:spacing w:after="0"/>
        <w:rPr>
          <w:sz w:val="20"/>
          <w:szCs w:val="20"/>
          <w:color w:val="auto"/>
        </w:rPr>
      </w:pPr>
      <w:r>
        <w:rPr>
          <w:rFonts w:ascii="Courier New" w:cs="Courier New" w:eastAsia="Courier New" w:hAnsi="Courier New"/>
          <w:sz w:val="15"/>
          <w:szCs w:val="15"/>
          <w:color w:val="auto"/>
        </w:rPr>
        <w:t>Biscuits, Snacks and Confectionery (15) (13) Beverages, Desserts and Cereals</w:t>
      </w:r>
    </w:p>
    <w:p>
      <w:pPr>
        <w:spacing w:after="0" w:line="5" w:lineRule="exact"/>
        <w:rPr>
          <w:sz w:val="20"/>
          <w:szCs w:val="20"/>
          <w:color w:val="auto"/>
        </w:rPr>
      </w:pPr>
    </w:p>
    <w:p>
      <w:pPr>
        <w:ind w:left="380" w:right="3359" w:hanging="214"/>
        <w:spacing w:after="0" w:line="256" w:lineRule="auto"/>
        <w:tabs>
          <w:tab w:leader="none" w:pos="512"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due to businesses held for sale: Cheese, Meals and Enhancers 647 Estimated impact of century date change: Cheese, Meals and Enhancers 16</w:t>
      </w:r>
    </w:p>
    <w:p>
      <w:pPr>
        <w:spacing w:after="0" w:line="1" w:lineRule="exact"/>
        <w:rPr>
          <w:sz w:val="20"/>
          <w:szCs w:val="20"/>
          <w:color w:val="auto"/>
        </w:rPr>
      </w:pPr>
    </w:p>
    <w:p>
      <w:pPr>
        <w:jc w:val="center"/>
        <w:ind w:right="3179"/>
        <w:spacing w:after="0" w:line="256" w:lineRule="auto"/>
        <w:rPr>
          <w:sz w:val="20"/>
          <w:szCs w:val="20"/>
          <w:color w:val="auto"/>
        </w:rPr>
      </w:pPr>
      <w:r>
        <w:rPr>
          <w:rFonts w:ascii="Courier New" w:cs="Courier New" w:eastAsia="Courier New" w:hAnsi="Courier New"/>
          <w:sz w:val="14"/>
          <w:szCs w:val="14"/>
          <w:color w:val="auto"/>
        </w:rPr>
        <w:t>Biscuits, Snacks and Confectionery 1 Beverages, Desserts and Cereals 19 Oscar Mayer and Pizza 5 Nabisco volume: Cheese, Meals and Enhancers 1,101 Biscuits, Snacks and Confectionery 2,246 Beverages, Desserts and Cereals 40 -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Pro forma</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volume (in pounds) 13,514 13,142 12,921 - -------------------------------------</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 Reported net revenues: Cheese,</w:t>
      </w:r>
    </w:p>
    <w:p>
      <w:pPr>
        <w:spacing w:after="0" w:line="5" w:lineRule="exact"/>
        <w:rPr>
          <w:sz w:val="20"/>
          <w:szCs w:val="20"/>
          <w:color w:val="auto"/>
        </w:rPr>
      </w:pPr>
    </w:p>
    <w:p>
      <w:pPr>
        <w:jc w:val="center"/>
        <w:ind w:right="3179"/>
        <w:spacing w:after="0" w:line="256" w:lineRule="auto"/>
        <w:rPr>
          <w:sz w:val="20"/>
          <w:szCs w:val="20"/>
          <w:color w:val="auto"/>
        </w:rPr>
      </w:pPr>
      <w:r>
        <w:rPr>
          <w:rFonts w:ascii="Courier New" w:cs="Courier New" w:eastAsia="Courier New" w:hAnsi="Courier New"/>
          <w:sz w:val="14"/>
          <w:szCs w:val="14"/>
          <w:color w:val="auto"/>
        </w:rPr>
        <w:t>Meals and Enhancers $ 8,877 $ 8,732 $ 7,923 Biscuits, Snacks and Confectionery 5,182 5,071 293 Beverages, Desserts and Cereals 4,412 4,237 4,267 Oscar Mayer and Pizza 3,014 2,930 2,829 - -------------------------------------------------</w:t>
      </w:r>
    </w:p>
    <w:p>
      <w:pPr>
        <w:ind w:left="300"/>
        <w:spacing w:after="0" w:line="233" w:lineRule="auto"/>
        <w:rPr>
          <w:sz w:val="20"/>
          <w:szCs w:val="20"/>
          <w:color w:val="auto"/>
        </w:rPr>
      </w:pPr>
      <w:r>
        <w:rPr>
          <w:rFonts w:ascii="Courier New" w:cs="Courier New" w:eastAsia="Courier New" w:hAnsi="Courier New"/>
          <w:sz w:val="15"/>
          <w:szCs w:val="15"/>
          <w:color w:val="auto"/>
        </w:rPr>
        <w:t>------------------------------- Total reported net revenues 21,485 20,970</w:t>
      </w:r>
    </w:p>
    <w:p>
      <w:pPr>
        <w:jc w:val="center"/>
        <w:ind w:right="3179"/>
        <w:spacing w:after="0"/>
        <w:rPr>
          <w:sz w:val="20"/>
          <w:szCs w:val="20"/>
          <w:color w:val="auto"/>
        </w:rPr>
      </w:pPr>
      <w:r>
        <w:rPr>
          <w:rFonts w:ascii="Courier New" w:cs="Courier New" w:eastAsia="Courier New" w:hAnsi="Courier New"/>
          <w:sz w:val="15"/>
          <w:szCs w:val="15"/>
          <w:color w:val="auto"/>
        </w:rPr>
        <w:t>15,312 Net revenues of businesses sold: Cheese, Meals and Enhancers (10)</w:t>
      </w:r>
    </w:p>
    <w:p>
      <w:pPr>
        <w:jc w:val="center"/>
        <w:ind w:right="3179"/>
        <w:spacing w:after="0"/>
        <w:rPr>
          <w:sz w:val="20"/>
          <w:szCs w:val="20"/>
          <w:color w:val="auto"/>
        </w:rPr>
      </w:pPr>
      <w:r>
        <w:rPr>
          <w:rFonts w:ascii="Courier New" w:cs="Courier New" w:eastAsia="Courier New" w:hAnsi="Courier New"/>
          <w:sz w:val="15"/>
          <w:szCs w:val="15"/>
          <w:color w:val="auto"/>
        </w:rPr>
        <w:t>Biscuits, Snacks and Confectionery (21) (19) Beverages, Desserts and Cereals</w:t>
      </w:r>
    </w:p>
    <w:p>
      <w:pPr>
        <w:spacing w:after="0" w:line="5" w:lineRule="exact"/>
        <w:rPr>
          <w:sz w:val="20"/>
          <w:szCs w:val="20"/>
          <w:color w:val="auto"/>
        </w:rPr>
      </w:pPr>
    </w:p>
    <w:p>
      <w:pPr>
        <w:ind w:left="380" w:right="3299" w:hanging="258"/>
        <w:spacing w:after="0" w:line="256" w:lineRule="auto"/>
        <w:tabs>
          <w:tab w:leader="none" w:pos="556"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due to businesses held for sale: Cheese, Meals and Enhancers 252 Estimated impact of century date change: Cheese, Meals and Enhancers 29</w:t>
      </w:r>
    </w:p>
    <w:p>
      <w:pPr>
        <w:spacing w:after="0" w:line="1" w:lineRule="exact"/>
        <w:rPr>
          <w:sz w:val="20"/>
          <w:szCs w:val="20"/>
          <w:color w:val="auto"/>
        </w:rPr>
      </w:pPr>
    </w:p>
    <w:p>
      <w:pPr>
        <w:jc w:val="center"/>
        <w:ind w:right="3179"/>
        <w:spacing w:after="0" w:line="256" w:lineRule="auto"/>
        <w:rPr>
          <w:sz w:val="20"/>
          <w:szCs w:val="20"/>
          <w:color w:val="auto"/>
        </w:rPr>
      </w:pPr>
      <w:r>
        <w:rPr>
          <w:rFonts w:ascii="Courier New" w:cs="Courier New" w:eastAsia="Courier New" w:hAnsi="Courier New"/>
          <w:sz w:val="14"/>
          <w:szCs w:val="14"/>
          <w:color w:val="auto"/>
        </w:rPr>
        <w:t>Biscuits, Snacks and Confectionery 3 Beverages, Desserts and Cereals 16 Oscar Mayer and Pizza 11 Nabisco net revenues: Cheese, Meals and Enhancers 1,016 Biscuits, Snacks and Confectionery 4,653 Beverages, Desserts and Cereals 79 -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Pro forma net revenues $21,464 $21,191 $21,109</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pacing w:after="0" w:line="200" w:lineRule="exact"/>
        <w:rPr>
          <w:sz w:val="20"/>
          <w:szCs w:val="20"/>
          <w:color w:val="auto"/>
        </w:rPr>
      </w:pPr>
    </w:p>
    <w:p>
      <w:pPr>
        <w:spacing w:after="0" w:line="30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Kraft Foods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North America (continued)</w:t>
      </w:r>
    </w:p>
    <w:p>
      <w:pPr>
        <w:spacing w:after="0" w:line="17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 millions)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Year Ended December 31, 2002 2001 2000 -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Reported Operating</w:t>
      </w:r>
    </w:p>
    <w:p>
      <w:pPr>
        <w:spacing w:after="0" w:line="11" w:lineRule="exact"/>
        <w:rPr>
          <w:sz w:val="20"/>
          <w:szCs w:val="20"/>
          <w:color w:val="auto"/>
        </w:rPr>
      </w:pPr>
    </w:p>
    <w:p>
      <w:pPr>
        <w:jc w:val="center"/>
        <w:ind w:right="3179"/>
        <w:spacing w:after="0" w:line="256" w:lineRule="auto"/>
        <w:rPr>
          <w:sz w:val="20"/>
          <w:szCs w:val="20"/>
          <w:color w:val="auto"/>
        </w:rPr>
      </w:pPr>
      <w:r>
        <w:rPr>
          <w:rFonts w:ascii="Courier New" w:cs="Courier New" w:eastAsia="Courier New" w:hAnsi="Courier New"/>
          <w:sz w:val="14"/>
          <w:szCs w:val="14"/>
          <w:color w:val="auto"/>
        </w:rPr>
        <w:t>Companies Income: Cheese, Meals and Enhancers $2,168 $2,099 $1,845 Biscuits, Snacks and Confectionery 1,093 966 100 Beverages, Desserts and Cereals 1,136 1,192 1,090 Oscar Mayer and Pizza 556 539 512 - -------------------------------</w:t>
      </w:r>
    </w:p>
    <w:p>
      <w:pPr>
        <w:ind w:left="260"/>
        <w:spacing w:after="0" w:line="233" w:lineRule="auto"/>
        <w:rPr>
          <w:sz w:val="20"/>
          <w:szCs w:val="20"/>
          <w:color w:val="auto"/>
        </w:rPr>
      </w:pPr>
      <w:r>
        <w:rPr>
          <w:rFonts w:ascii="Courier New" w:cs="Courier New" w:eastAsia="Courier New" w:hAnsi="Courier New"/>
          <w:sz w:val="15"/>
          <w:szCs w:val="15"/>
          <w:color w:val="auto"/>
        </w:rPr>
        <w:t>------------------------------------------------- Total reported operating</w:t>
      </w:r>
    </w:p>
    <w:p>
      <w:pPr>
        <w:spacing w:after="0" w:line="6" w:lineRule="exact"/>
        <w:rPr>
          <w:sz w:val="20"/>
          <w:szCs w:val="20"/>
          <w:color w:val="auto"/>
        </w:rPr>
      </w:pPr>
    </w:p>
    <w:p>
      <w:pPr>
        <w:jc w:val="center"/>
        <w:ind w:right="3179"/>
        <w:spacing w:after="0" w:line="256" w:lineRule="auto"/>
        <w:rPr>
          <w:sz w:val="20"/>
          <w:szCs w:val="20"/>
          <w:color w:val="auto"/>
        </w:rPr>
      </w:pPr>
      <w:r>
        <w:rPr>
          <w:rFonts w:ascii="Courier New" w:cs="Courier New" w:eastAsia="Courier New" w:hAnsi="Courier New"/>
          <w:sz w:val="14"/>
          <w:szCs w:val="14"/>
          <w:color w:val="auto"/>
        </w:rPr>
        <w:t>companies income 4,953 4,796 3,547 Gains on sales of businesses: Cheese, Meals and Enhancers (33) Biscuits, Snacks and Confectionery (8) Operating companies income of businesses sold: Cheese, Meals and Enhancers (4) Biscuits, Snacks and Confectionery (5) (4) Beverages, Desserts and Cereals (2) Integration costs and a loss on sale of a food factory: Cheese, Meals and Enhancers 30 63 Biscuits, Snacks and Confectionery 1 2 Beverages, Desserts and Cereals 56 12 Oscar Mayer and Pizza 7 5 Separation programs: Cheese, Meals and Enhancers 60 Biscuits, Snacks and Confectionery 3 Beverages, Desserts and Cereals 47 Oscar Mayer and Pizza 25 Changes due to businesses held for sale: Cheese, Meals and Enhancers 23 Estimated impact of century date change: Cheese, Meals and Enhancers 15 Biscuits, Snacks and Confectionery 1 Beverages, Desserts and Cereals 7 Oscar Mayer and Pizza 4 Nabisco operating companies income: Cheese, Meals and Enhancers 230 Biscuits, Snacks and Confectionery 671 Beverages, Desserts and Cereals 28 - ------------------------------------------------------------------</w:t>
      </w:r>
    </w:p>
    <w:p>
      <w:pPr>
        <w:ind w:left="340"/>
        <w:spacing w:after="0"/>
        <w:rPr>
          <w:sz w:val="20"/>
          <w:szCs w:val="20"/>
          <w:color w:val="auto"/>
        </w:rPr>
      </w:pPr>
      <w:r>
        <w:rPr>
          <w:rFonts w:ascii="Courier New" w:cs="Courier New" w:eastAsia="Courier New" w:hAnsi="Courier New"/>
          <w:sz w:val="15"/>
          <w:szCs w:val="15"/>
          <w:color w:val="auto"/>
        </w:rPr>
        <w:t>-------------- Pro forma operating companies income $5,169 $4,895 $4,466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 compared with 2001</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KFNA's reported volume for 2002 increased 8.2% over 2001, due primarily to the inclusion in 2002 of a business that was previously held for sale and contributions from new products. On a pro forma basis, volume for 2002 increased 2.8%, due primarily to higher shipments across all segments, which benefited from contributions by new products.</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Reported net revenues increased $515 million (2.5%) over 2001, due primarily to higher volume/mix ($437 million) and the inclusion in 2002 of a business that was previously held for sale ($252 million), partially offset by lower selling prices in response to lower commodity costs ($154 million). On a pro forma basis, net revenues increased 1.3%.</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Reported operating companies income for 2002 increased $157 million (3.3%) over 2001, due primarily to higher volume/mix ($174 million), favorable margins ($176 million, driven by lower commodity-related costs and productivity) and Nabisco synergy savings, partially offset by higher benefit expense, including the 2002 charge for voluntary retirement programs ($135 million). On a pro forma basis, operating companies income increased 5.6%.</w:t>
      </w:r>
    </w:p>
    <w:p>
      <w:pPr>
        <w:spacing w:after="0" w:line="176"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The following discusses operating results within each of KFNA's reportable segments.</w:t>
      </w:r>
    </w:p>
    <w:p>
      <w:pPr>
        <w:spacing w:after="0" w:line="176"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Cheese, Meals and Enhancers: Reported volume in 2002 increased 13.0% over 2001, due primarily to the inclusion in 2002 of a business that was previously held for sale. On a pro forma basis, volume in 2002 increased 0.5%, driven by volume gains in enhancers, meals and food service, partially offset by a decline in cheese. Volume gains in enhancers and meals were led by Kraft pourable dressings, barbecue sauce, macaroni &amp; cheese dinners and the 2001 acquisition of</w:t>
      </w:r>
    </w:p>
    <w:p>
      <w:pPr>
        <w:sectPr>
          <w:pgSz w:w="11900" w:h="16838" w:orient="portrait"/>
          <w:cols w:equalWidth="0" w:num="1">
            <w:col w:w="10219"/>
          </w:cols>
          <w:pgMar w:left="240" w:top="141" w:right="1440" w:bottom="0" w:gutter="0" w:footer="0" w:header="0"/>
        </w:sectPr>
      </w:pPr>
    </w:p>
    <w:bookmarkStart w:id="21" w:name="page22"/>
    <w:bookmarkEnd w:id="21"/>
    <w:p>
      <w:pPr>
        <w:ind w:right="3259"/>
        <w:spacing w:after="0" w:line="237" w:lineRule="auto"/>
        <w:rPr>
          <w:sz w:val="20"/>
          <w:szCs w:val="20"/>
          <w:color w:val="auto"/>
        </w:rPr>
      </w:pPr>
      <w:r>
        <w:rPr>
          <w:rFonts w:ascii="Courier New" w:cs="Courier New" w:eastAsia="Courier New" w:hAnsi="Courier New"/>
          <w:sz w:val="15"/>
          <w:szCs w:val="15"/>
          <w:color w:val="auto"/>
        </w:rPr>
        <w:t>It's Pasta Anytime. In cheese, volume declined as lower dairy costs resulted in aggressive competitive activity by private label manufacturers as they reduced prices and increased merchandising levels.</w:t>
      </w:r>
    </w:p>
    <w:p>
      <w:pPr>
        <w:spacing w:after="0" w:line="175"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During 2002, reported net revenues increased $145 million (1.7%) over 2001, due primarily to the inclusion in 2002 of a business that was previously held for sale ($252 million) and higher volume/mix ($36 million), partially offset by lower net pricing ($135 million, primarily related to lower dairy commodity costs). On a pro forma basis, net revenues decreased 1.2% from the comparable period of 2001, as lower net pricing was partially offset by higher volume/mix.</w:t>
      </w:r>
    </w:p>
    <w:p>
      <w:pPr>
        <w:spacing w:after="0" w:line="16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Reported operating companies income for 2002 increased $69 million (3.3%) over 2001, due primarily to favorable margins ($48 million, due primarily to lower cheese commodity costs and productivity savings), higher volume/mix ($30 million), lower integration related costs in 2002 ($33 million) and the inclusion in 2002 of a business that was previously held for sale ($23 million), partially offset by higher benefit expenses, including the 2002 charge for voluntary retirement programs ($60 million). On a pro forma basis, operating companies income also increased 3.3%, driven by favorable margins and higher volume/mix, partially offset by higher benefit expenses.</w:t>
      </w:r>
    </w:p>
    <w:p>
      <w:pPr>
        <w:spacing w:after="0" w:line="179"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Biscuits, Snacks and Confectionery: Reported volume in 2002 increased 0.8% over 2001. On a pro forma basis, volume in 2002 increased 0.7% over 2001, as volume gains in biscuits and snacks were partially offset by a decline in confectionery shipments. In biscuits, volume also increased, due primarily to promotional initiatives. Confectionery volume declined, resulting primarily from competitive activity in the breath freshening category, partially offset by new product introductions in the non-chocolate confectionery business.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pacing w:after="0" w:line="200" w:lineRule="exact"/>
        <w:rPr>
          <w:sz w:val="20"/>
          <w:szCs w:val="20"/>
          <w:color w:val="auto"/>
        </w:rPr>
      </w:pPr>
    </w:p>
    <w:p>
      <w:pPr>
        <w:spacing w:after="0" w:line="30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Kraft Foods Inc.</w:t>
      </w:r>
    </w:p>
    <w:p>
      <w:pPr>
        <w:spacing w:after="0" w:line="34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During 2002, reported net revenues increased $111 million (2.2%) over 2001, due to higher volume/mix ($59 million) and higher net pricing ($52 million). On a pro forma basis, net revenues also increased 2.2%.</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Reported operating companies income for 2002 increased $127 million (13.1%) over 2001, due primarily to favorable margins ($96 million, due primarily to higher net pricing and lower commodity costs for nuts), Nabisco synergy savings and higher volume/mix. On a pro forma basis, operating companies income increased 12.4%.</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Beverages, Desserts and Cereals: Reported and pro forma volume in 2002 increased 8.4% over 2001, due primarily to growth in ready-to-drink beverages. In coffee, volume increased, driven by merchandising programs and packaging innovation. In the desserts business, volume increases were led by dry packaged desserts and frozen toppings, which benefited from holiday programs, and in ready-to-eat desserts, aided by new products.</w:t>
      </w:r>
    </w:p>
    <w:p>
      <w:pPr>
        <w:spacing w:after="0" w:line="176" w:lineRule="exact"/>
        <w:rPr>
          <w:sz w:val="20"/>
          <w:szCs w:val="20"/>
          <w:color w:val="auto"/>
        </w:rPr>
      </w:pPr>
    </w:p>
    <w:p>
      <w:pPr>
        <w:ind w:right="3439"/>
        <w:spacing w:after="0" w:line="260" w:lineRule="auto"/>
        <w:rPr>
          <w:sz w:val="20"/>
          <w:szCs w:val="20"/>
          <w:color w:val="auto"/>
        </w:rPr>
      </w:pPr>
      <w:r>
        <w:rPr>
          <w:rFonts w:ascii="Courier New" w:cs="Courier New" w:eastAsia="Courier New" w:hAnsi="Courier New"/>
          <w:sz w:val="14"/>
          <w:szCs w:val="14"/>
          <w:color w:val="auto"/>
        </w:rPr>
        <w:t>During 2002, reported net revenues increased $175 million (4.1%) over 2001, due primarily to higher volume/mix ($245 million), partially offset by lower net pricing ($58 million). On a pro forma basis, net revenues increased 4.4%.</w:t>
      </w:r>
    </w:p>
    <w:p>
      <w:pPr>
        <w:spacing w:after="0" w:line="163"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Reported operating companies income for 2002 decreased $56 million (4.7%) from 2001, primarily reflecting the 2002 charge for voluntary retirement programs ($47 million), higher integration related costs in 2002 ($44 million), higher marketing, administration and research costs ($36 million, including higher benefit costs) and lower margins ($18 million), partially offset by higher volume/mix ($98 million) and productivity savings. On a pro forma basis, operating companies income increased 3.1%, resulting from volume growth and productivity savings, partially offset by higher marketing, administration and research costs.</w:t>
      </w:r>
    </w:p>
    <w:p>
      <w:pPr>
        <w:spacing w:after="0" w:line="179"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Oscar Mayer and Pizza: Reported and pro forma volume in 2002 increased 2.3% over 2001, due to volume gains in processed meats and pizza. The increase in processed meats was driven by gains in hot dogs, bacon and soy-based meat alternatives, aided by new product introductions. The pizza business also benefited from new products.</w:t>
      </w:r>
    </w:p>
    <w:p>
      <w:pPr>
        <w:spacing w:after="0" w:line="17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During 2002, reported and pro forma net revenues increased $84 million (2.9%) over 2001, due to higher volume/mix ($97 million), partially offset by lower net pricing ($13 million).</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Reported operating companies income for 2002 increased $17 million (3.2%) over 2001, primarily reflecting favorable costs ($50 million, due primarily to lower meat and cheese commodity costs and productivity savings) and higher volume/mix ($30 million), partially offset by the 2002 charge for voluntary retirement programs ($25 million), higher marketing, administration and research costs ($24 million, including higher benefit costs) and higher manufacturing costs. On a pro forma basis, operating companies income increase 8.1%.</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compared with 2000</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KFNA's reported volume for 2001 increased 31.7% over 2000, due primarily to the acquisition of Nabisco. On a pro forma basis, volume for 2001 increased 1.7%, or 2.9% excluding the 53rd week of shipments in 2000. The 2.9% increase was due primarily to higher shipments across all segments and reflects contributions from new products.</w:t>
      </w:r>
    </w:p>
    <w:p>
      <w:pPr>
        <w:spacing w:after="0" w:line="178" w:lineRule="exact"/>
        <w:rPr>
          <w:sz w:val="20"/>
          <w:szCs w:val="20"/>
          <w:color w:val="auto"/>
        </w:rPr>
      </w:pPr>
    </w:p>
    <w:p>
      <w:pPr>
        <w:ind w:right="3179"/>
        <w:spacing w:after="0" w:line="260" w:lineRule="auto"/>
        <w:rPr>
          <w:sz w:val="20"/>
          <w:szCs w:val="20"/>
          <w:color w:val="auto"/>
        </w:rPr>
      </w:pPr>
      <w:r>
        <w:rPr>
          <w:rFonts w:ascii="Courier New" w:cs="Courier New" w:eastAsia="Courier New" w:hAnsi="Courier New"/>
          <w:sz w:val="14"/>
          <w:szCs w:val="14"/>
          <w:color w:val="auto"/>
        </w:rPr>
        <w:t>Reported net revenues increased $5.7 billion (37.0%) over 2000, due primarily to the acquisition of Nabisco ($5.7 billion) and the shift in CDC revenues ($59 million), partially offset by unfavorable currency movements ($62 million). On a</w:t>
      </w:r>
    </w:p>
    <w:p>
      <w:pPr>
        <w:sectPr>
          <w:pgSz w:w="11900" w:h="16838" w:orient="portrait"/>
          <w:cols w:equalWidth="0" w:num="1">
            <w:col w:w="10219"/>
          </w:cols>
          <w:pgMar w:left="240" w:top="141" w:right="1440" w:bottom="0" w:gutter="0" w:footer="0" w:header="0"/>
        </w:sectPr>
      </w:pPr>
    </w:p>
    <w:bookmarkStart w:id="22" w:name="page23"/>
    <w:bookmarkEnd w:id="22"/>
    <w:p>
      <w:pPr>
        <w:ind w:right="3179"/>
        <w:spacing w:after="0" w:line="260" w:lineRule="auto"/>
        <w:rPr>
          <w:sz w:val="20"/>
          <w:szCs w:val="20"/>
          <w:color w:val="auto"/>
        </w:rPr>
      </w:pPr>
      <w:r>
        <w:rPr>
          <w:rFonts w:ascii="Courier New" w:cs="Courier New" w:eastAsia="Courier New" w:hAnsi="Courier New"/>
          <w:sz w:val="14"/>
          <w:szCs w:val="14"/>
          <w:color w:val="auto"/>
        </w:rPr>
        <w:t>pro forma basis, net revenues increased 0.4%, due primarily to higher net revenues from the Biscuits, Snacks and Confectionery segment and the Oscar Mayer and Pizza segment, partially offset by the impact of the 53rd week in 2000.</w:t>
      </w:r>
    </w:p>
    <w:p>
      <w:pPr>
        <w:spacing w:after="0" w:line="16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Reported operating companies income for 2001 increased $1,249 million (35.2%) over 2000, due primarily to the acquisition of Nabisco ($1.2 billion), lower marketing, administration and research costs ($274 million) and the shift in CDC income ($27 million), partially offset by lower margins ($136 million, driven primarily by higher dairy commodity-related costs) and the loss on the sale of a North American food factory and integration costs ($82 million). On a pro forma basis, operating companies income increased 9.6%.</w:t>
      </w:r>
    </w:p>
    <w:p>
      <w:pPr>
        <w:spacing w:after="0" w:line="177"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The following discusses operating results within each of KFNA's reportable segments.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Cheese, Meals And Enhancers: Reported volume in 2001 increased 8.3% over 2000, due primarily to the acquisition of Nabisco. On a pro forma basis, volume in 2001 decreased 1.1%, due primarily to the 53rd week of shipments in 2000. Excluding the 53rd week of shipments in 2000, volume increased 0.2%, as volume gains in meals, enhancers and Canada were partially offset by declines in cheese and food service. Meals recorded volume gains, reflecting higher shipments of macaroni &amp; cheese dinners. Enhancers also recorded volume gains, reflecting higher shipments of spoonable and pourable dressings. In Canada, volume grew on higher shipments of branded products. In cheese, shipments decreased, due primarily to the Company's decision to exit the lower-margin, non-branded cheese business. Volume also declined in process cheese loaves and cream cheese, as retailers continued to reduce trade inventory levels, partially offset by higher volume in grated and natural cheese. In U.S. food service, shipments declined due to weakness in the economy and the Company's exit from lower-margin businesses.</w:t>
      </w:r>
    </w:p>
    <w:p>
      <w:pPr>
        <w:spacing w:after="0" w:line="18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During 2001, reported net revenues increased $809 million (10.2%) over 2000, due primarily to the acquisition of Nabisco ($791 million), higher net pricing ($122 million, primarily related to higher dairy commodity costs) and the shift in CDC revenues ($29 million), partially offset by lower volume/mix ($65 million) and unfavorable currency movements ($62 million). On a pro forma basis, net revenues increased slightly from the comparable period of 2000, as higher pricing in cheese and food service were partially offset by unfavorable currency and lower volume/mix.</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pacing w:after="0" w:line="200" w:lineRule="exact"/>
        <w:rPr>
          <w:sz w:val="20"/>
          <w:szCs w:val="20"/>
          <w:color w:val="auto"/>
        </w:rPr>
      </w:pPr>
    </w:p>
    <w:p>
      <w:pPr>
        <w:spacing w:after="0" w:line="30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Kraft Foods Inc.</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Reported operating companies income for 2001 increased $254 million (13.8%) over 2000, due primarily to the acquisition of Nabisco ($234 million), lower marketing, administration and research costs ($140 million, primarily lower marketing expense) and the shift in CDC income ($15 million), partially offset by unfavorable margins ($48 million, due primarily to higher dairy commodity costs) and the loss on the sale of a North American food factory and integration costs ($63 million). On a pro forma basis, operating companies income increased 6.4%.</w:t>
      </w:r>
    </w:p>
    <w:p>
      <w:pPr>
        <w:spacing w:after="0" w:line="178"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Biscuits, Snacks and Confectionery: Reported volume in 2001 increased more than 100% over 2000, due primarily to the acquisition of Nabisco. On a pro forma basis, volume in 2001 increased 1.6% over 2000. Excluding the 53rd week of shipments in 2000, volume also increased 1.6%, due primarily to new product introductions in biscuits, partially offset by lower shipments of snack nuts.</w:t>
      </w:r>
    </w:p>
    <w:p>
      <w:pPr>
        <w:spacing w:after="0" w:line="165" w:lineRule="exact"/>
        <w:rPr>
          <w:sz w:val="20"/>
          <w:szCs w:val="20"/>
          <w:color w:val="auto"/>
        </w:rPr>
      </w:pPr>
    </w:p>
    <w:p>
      <w:pPr>
        <w:ind w:right="3439"/>
        <w:spacing w:after="0" w:line="259" w:lineRule="auto"/>
        <w:rPr>
          <w:sz w:val="20"/>
          <w:szCs w:val="20"/>
          <w:color w:val="auto"/>
        </w:rPr>
      </w:pPr>
      <w:r>
        <w:rPr>
          <w:rFonts w:ascii="Courier New" w:cs="Courier New" w:eastAsia="Courier New" w:hAnsi="Courier New"/>
          <w:sz w:val="14"/>
          <w:szCs w:val="14"/>
          <w:color w:val="auto"/>
        </w:rPr>
        <w:t>During 2001, reported net revenues increased $4.8 billion, or more than 100% over 2000, due primarily to the acquisition of Nabisco. On a pro forma basis, net revenues increased 2.1%, due primarily to higher volume driven by new biscuit products and higher pricing of biscuit and confectionery products.</w:t>
      </w:r>
    </w:p>
    <w:p>
      <w:pPr>
        <w:spacing w:after="0" w:line="163"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Reported operating companies income for 2001 increased $866 million, or more than 100% over 2000, due primarily to the acquisition of Nabisco ($925 million), partially offset by higher marketing, administration and research costs ($27 million). On a pro forma basis, operating companies income increased 24.9%, due primarily to higher volume from new biscuit products, lower commodity costs for snack nuts, and productivity and Nabisco synergy savings.</w:t>
      </w:r>
    </w:p>
    <w:p>
      <w:pPr>
        <w:spacing w:after="0" w:line="16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Beverages, Desserts and Cereals: Reported volume in 2001 increased 9.8% over 2000, due primarily to growth in beverages. On a pro forma basis, volume in 2001 increased 7.7% over 2000. Excluding the 53rd week of shipments in 2000, volume increased 9.3%, due primarily to increased shipments of ready-to-drink beverages, benefiting from the introduction of new products. Desserts volume was below the prior year, due to lower shipments of dry packaged desserts and frozen toppings. Cereal volume declined, due primarily to weak category performance and increased competition in the ready-to-eat cereal category.</w:t>
      </w:r>
    </w:p>
    <w:p>
      <w:pPr>
        <w:spacing w:after="0" w:line="178"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During 2001, reported net revenues decreased $30 million (0.7%) from 2000, due primarily to lower net pricing ($167 million, due primarily to coffee commodity-related price reductions), partially offset by the acquisition of Nabisco ($83 million), the acquisition of Balance Bar Co. ($20 million), the shift in CDC revenues ($16 million) and higher volume/mix ($17 million). On a pro forma basis, net revenues decreased 3.1%, reflecting commodity-related price reductions on coffee products and lower shipments in desserts and cereals.</w:t>
      </w:r>
    </w:p>
    <w:p>
      <w:pPr>
        <w:spacing w:after="0" w:line="167"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Reported operating companies income for 2001 increased $102 million (9.4%) over 2000, primarily reflecting lower marketing, administration and research costs ($139 million), the acquisition of Nabisco ($32 million), and the shift in CDC income ($7 million), partially offset by unfavorable margins ($31 million) and integration costs ($12 million). On a pro forma basis, operating companies income increased 6.8%.</w:t>
      </w:r>
    </w:p>
    <w:p>
      <w:pPr>
        <w:sectPr>
          <w:pgSz w:w="11900" w:h="16838" w:orient="portrait"/>
          <w:cols w:equalWidth="0" w:num="1">
            <w:col w:w="10219"/>
          </w:cols>
          <w:pgMar w:left="240" w:top="141" w:right="1440" w:bottom="0" w:gutter="0" w:footer="0" w:header="0"/>
        </w:sectPr>
      </w:pPr>
    </w:p>
    <w:bookmarkStart w:id="23" w:name="page24"/>
    <w:bookmarkEnd w:id="23"/>
    <w:p>
      <w:pPr>
        <w:ind w:right="3439"/>
        <w:spacing w:after="0" w:line="258" w:lineRule="auto"/>
        <w:rPr>
          <w:sz w:val="20"/>
          <w:szCs w:val="20"/>
          <w:color w:val="auto"/>
        </w:rPr>
      </w:pPr>
      <w:r>
        <w:rPr>
          <w:rFonts w:ascii="Courier New" w:cs="Courier New" w:eastAsia="Courier New" w:hAnsi="Courier New"/>
          <w:sz w:val="14"/>
          <w:szCs w:val="14"/>
          <w:color w:val="auto"/>
        </w:rPr>
        <w:t>Oscar Mayer and Pizza: Reported volume in 2001 increased 0.8% over 2000. Excluding the 53rd week of shipments in 2000, volume increased 2.3%, due to volume gains in processed meats and pizza. The processed meats business recorded volume gains in luncheon meats, hot dogs, bacon and soy-based meat alternatives. Volume in the pizza business increased, driven by new products.</w:t>
      </w:r>
    </w:p>
    <w:p>
      <w:pPr>
        <w:spacing w:after="0" w:line="16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During 2001, reported net revenues increased $101 million (3.6%) over 2000, due primarily to higher volume/mix ($75 million), the shift in CDC revenues ($11 million) and the acquisition of Boca Burger, Inc.</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Reported operating companies income for 2001 increased $27 million (5.3%) over 2000, primarily reflecting higher volume/mix ($45 million), lower marketing, administration and research costs ($22 million) and the shift in CDC income, partially offset by unfavorable margins ($36 million, due primarily to higher meat and cheese commodity costs).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International</w:t>
      </w:r>
    </w:p>
    <w:p>
      <w:pPr>
        <w:spacing w:after="0" w:line="17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 millions)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Year Ended December 31, 2002 2001 2000 - -----------------------</w:t>
      </w:r>
    </w:p>
    <w:p>
      <w:pPr>
        <w:spacing w:after="0" w:line="11" w:lineRule="exact"/>
        <w:rPr>
          <w:sz w:val="20"/>
          <w:szCs w:val="20"/>
          <w:color w:val="auto"/>
        </w:rPr>
      </w:pPr>
    </w:p>
    <w:p>
      <w:pPr>
        <w:ind w:left="120"/>
        <w:spacing w:after="0"/>
        <w:rPr>
          <w:sz w:val="20"/>
          <w:szCs w:val="20"/>
          <w:color w:val="auto"/>
        </w:rPr>
      </w:pPr>
      <w:r>
        <w:rPr>
          <w:rFonts w:ascii="Courier New" w:cs="Courier New" w:eastAsia="Courier New" w:hAnsi="Courier New"/>
          <w:sz w:val="14"/>
          <w:szCs w:val="14"/>
          <w:color w:val="auto"/>
        </w:rPr>
        <w:t>------------------------------------------------------------ Reported volume (in</w:t>
      </w:r>
    </w:p>
    <w:p>
      <w:pPr>
        <w:spacing w:after="0" w:line="11" w:lineRule="exact"/>
        <w:rPr>
          <w:sz w:val="20"/>
          <w:szCs w:val="20"/>
          <w:color w:val="auto"/>
        </w:rPr>
      </w:pPr>
    </w:p>
    <w:p>
      <w:pPr>
        <w:jc w:val="both"/>
        <w:ind w:left="40" w:right="2959" w:firstLine="88"/>
        <w:spacing w:after="0" w:line="256" w:lineRule="auto"/>
        <w:rPr>
          <w:sz w:val="20"/>
          <w:szCs w:val="20"/>
          <w:color w:val="auto"/>
        </w:rPr>
      </w:pPr>
      <w:r>
        <w:rPr>
          <w:rFonts w:ascii="Courier New" w:cs="Courier New" w:eastAsia="Courier New" w:hAnsi="Courier New"/>
          <w:sz w:val="14"/>
          <w:szCs w:val="14"/>
          <w:color w:val="auto"/>
        </w:rPr>
        <w:t>pounds): Europe, Middle East and Africa 2,961 2,826 2,829 Latin America and Asia Pacific 2,059 2,057 803 - --------------------------------------------------------</w:t>
      </w:r>
    </w:p>
    <w:p>
      <w:pPr>
        <w:ind w:left="160"/>
        <w:spacing w:after="0" w:line="233" w:lineRule="auto"/>
        <w:rPr>
          <w:sz w:val="20"/>
          <w:szCs w:val="20"/>
          <w:color w:val="auto"/>
        </w:rPr>
      </w:pPr>
      <w:r>
        <w:rPr>
          <w:rFonts w:ascii="Courier New" w:cs="Courier New" w:eastAsia="Courier New" w:hAnsi="Courier New"/>
          <w:sz w:val="15"/>
          <w:szCs w:val="15"/>
          <w:color w:val="auto"/>
        </w:rPr>
        <w:t>--------------------------- Total reported volume (in pounds) 5,020 4,883 3,632</w:t>
      </w:r>
    </w:p>
    <w:p>
      <w:pPr>
        <w:spacing w:after="0" w:line="5" w:lineRule="exact"/>
        <w:rPr>
          <w:sz w:val="20"/>
          <w:szCs w:val="20"/>
          <w:color w:val="auto"/>
        </w:rPr>
      </w:pPr>
    </w:p>
    <w:p>
      <w:pPr>
        <w:jc w:val="center"/>
        <w:ind w:right="2919"/>
        <w:spacing w:after="0" w:line="256" w:lineRule="auto"/>
        <w:rPr>
          <w:sz w:val="20"/>
          <w:szCs w:val="20"/>
          <w:color w:val="auto"/>
        </w:rPr>
      </w:pPr>
      <w:r>
        <w:rPr>
          <w:rFonts w:ascii="Courier New" w:cs="Courier New" w:eastAsia="Courier New" w:hAnsi="Courier New"/>
          <w:sz w:val="14"/>
          <w:szCs w:val="14"/>
          <w:color w:val="auto"/>
        </w:rPr>
        <w:t>Volume of businesses sold: Europe, Middle East and Africa (1) (40) Latin America and Asia Pacific (135) (172) (37) Estimated impact of century date change: Europe, Middle East and Africa 7 Latin America and Asia Pacific 7 Nabisco volume: Europe, Middle East and Africa 44 Latin America and Asia Pacific 936 - -------------------</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 Pro forma volume</w:t>
      </w:r>
    </w:p>
    <w:p>
      <w:pPr>
        <w:spacing w:after="0" w:line="5"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(in pounds) 4,885 4,710 4,549</w:t>
      </w:r>
    </w:p>
    <w:p>
      <w:pPr>
        <w:spacing w:after="0" w:line="5"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jc w:val="both"/>
        <w:ind w:left="40" w:right="2959" w:firstLine="88"/>
        <w:spacing w:after="0" w:line="256" w:lineRule="auto"/>
        <w:rPr>
          <w:sz w:val="20"/>
          <w:szCs w:val="20"/>
          <w:color w:val="auto"/>
        </w:rPr>
      </w:pPr>
      <w:r>
        <w:rPr>
          <w:rFonts w:ascii="Courier New" w:cs="Courier New" w:eastAsia="Courier New" w:hAnsi="Courier New"/>
          <w:sz w:val="14"/>
          <w:szCs w:val="14"/>
          <w:color w:val="auto"/>
        </w:rPr>
        <w:t>Reported net revenues: Europe, Middle East and Africa $6,203 $5,936 $6,398 Latin America and Asia Pacific 2,035 2,328 1,212 - -------------------------------------</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4"/>
          <w:szCs w:val="14"/>
          <w:color w:val="auto"/>
        </w:rPr>
        <w:t>---------------------------------------------- Total reported net revenues 8,238</w:t>
      </w:r>
    </w:p>
    <w:p>
      <w:pPr>
        <w:spacing w:after="0" w:line="11" w:lineRule="exact"/>
        <w:rPr>
          <w:sz w:val="20"/>
          <w:szCs w:val="20"/>
          <w:color w:val="auto"/>
        </w:rPr>
      </w:pPr>
    </w:p>
    <w:p>
      <w:pPr>
        <w:jc w:val="center"/>
        <w:ind w:right="2919"/>
        <w:spacing w:after="0" w:line="256" w:lineRule="auto"/>
        <w:rPr>
          <w:sz w:val="20"/>
          <w:szCs w:val="20"/>
          <w:color w:val="auto"/>
        </w:rPr>
      </w:pPr>
      <w:r>
        <w:rPr>
          <w:rFonts w:ascii="Courier New" w:cs="Courier New" w:eastAsia="Courier New" w:hAnsi="Courier New"/>
          <w:sz w:val="14"/>
          <w:szCs w:val="14"/>
          <w:color w:val="auto"/>
        </w:rPr>
        <w:t>8,264 7,610 Net revenues of businesses sold: Europe, Middle East and Africa (131) Latin America and Asia Pacific (68) (90) (21) Estimated impact of century date change: Europe, Middle East and Africa 14 Latin America and Asia Pacific 12 Nabisco net revenues: Europe, Middle East and Africa 46 Latin America and Asia Pacific 1,028 - ------------------------------------------------------------------</w:t>
      </w:r>
    </w:p>
    <w:p>
      <w:pPr>
        <w:ind w:left="960"/>
        <w:spacing w:after="0" w:line="234" w:lineRule="auto"/>
        <w:rPr>
          <w:sz w:val="20"/>
          <w:szCs w:val="20"/>
          <w:color w:val="auto"/>
        </w:rPr>
      </w:pPr>
      <w:r>
        <w:rPr>
          <w:rFonts w:ascii="Courier New" w:cs="Courier New" w:eastAsia="Courier New" w:hAnsi="Courier New"/>
          <w:sz w:val="15"/>
          <w:szCs w:val="15"/>
          <w:color w:val="auto"/>
        </w:rPr>
        <w:t>----------------- Pro forma net revenues $8,170 $8,174 $8,558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Kraft Foods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International (continued)</w:t>
      </w:r>
    </w:p>
    <w:p>
      <w:pPr>
        <w:spacing w:after="0" w:line="17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 millions)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Year Ended December 31, 2002 2001 2000 -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Reported operating</w:t>
      </w:r>
    </w:p>
    <w:p>
      <w:pPr>
        <w:spacing w:after="0" w:line="5" w:lineRule="exact"/>
        <w:rPr>
          <w:sz w:val="20"/>
          <w:szCs w:val="20"/>
          <w:color w:val="auto"/>
        </w:rPr>
      </w:pPr>
    </w:p>
    <w:p>
      <w:pPr>
        <w:ind w:left="40" w:right="2959" w:firstLine="44"/>
        <w:spacing w:after="0" w:line="256" w:lineRule="auto"/>
        <w:rPr>
          <w:sz w:val="20"/>
          <w:szCs w:val="20"/>
          <w:color w:val="auto"/>
        </w:rPr>
      </w:pPr>
      <w:r>
        <w:rPr>
          <w:rFonts w:ascii="Courier New" w:cs="Courier New" w:eastAsia="Courier New" w:hAnsi="Courier New"/>
          <w:sz w:val="14"/>
          <w:szCs w:val="14"/>
          <w:color w:val="auto"/>
        </w:rPr>
        <w:t>companies income: Europe, Middle East and Africa $ 962 $ 861 $1,019 Latin America and Asia Pacific 368 378 189 - ---------------------------------------------------</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4"/>
          <w:szCs w:val="14"/>
          <w:color w:val="auto"/>
        </w:rPr>
        <w:t>-------------------------------- Total reported operating companies income 1,330</w:t>
      </w:r>
    </w:p>
    <w:p>
      <w:pPr>
        <w:spacing w:after="0" w:line="11" w:lineRule="exact"/>
        <w:rPr>
          <w:sz w:val="20"/>
          <w:szCs w:val="20"/>
          <w:color w:val="auto"/>
        </w:rPr>
      </w:pPr>
    </w:p>
    <w:p>
      <w:pPr>
        <w:ind w:left="40" w:right="2959" w:firstLine="176"/>
        <w:spacing w:after="0" w:line="256" w:lineRule="auto"/>
        <w:rPr>
          <w:sz w:val="20"/>
          <w:szCs w:val="20"/>
          <w:color w:val="auto"/>
        </w:rPr>
      </w:pPr>
      <w:r>
        <w:rPr>
          <w:rFonts w:ascii="Courier New" w:cs="Courier New" w:eastAsia="Courier New" w:hAnsi="Courier New"/>
          <w:sz w:val="14"/>
          <w:szCs w:val="14"/>
          <w:color w:val="auto"/>
        </w:rPr>
        <w:t>1,239 1,208 Gains on sales of businesses: Europe, Middle East and Africa (139) Latin America and Asia Pacific (72) (8) Operating companies income of businesses sold: Europe, Middle East and Africa (32) Latin America and Asia Pacific (10) (18)</w:t>
      </w:r>
    </w:p>
    <w:p>
      <w:pPr>
        <w:spacing w:after="0" w:line="1" w:lineRule="exact"/>
        <w:rPr>
          <w:sz w:val="20"/>
          <w:szCs w:val="20"/>
          <w:color w:val="auto"/>
        </w:rPr>
      </w:pPr>
    </w:p>
    <w:p>
      <w:pPr>
        <w:ind w:left="40" w:right="2959" w:firstLine="212"/>
        <w:spacing w:after="0" w:line="256" w:lineRule="auto"/>
        <w:tabs>
          <w:tab w:leader="none" w:pos="613"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Integration costs: Latin America and Asia Pacific 17 Separation programs: Europe, Middle East and Africa 5 Latin America and Asia Pacific 2 Estimated impact</w:t>
      </w:r>
    </w:p>
    <w:p>
      <w:pPr>
        <w:jc w:val="center"/>
        <w:ind w:left="40" w:right="2959" w:firstLine="132"/>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century date change: Europe, Middle East and Africa 8 Latin America and Asia Pacific 5 Nabisco operating companies income: Europe, Middle East and Africa 1 Latin America and Asia Pacific 70 - ----------------------------------------------</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 Pro forma operating companies income $1,272</w:t>
      </w:r>
    </w:p>
    <w:p>
      <w:pPr>
        <w:spacing w:after="0" w:line="5"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$1,213 $1,118</w:t>
      </w:r>
    </w:p>
    <w:p>
      <w:pPr>
        <w:spacing w:after="0" w:line="5"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 compared with 2001</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KFI's reported volume for 2002 increased 2.8% over 2001. On a pro forma basis, volume for 2002 increased 3.7% over 2001, due primarily to acquisitions, new product introductions, geographic expansion and marketing programs. This increase in volume was partially offset by the impact of economic weakness in several Latin American countries.</w:t>
      </w:r>
    </w:p>
    <w:p>
      <w:pPr>
        <w:spacing w:after="0" w:line="17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During 2002, reported net revenues decreased $26 million (0.3%) from 2001, due primarily to unfavorable currency movements ($271 million), lower volume/mix ($36 million) and revenues of divested businesses ($22 million), partially offset by the impact of acquisitions ($181 million) and higher net pricing ($122 million). On a pro forma basis, net revenues decreased slightly.</w:t>
      </w:r>
    </w:p>
    <w:p>
      <w:pPr>
        <w:spacing w:after="0" w:line="178"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Reported operating companies income for 2002 increased $91 million (7.3%) over 2001, due primarily to gains on sales of businesses ($64 million), favorable margins ($37 million, including productivity savings), lower marketing, administration and research costs ($23 million, including synergy savings) and the impact of acquisitions ($18 million), partially offset by lower volume/mix ($19 million), 2002 integration costs ($17 million) and income of divested businesses ($8 million). On a pro forma basis, operating companies income increased 4.9%, driven by productivity and synergy savings, partially offset by lower volume/mix.</w:t>
      </w:r>
    </w:p>
    <w:p>
      <w:pPr>
        <w:spacing w:after="0" w:line="179"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The following discusses operating results within each of KFI's reportable segments.</w:t>
      </w:r>
    </w:p>
    <w:p>
      <w:pPr>
        <w:sectPr>
          <w:pgSz w:w="11900" w:h="16838" w:orient="portrait"/>
          <w:cols w:equalWidth="0" w:num="1">
            <w:col w:w="10219"/>
          </w:cols>
          <w:pgMar w:left="240" w:top="311" w:right="1440" w:bottom="0" w:gutter="0" w:footer="0" w:header="0"/>
        </w:sectPr>
      </w:pPr>
    </w:p>
    <w:bookmarkStart w:id="24" w:name="page25"/>
    <w:bookmarkEnd w:id="24"/>
    <w:p>
      <w:pPr>
        <w:ind w:right="3179"/>
        <w:spacing w:after="0" w:line="239" w:lineRule="auto"/>
        <w:rPr>
          <w:sz w:val="20"/>
          <w:szCs w:val="20"/>
          <w:color w:val="auto"/>
        </w:rPr>
      </w:pPr>
      <w:r>
        <w:rPr>
          <w:rFonts w:ascii="Courier New" w:cs="Courier New" w:eastAsia="Courier New" w:hAnsi="Courier New"/>
          <w:sz w:val="15"/>
          <w:szCs w:val="15"/>
          <w:color w:val="auto"/>
        </w:rPr>
        <w:t>Europe, Middle East and Africa: Reported and pro forma volume for 2002 increased 4.8% over 2001, driven by acquisitions and volume growth across most markets including Italy, the United Kingdom, Sweden, the Ukraine, the Middle East and Poland, partially offset by declines in Germany and Romania. Snacks volume increased, benefiting from confectionery acquisitions in Russia and Poland, a snacks acquisition in Turkey and new product introductions across the segment. Snacks volume growth was moderated by a decline in Germany, reflecting aggressive competitive activity, and in Romania, due to lower consumer purchasing power. In beverages, volume increased in both coffee and refreshment beverages. Coffee volume grew in most markets, driven by new product introductions, and acquisitions in Romania, Morocco and Bulgaria. In Germany, coffee volume decreased, reflecting market softness and increased price competition. Refreshment beverages volume also increased, driven by the geographic expansion of powdered beverages and new product introductions. Cheese volume increased with gains in Philadelphia cream cheese, benefiting from advertising and new product introductions. In convenient meals, volume increased, due primarily to higher canned meats volume in Italy against a weak comparison in 2001, and new product introductions of lunch combinations in the United Kingdom.</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Reported and pro forma net revenues for 2002 increased $267 million (4.5%) over 2001, due primarily to favorable currency movements ($197 million), the acquisitions of coffee, confectionery and snacks businesses ($147 million) and higher volume/mix ($22 million), partially offset by lower net pricing ($99 million, due primarily to commodity-driven coffee price declines).</w:t>
      </w:r>
    </w:p>
    <w:p>
      <w:pPr>
        <w:spacing w:after="0" w:line="178"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Reported operating companies income for 2002 increased $101 million (11.7%) over 2001, due primarily to favorable margins ($42 million), favorable currency movements ($37 million), higher volume/mix ($19 million) and acquisitions ($16 million), partially offset by higher marketing, administration and research costs. On a pro forma basis, operating companies income increased 12.3%.</w:t>
      </w:r>
    </w:p>
    <w:p>
      <w:pPr>
        <w:spacing w:after="0" w:line="16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Latin America and Asia Pacific: Reported volume for 2002 increased slightly over 2001. On a pro forma basis, volume for 2002 increased 2.1% over 2001, driven by the acquisition of a biscuits business in Australia and gains across numerous markets, partially offset by a volume decline in Argentina due to economic weakness, and lower results in China. In snacks, volume growth was driven by gains in biscuits, benefiting from geographic expansion of cookies and crackers in Latin America, new product introductions and the acquisition of a biscuits business in Australia. Snacks volume growth was partially offset by the negative impact of the continued economic weakness in Argentina and distributor inventory reductions in China. Beverages volume also increased, due primarily to growth in powdered beverages in numerous markets across Latin America</w:t>
      </w:r>
    </w:p>
    <w:p>
      <w:pPr>
        <w:spacing w:after="0" w:line="33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Kraft Foods Inc.</w:t>
      </w:r>
    </w:p>
    <w:p>
      <w:pPr>
        <w:spacing w:after="0" w:line="34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and Asia Pacific, which benefited from new product introductions. In grocery, volume declined in both Latin America and Asia Pacific. Continued instability of the economic climate in Argentina, Brazil and Venezuela is expected to negatively impact volume and income in the Latin America and Asia Pacific segment during 2003.</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During 2002, reported net revenues decreased $293 million (12.6%) from 2001, due primarily to unfavorable currency movements ($468 million), lower volume/mix ($58 million) and revenues from divested businesses ($22 million), partially offset by higher net pricing ($221 million) and the 2002 acquisition of a biscuits business in Australia ($34 million). On a pro forma basis, net revenues decreased 12.1%.</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Reported operating companies income for 2002 decreased $10 million (2.6%) from 2001, due primarily to lower volume/mix ($38 million), unfavorable currency movements ($37 million), 2002 integration costs ($17 million) and the operating companies income of disposed businesses, partially offset by gains on sales of businesses ($64 million) and lower marketing, administration and research costs ($31 million, including synergy savings). On a pro forma basis, operating companies income decreased 13.4%, due primarily to the devaluation driven cost increase in Latin America and lower volume/mix, partially offset by synergy savings.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compared with 2000</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KFI's reported volume for 2001 increased 34.4% over 2000, due primarily to the acquisition of Nabisco. On a pro forma basis, volume for 2001 increased 3.5% over 2000. Excluding the 53rd week of shipments in 2000, volume increased 4.8%, benefiting from gains across most consumer sectors and driven by growth in the developing markets of Central and Eastern Europe, Latin America and Asia Pacific.</w:t>
      </w:r>
    </w:p>
    <w:p>
      <w:pPr>
        <w:spacing w:after="0" w:line="176"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During 2001, reported net revenues increased $654 million (8.6%) over 2000, due primarily to the acquisition of Nabisco ($1.2 billion) and the shift in CDC revenues ($26 million), partially offset by unfavorable currency movements ($431 million) and the revenues of divested businesses. On a pro forma basis, net revenues decreased 4.5%, primarily reflecting unfavorable currency movements.</w:t>
      </w:r>
    </w:p>
    <w:p>
      <w:pPr>
        <w:spacing w:after="0" w:line="16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Reported operating companies income for 2001 increased $31 million (2.6%) over 2000, due primarily to the acquisition of Nabisco ($128 million), lower marketing, administration and research costs ($131 million) and the shift in CDC income ($13 million), partially offset by the gain on the sale of a French confectionery business in 2000 ($139 million), unfavorable currency movements ($51 million), unfavorable margins ($14 million) and income of divested businesses. On a pro forma basis, operating companies income increased 8.5%.</w:t>
      </w:r>
    </w:p>
    <w:p>
      <w:pPr>
        <w:sectPr>
          <w:pgSz w:w="11900" w:h="16838" w:orient="portrait"/>
          <w:cols w:equalWidth="0" w:num="1">
            <w:col w:w="10219"/>
          </w:cols>
          <w:pgMar w:left="240" w:top="311" w:right="1440" w:bottom="0" w:gutter="0" w:footer="0" w:header="0"/>
        </w:sectPr>
      </w:pPr>
    </w:p>
    <w:bookmarkStart w:id="25" w:name="page26"/>
    <w:bookmarkEnd w:id="25"/>
    <w:p>
      <w:pPr>
        <w:ind w:right="3799"/>
        <w:spacing w:after="0" w:line="235" w:lineRule="auto"/>
        <w:rPr>
          <w:sz w:val="20"/>
          <w:szCs w:val="20"/>
          <w:color w:val="auto"/>
        </w:rPr>
      </w:pPr>
      <w:r>
        <w:rPr>
          <w:rFonts w:ascii="Courier New" w:cs="Courier New" w:eastAsia="Courier New" w:hAnsi="Courier New"/>
          <w:sz w:val="15"/>
          <w:szCs w:val="15"/>
          <w:color w:val="auto"/>
        </w:rPr>
        <w:t>The following discusses operating results within each of KFI's reportable segments.</w:t>
      </w:r>
    </w:p>
    <w:p>
      <w:pPr>
        <w:spacing w:after="0" w:line="17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Europe, Middle East and Africa: Reported and pro forma volume for 2001 decreased slightly from 2000, due primarily to the 53rd week of shipments in 2000. Excluding the 53rd week of shipments in 2000, volume increased 1.3%, due primarily to volume gains in the developing markets of Central and Eastern Europe and growth in many Western European markets, partially offset by lower volume in Germany, reflecting increased price competition and trade inventory reductions, and lower canned meats volume in Italy. In beverages, volume increased in both coffee and refreshment beverages. Coffee volume grew in many markets, driven by new product introductions and recent acquisitions in Romania, Morocco and Bulgaria. In Germany, coffee volume increased despite trade inventory reductions. Refreshment beverages volume increased, driven by higher sales to the Middle East. Snacks volume increased, driven by confectionery and salted snacks, particularly in Central and Eastern Europe. Snacks volume in Germany was lower due to increased price competition and trade inventory reductions. Cheese volume increased, due primarily to Philadelphia cream cheese growth across the region, partially offset by lower volume in Germany. In convenient meals and grocery, volume declined as lower canned meats volume in Italy and a decline in grocery volume in Germany were partially offset by higher shipments of lunch combinations and pourable dressings in the United Kingdom.</w:t>
      </w:r>
    </w:p>
    <w:p>
      <w:pPr>
        <w:spacing w:after="0" w:line="33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Reported net revenues for 2001 decreased $462 million (7.2%) from 2000, due primarily to unfavorable currency movements ($231 million), revenues from divested businesses, lower net pricing ($122 million, primarily commodity-driven coffee price decreases) and lower volume/mix ($69 million), partially offset by the acquisition of Nabisco ($46 million), the 2001 acquisitions of coffee businesses in Romania, Morocco and Bulgaria ($28 million) and the shift in CDC revenues ($14 million). On a pro forma basis, net revenues decreased 6.2%, reflecting unfavorable currency movements and commodity-related coffee price decreases.</w:t>
      </w:r>
    </w:p>
    <w:p>
      <w:pPr>
        <w:spacing w:after="0" w:line="179"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Reported operating companies income for 2001 decreased $158 million (15.5%) from 2000, due primarily to the gain on the sale of a French confectionery business in 2000 ($139 million), unfavorable currency movements ($19 million), income from divested businesses, lower volume/mix ($12 million) and unfavorable margins ($7 million), partially offset by lower marketing, administration and research costs ($42 million) and the shift in CDC income. On a pro forma basis, operating companies income increased 0.5%.</w:t>
      </w:r>
    </w:p>
    <w:p>
      <w:pPr>
        <w:spacing w:after="0" w:line="177"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Latin America and Asia Pacific: Reported volume for 2001 increased more than 100% from 2000, due primarily to the acquisition of Nabisco. On a pro forma basis, volume for 2001 increased 10.3% over 2000. Excluding the 53rd week of shipments in 2000, volume increased 10.6%, due to gains across most consumer sectors. Beverages volume increased, due primarily to growth in refreshment beverages in Latin America and Asia Pacific, and coffee in Asia Pacific. Cheese volume increased, due primarily to cream cheese and process cheese. Grocery volume was higher, due primarily to new product introductions. Snacks volume increased, driven primarily by new biscuit product introductions and geographic expansion, partially offset by lower volume in Argentina, due to economic weakness.</w:t>
      </w:r>
    </w:p>
    <w:p>
      <w:pPr>
        <w:spacing w:after="0" w:line="34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Kraft Foods Inc.</w:t>
      </w:r>
    </w:p>
    <w:p>
      <w:pPr>
        <w:spacing w:after="0" w:line="175" w:lineRule="exact"/>
        <w:rPr>
          <w:sz w:val="20"/>
          <w:szCs w:val="20"/>
          <w:color w:val="auto"/>
        </w:rPr>
      </w:pPr>
    </w:p>
    <w:p>
      <w:pPr>
        <w:ind w:right="3359"/>
        <w:spacing w:after="0" w:line="260" w:lineRule="auto"/>
        <w:rPr>
          <w:sz w:val="20"/>
          <w:szCs w:val="20"/>
          <w:color w:val="auto"/>
        </w:rPr>
      </w:pPr>
      <w:r>
        <w:rPr>
          <w:rFonts w:ascii="Courier New" w:cs="Courier New" w:eastAsia="Courier New" w:hAnsi="Courier New"/>
          <w:sz w:val="14"/>
          <w:szCs w:val="14"/>
          <w:color w:val="auto"/>
        </w:rPr>
        <w:t>During 2001, reported net revenues increased $1,116 million (92.1%) over 2000, due primarily to the acquisition of Nabisco, partially offset by unfavorable currency movements. On a pro forma basis, net revenues increased 0.3%.</w:t>
      </w:r>
    </w:p>
    <w:p>
      <w:pPr>
        <w:spacing w:after="0" w:line="163"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Reported operating companies income for 2001 increased $189 million (100.0%) over 2000, due primarily to the acquisition of Nabisco ($128 million), lower marketing, administration and research costs ($89 million) and the shift in CDC income, partially offset by unfavorable currency movements ($32 million). On a pro forma basis, operating companies income increased 34.9%, due primarily to productivity savings and Nabisco synergies.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Review</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Cash Provided by Operating Activities</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Net cash provided by operating activities was $3.7 billion in 2002 and $3.3 billion in 2001 and 2000. The increase in 2002 operating cash flows over 2001 primarily reflected cash flow from increased net earnings.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Cash Used in Investing Activities</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One element of the growth strategy of the Company is to strengthen its brand portfolios through disciplined programs of selective acquisitions and divestitures. The Company is constantly investigating potential acquisition candidates and from time to time sells businesses that are outside its core categories or that do not meet its growth or profitability targets.</w:t>
      </w:r>
    </w:p>
    <w:p>
      <w:pPr>
        <w:spacing w:after="0" w:line="16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During 2002, 2001 and 2000, net cash used in investing activities was $1.1 billion, $1.2 billion and $16.1 billion, respectively. The decrease in 2002 primarily reflected lower purchases of businesses and higher cash received from the sales of businesses, partially offset by higher capital expenditures related to the integration of Nabisco. The cash used in 2000 primarily reflected cash used for the acquisition of Nabisco.</w:t>
      </w:r>
    </w:p>
    <w:p>
      <w:pPr>
        <w:spacing w:after="0" w:line="176" w:lineRule="exact"/>
        <w:rPr>
          <w:sz w:val="20"/>
          <w:szCs w:val="20"/>
          <w:color w:val="auto"/>
        </w:rPr>
      </w:pPr>
    </w:p>
    <w:p>
      <w:pPr>
        <w:ind w:right="3179"/>
        <w:spacing w:after="0" w:line="260" w:lineRule="auto"/>
        <w:rPr>
          <w:sz w:val="20"/>
          <w:szCs w:val="20"/>
          <w:color w:val="auto"/>
        </w:rPr>
      </w:pPr>
      <w:r>
        <w:rPr>
          <w:rFonts w:ascii="Courier New" w:cs="Courier New" w:eastAsia="Courier New" w:hAnsi="Courier New"/>
          <w:sz w:val="14"/>
          <w:szCs w:val="14"/>
          <w:color w:val="auto"/>
        </w:rPr>
        <w:t>Capital expenditures, which were funded by operating activities, were $1.2 billion, $1.1 billion and $906 million in 2002, 2001 and 2000, respectively. The capital expenditures were primarily to modernize the manufacturing facilities,</w:t>
      </w:r>
    </w:p>
    <w:p>
      <w:pPr>
        <w:sectPr>
          <w:pgSz w:w="11900" w:h="16838" w:orient="portrait"/>
          <w:cols w:equalWidth="0" w:num="1">
            <w:col w:w="10219"/>
          </w:cols>
          <w:pgMar w:left="240" w:top="311" w:right="1440" w:bottom="0" w:gutter="0" w:footer="0" w:header="0"/>
        </w:sectPr>
      </w:pPr>
    </w:p>
    <w:bookmarkStart w:id="26" w:name="page27"/>
    <w:bookmarkEnd w:id="26"/>
    <w:p>
      <w:pPr>
        <w:ind w:right="3539"/>
        <w:spacing w:after="0" w:line="260" w:lineRule="auto"/>
        <w:rPr>
          <w:sz w:val="20"/>
          <w:szCs w:val="20"/>
          <w:color w:val="auto"/>
        </w:rPr>
      </w:pPr>
      <w:r>
        <w:rPr>
          <w:rFonts w:ascii="Courier New" w:cs="Courier New" w:eastAsia="Courier New" w:hAnsi="Courier New"/>
          <w:sz w:val="14"/>
          <w:szCs w:val="14"/>
          <w:color w:val="auto"/>
        </w:rPr>
        <w:t>lower cost of production and expand production capacity for growing product lines. In 2003, capital expenditures are expected to be at or slightly below 2002 expenditures and are expected to be funded from operations.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Cash Used in Financing Activities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During 2002, net cash of $2.6 billion was used in financing activities, compared with $2.1 billion during 2001. The increase in cash used was due primarily to dividends paid during 2002 and repurchases of the Company's Class A common stock. During 2002, the Company issued $2.5 billion of global bonds and $750 million of floating rate notes, the proceeds of which were used to repay outstanding indebtedness. Financing activities included net debt repayments of approximately $1.5 billion in 2002.</w:t>
      </w:r>
    </w:p>
    <w:p>
      <w:pPr>
        <w:spacing w:after="0" w:line="177"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During 2001, net cash of $2.1 billion was used in financing activities, compared with $13.0 financing activities during 2000. During 2001, financing activities included net debt repayments of $2.0 billion, debt repayments of made with IPO proceeds. The net proceeds from the IPO were used to repay debt to Altria Group, Inc. and affiliates, and, as a result, had no impact on financing cash flows. In 2000, the Company's financing activities provided cash, as additional borrowings to finance the acquisition of Nabisco exceeded the cash used to pay dividends.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and Liquidity</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SEC issued Financial Reporting Release No. 61, which sets forth the views of the SEC regarding enhanced disclosures relating to liquidity and capital resources. The information provided below about the Company's debt, credit facilities, guarantees and future commitments is included here to facilitate a review of the Company's liquidity.</w:t>
      </w:r>
    </w:p>
    <w:p>
      <w:pPr>
        <w:spacing w:after="0" w:line="17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Debt: The Company's total debt, including amounts due to Altria Group, Inc. and affiliates, was $14.4 billion at December 31, 2002 and $16.0 billion at December 31, 2001. Aggregate prepayments of $3.9 billion on the 7.0% note payable to Altria Group, Inc. and affiliates and repayments of short-term borrowings were partially offset by an increase in long-term debt.</w:t>
      </w:r>
    </w:p>
    <w:p>
      <w:pPr>
        <w:spacing w:after="0" w:line="178" w:lineRule="exact"/>
        <w:rPr>
          <w:sz w:val="20"/>
          <w:szCs w:val="20"/>
          <w:color w:val="auto"/>
        </w:rPr>
      </w:pPr>
    </w:p>
    <w:p>
      <w:pPr>
        <w:ind w:right="3259"/>
        <w:spacing w:after="0" w:line="256" w:lineRule="auto"/>
        <w:rPr>
          <w:sz w:val="20"/>
          <w:szCs w:val="20"/>
          <w:color w:val="auto"/>
        </w:rPr>
      </w:pPr>
      <w:r>
        <w:rPr>
          <w:rFonts w:ascii="Courier New" w:cs="Courier New" w:eastAsia="Courier New" w:hAnsi="Courier New"/>
          <w:sz w:val="14"/>
          <w:szCs w:val="14"/>
          <w:color w:val="auto"/>
        </w:rPr>
        <w:t>In April 2002, the Company filed a Form S-3 shelf registration statement with the Securities and Exchange Commission, under which the Company may sell debt securities and/or warrants to purchase debt securities in one or more offerings up to a total amount of $5.0 billion. In May 2002, the Company issued</w:t>
      </w:r>
    </w:p>
    <w:p>
      <w:pPr>
        <w:spacing w:after="0" w:line="1"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$2.5 billion of global bonds under the shelf registration. The bond offering included $1.0 billion of five-year notes bearing interest at a rate of 5.25% and $1.5 billion of ten-year notes bearing interest at a rate of 6.25%. The net proceeds from the offering were used to retire maturing long-term debt in the amount of $400 million and to prepay a portion (approximately $2.1 billion) of the Company's 7.0% long-term note payable to Altria Group, Inc. and affiliates. In November 2002, the Company issued $750 million of floating rate notes due in 2004 under the shelf registration. The interest rate on the notes is based on the three-month London Interbank Offered Rate plus 0.20% and will be reset quarterly. The net proceeds from the offering were used to prepay a portion of the Company's 7.0% long-term note payable to Altria Group, Inc. and affiliates. At December 31, 2002, the Company had $1,750 million of capacity remaining under its existing $5.0 billion shelf registration statement.</w:t>
      </w:r>
    </w:p>
    <w:p>
      <w:pPr>
        <w:spacing w:after="0" w:line="16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During 2002, the Company prepaid $3,850 million of the 7.0% long-term notes payable to Altria Group, Inc. and affiliates. In addition, at December 31, 2002, the Company had short-term debt totaling $2,305 million to Altria Group, Inc. and affiliates. Interest on these borrowings is based on the average one-month London Interbank Offered Rate. A portion of the short-term debt, totaling $1,410 million, was reclassified on the consolidated balance sheet as long-term notes due to Altria Group, Inc. and affiliates based upon the Company's ability and intention to refinance such amounts on a long-term basis.</w:t>
      </w:r>
    </w:p>
    <w:p>
      <w:pPr>
        <w:spacing w:after="0" w:line="3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Kraft Foods Inc.</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As discussed in Notes 3, 7 and 8 to the consolidated financial statements, the Company's total debt of $14.4 billion at December 31, 2002, which includes borrowings from Altria Group, Inc. and affiliates, is due to be repaid as follows: in 2003, $4.3 billion; in 2004-2005, $1.6 billion; in 2006-2007, $2.6 billion; and thereafter, $5.9 billion. Debt obligations due to be repaid in 2003 will be satisfied with a combination of short-term borrowings, long-term borrowings and operating cash flows. The Company's debt-to-equity ratio was 0.56 at December 31, 2002 and 0.68 at December 31, 2001.</w:t>
      </w:r>
    </w:p>
    <w:p>
      <w:pPr>
        <w:spacing w:after="0" w:line="178"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Credit Ratings: The Company's credit ratings by Moody's at December 31, 2002 were "P-1" in the commercial paper market and "A2" for long-term debt obligations. The Company's credit ratings by Standard &amp; Poor's at December 31, 2002 were "A-1" in the commercial paper market and "A-" for long-term debt obligations. The Company's credit ratings by Fitch Rating Services at December 31, 2002 were "F-1" in the commercial paper market and "A" for long-term debt obligations. Changes in the Company's credit ratings, although none are currently anticipated, could result in corresponding changes in the Company's borrowing costs. However, none of the Company's debt agreements require accelerated repayment in the event of a decrease in credit ratings.</w:t>
      </w:r>
    </w:p>
    <w:p>
      <w:pPr>
        <w:spacing w:after="0" w:line="16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Credit Lines: The Company and its subsidiaries maintain credit lines with a number of lending institutions, amounting to $5.6 billion at December 31, 2002. Approximately $5.4 billion of these lines were undrawn at December 31, 2002. Certain of these credit lines were used to support commercial paper borrowings of $1.4 billion at December 31, 2002, the proceeds of which were used for general corporate purposes. Approximately $600 million of these credit lines are available to meet the short-term working capital needs of the Company's international businesses. At December 31, 2002, the Company's credit lines also</w:t>
      </w:r>
    </w:p>
    <w:p>
      <w:pPr>
        <w:sectPr>
          <w:pgSz w:w="11900" w:h="16838" w:orient="portrait"/>
          <w:cols w:equalWidth="0" w:num="1">
            <w:col w:w="10219"/>
          </w:cols>
          <w:pgMar w:left="240" w:top="141" w:right="1440" w:bottom="0" w:gutter="0" w:footer="0" w:header="0"/>
        </w:sectPr>
      </w:pPr>
    </w:p>
    <w:bookmarkStart w:id="27" w:name="page28"/>
    <w:bookmarkEnd w:id="27"/>
    <w:p>
      <w:pPr>
        <w:ind w:right="3179"/>
        <w:spacing w:after="0" w:line="257" w:lineRule="auto"/>
        <w:rPr>
          <w:sz w:val="20"/>
          <w:szCs w:val="20"/>
          <w:color w:val="auto"/>
        </w:rPr>
      </w:pPr>
      <w:r>
        <w:rPr>
          <w:rFonts w:ascii="Courier New" w:cs="Courier New" w:eastAsia="Courier New" w:hAnsi="Courier New"/>
          <w:sz w:val="14"/>
          <w:szCs w:val="14"/>
          <w:color w:val="auto"/>
        </w:rPr>
        <w:t>include a $2.0 billion, five-year revolving credit facility expiring in July 2006 and a $3.0 billion 364-day revolving credit facility expiring in July 2003. These credit facilities require the maintenance of a minimum net worth, as defined in the credit facility, of $18.2 billion, which the Company met at December 31, 2002. The Company does not currently anticipate any difficulty in continuing to meet this covenant requirement. The foregoing revolving credit facilities do not include any other financial tests, any credit rating triggers or any provisions that could require the posting of collateral. The five-year revolving credit facility enables the Company to reclassify short-term debt on a long-term basis. At December 31, 2002, $1.4 billion of commercial paper borrowings that the Company intends to refinance were reclassified as long-term debt. The Company expects to continue to refinance long-term and short-term debt from time to time. The nature and amount of the Company's long-term and short-term debt and the proportionate amount of each can be expected to vary as a result of future business requirements, market conditions and other factors.</w:t>
      </w:r>
    </w:p>
    <w:p>
      <w:pPr>
        <w:spacing w:after="0" w:line="16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Guarantees and Commitments: As discussed in Note 17 to the consolidated financial statements, the Company had third-party guarantees, which are primarily derived from acquisition and divestiture activities, of $36 million at December 31, 2002. Substantially all of these guarantees expire through 2012, with $12 million expiring in 2003. The Company is required to perform under these guarantees in the event that a third fails to make contractual payments or achieve performance measures. The Company has recorded a liability of $21 million at December 31, 2002 relating to these guarantees. In addition, at December 31, 2002, the Company was contingently liable for $58 million of guarantees related to its own performance. These include surety bonds related to dairy commodity purchases and guarantees related to letters of credit. Guarantees do not have, and are not expected to have, a significant impact on the Company's liquidity.</w:t>
      </w:r>
    </w:p>
    <w:p>
      <w:pPr>
        <w:spacing w:after="0" w:line="183"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Company's consolidated rent expense for 2002 was $437 million. Accordingly, the Company does not consider its lease commitments to be a significant determinant of the Company's liquidity.</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Company believes that its cash from operations, existing credit facilities and access to global capital markets will provide sufficient liquidity to meet its working capital needs, planned capital expenditures and payment of its anticipated quarterly dividends.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 and Dividends</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Dividends paid in 2002 and 2001 were $936 million and $225 million, respectively, reflecting the payment of four quarterly dividends during 2002, compared with one during 2001, as well as a higher dividend rate in 2002. During the third quarter of 2002, the Company's Board of Directors approved a 15.4% increase in the quarterly dividend rate to $0.15 per share on its Class A and Class B common stock. As a result, the present annualized dividend rate is $0.60 per common share. The declaration of dividends is subject to the discretion of the Company's Board of Directors and will depend on various factors, including the Company's net earnings, financial condition, cash requirements, future prospects and other factors deemed relevant by the Company's Board of Directors.</w:t>
      </w:r>
    </w:p>
    <w:p>
      <w:pPr>
        <w:spacing w:after="0" w:line="16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On June 21, 2002, the Company's Board of Directors approved the repurchase from time to time of up to $500 million of the Company's Class A common stock solely to satisfy the obligations of the Company to provide shares under its 2001 Performance Incentive Plan, 2001 Director Plan for non-employee directors, and other plans where options to purchase the Company's Class A common stock are granted to employees of the Company. During 2002, the Company repurchased approximately 4.4 million shares of its Class A common stock at a cost of $170 million.</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Concurrently with the IPO, certain employees of Altria Group, Inc. and its subsidiaries (other than the Company) received a one-time grant of options to purchase shares of the Company's Class A common stock held by Altria Group, Inc. at the IPO price of $31.00 per share. In order to completely satisfy this obligation and maintain its current percentage ownership of the Company, Altria Group, Inc. purchased 1.6 million shares of the Company's Class A common stock in open market transactions during 2002.</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Kraft Foods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Risk</w:t>
      </w:r>
    </w:p>
    <w:p>
      <w:pPr>
        <w:spacing w:after="0" w:line="175"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The Company operates globally, with manufacturing and sales facilities in various locations around the world, and utilizes certain financial instruments to manage its foreign currency and commodity exposures, which primarily relate to forecasted transactions. Derivative financial instruments are used by the Company, principally to reduce exposures to market risks resulting from fluctuations in foreign exchange rates and commodity prices by creating offsetting exposures. The Company is not a party to leveraged derivatives and, by policy, does not use financial instruments for speculative purposes.</w:t>
      </w:r>
    </w:p>
    <w:p>
      <w:pPr>
        <w:spacing w:after="0" w:line="167"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Substantially all of the Company's derivative financial instruments are effective as hedges under SFAS No. 133, "Accounting for Derivative Instruments and Hedging Activities." During the years ended December 31, 2002 and 2001, ineffectiveness related to cash flow hedges was not material. At December 31, 2002, the Company is hedging forecasted transactions for periods not exceeding fifteen months and expects substantially all amounts reported in accumulated other comprehensive earnings (losses) to be reclassified to the consolidated statement of earnings within the next twelve months.</w:t>
      </w:r>
    </w:p>
    <w:p>
      <w:pPr>
        <w:sectPr>
          <w:pgSz w:w="11900" w:h="16838" w:orient="portrait"/>
          <w:cols w:equalWidth="0" w:num="1">
            <w:col w:w="10219"/>
          </w:cols>
          <w:pgMar w:left="240" w:top="141" w:right="1440" w:bottom="0" w:gutter="0" w:footer="0" w:header="0"/>
        </w:sectPr>
      </w:pPr>
    </w:p>
    <w:bookmarkStart w:id="28" w:name="page29"/>
    <w:bookmarkEnd w:id="28"/>
    <w:p>
      <w:pPr>
        <w:ind w:right="3179"/>
        <w:spacing w:after="0" w:line="257" w:lineRule="auto"/>
        <w:rPr>
          <w:sz w:val="20"/>
          <w:szCs w:val="20"/>
          <w:color w:val="auto"/>
        </w:rPr>
      </w:pPr>
      <w:r>
        <w:rPr>
          <w:rFonts w:ascii="Courier New" w:cs="Courier New" w:eastAsia="Courier New" w:hAnsi="Courier New"/>
          <w:sz w:val="14"/>
          <w:szCs w:val="14"/>
          <w:color w:val="auto"/>
        </w:rPr>
        <w:t>Foreign Exchange Rates: The Company uses forward foreign exchange contracts and foreign currency options to mitigate its exposure to changes in foreign currency exchange rates from third-party and intercompany forecasted transactions. The primary currencies to which the Company is exposed, based on the size and location of its operations, include the euro, British pound and Canadian dollar. At December 31, 2002 and 2001, the Company had option and forward foreign exchange contracts with aggregate notional amounts of $575 million and $431 million, respectively, which are comprised of contracts for the purchase and sale of foreign currencies. The effective portion of unrealized gains and losses associated with forward contracts is deferred as a component of accumulated other comprehensive earnings (losses) until the underlying hedged transactions are reported on the Company's consolidated statement of earnings.</w:t>
      </w:r>
    </w:p>
    <w:p>
      <w:pPr>
        <w:spacing w:after="0" w:line="16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Commodities: The Company is exposed to price risk related to forecasted purchases of certain commodities used as raw materials by the Company's businesses. Accordingly, the Company uses commodity forward contracts, as cash flow hedges, primarily for coffee, cocoa, milk and cheese. Commodity futures and options are also used to hedge the price of certain commodities, including milk, coffee, cocoa, wheat, corn, sugar and soybean oil. In general, commodity forward contracts qualify for the normal purchase exception under SFAS No. 133 and are, therefore, not subject to the provisions of SFAS No.133. At December 31, 2002 and 2001, the Company had net long commodity positions of $544 million and $589 million, respectively. Unrealized gains or losses on net commodity positions were immaterial at December 31, 2002 and 2001. The effective portion of unrealized gains and losses on commodity futures and option contracts is deferred as a component of accumulated other comprehensive earnings (losses) and is recognized as a component of cost of sales in the Company's consolidated statement of earnings when the related inventory is sold.</w:t>
      </w:r>
    </w:p>
    <w:p>
      <w:pPr>
        <w:spacing w:after="0" w:line="16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Value at Risk: The Company uses a value at risk ("VAR") computation to estimate the potential one-day loss in the fair value of its interest rate-sensitive financial instruments and to estimate the potential one-day loss in pre-tax earnings of its foreign currency and commodity component of cost sales in the Company's consolidated price-sensitive derivative financial instruments. The VAR statement of earnings when the related inventory is sold. computation includes the Company's debt; short-term investments; foreign currency forwards, swaps and options; and commodity futures, forwards and options. Anticipated transactions, foreign currency trade payables and receivables, and net investments in foreign subsidiaries, which the foregoing instruments are intended to hedge, were excluded from the computation.</w:t>
      </w:r>
    </w:p>
    <w:p>
      <w:pPr>
        <w:spacing w:after="0" w:line="181"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VAR estimates were made assuming normal market conditions, using a 95% confidence interval. The Company used a "variance/co-variance" model to determine the observed interrelationships between movements in interest rates and various currencies. These interrelationships were determined by observing interest rate and forward currency rate movements over the preceding quarter for the calculation of VAR amounts at December 31, 2002 and 2001, and over each of the four preceding quarters for the calculation of average VAR amounts during each year. The values of foreign currency and commodity options do not change on a one-to-one basis with the underlying currency or commodity, and were valued accordingly in the VAR computation.</w:t>
      </w:r>
    </w:p>
    <w:p>
      <w:pPr>
        <w:spacing w:after="0" w:line="180"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estimated potential one-day loss in fair value of the Company's interest rate-sensitive instruments, primarily debt, under normal market conditions and the estimated potential one-day loss in pre-tax earnings from foreign currency and commodity instruments under normal market conditions, as calculated in the VAR model, were as follows:</w:t>
      </w:r>
    </w:p>
    <w:p>
      <w:pPr>
        <w:spacing w:after="0" w:line="178" w:lineRule="exact"/>
        <w:rPr>
          <w:sz w:val="20"/>
          <w:szCs w:val="20"/>
          <w:color w:val="auto"/>
        </w:rPr>
      </w:pPr>
    </w:p>
    <w:p>
      <w:pPr>
        <w:jc w:val="center"/>
        <w:ind w:right="2999"/>
        <w:spacing w:after="0" w:line="258" w:lineRule="auto"/>
        <w:rPr>
          <w:sz w:val="20"/>
          <w:szCs w:val="20"/>
          <w:color w:val="auto"/>
        </w:rPr>
      </w:pPr>
      <w:r>
        <w:rPr>
          <w:rFonts w:ascii="Courier New" w:cs="Courier New" w:eastAsia="Courier New" w:hAnsi="Courier New"/>
          <w:sz w:val="14"/>
          <w:szCs w:val="14"/>
          <w:color w:val="auto"/>
        </w:rPr>
        <w:t>Pre-Tax Earnings Impact ------------------------------------------------- (in millions) At 12/31/02 Average High Low - ---------------------------------------- ------------------------------------------ Instruments sensitive to: Foreign currency rates $ 5 $ 2 $ 5 $ 1 Commodity prices 4 6 9 4 ==================================================================================</w:t>
      </w:r>
    </w:p>
    <w:p>
      <w:pPr>
        <w:spacing w:after="0" w:line="200" w:lineRule="exact"/>
        <w:rPr>
          <w:sz w:val="20"/>
          <w:szCs w:val="20"/>
          <w:color w:val="auto"/>
        </w:rPr>
      </w:pPr>
    </w:p>
    <w:p>
      <w:pPr>
        <w:spacing w:after="0" w:line="30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4"/>
          <w:szCs w:val="14"/>
          <w:color w:val="auto"/>
        </w:rPr>
        <w:t>Fair Value Impact ------------------------------------------------- (in millions)</w:t>
      </w:r>
    </w:p>
    <w:p>
      <w:pPr>
        <w:spacing w:after="0" w:line="11"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4"/>
          <w:szCs w:val="14"/>
          <w:color w:val="auto"/>
        </w:rPr>
        <w:t>At 12/31/02 Average High Low - --------------------------------------------------</w:t>
      </w:r>
    </w:p>
    <w:p>
      <w:pPr>
        <w:spacing w:after="0" w:line="5"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 Instruments sensitive to: Interest rates $ 76 $</w:t>
      </w:r>
    </w:p>
    <w:p>
      <w:pPr>
        <w:jc w:val="center"/>
        <w:ind w:right="2999"/>
        <w:spacing w:after="0"/>
        <w:rPr>
          <w:sz w:val="20"/>
          <w:szCs w:val="20"/>
          <w:color w:val="auto"/>
        </w:rPr>
      </w:pPr>
      <w:r>
        <w:rPr>
          <w:rFonts w:ascii="Courier New" w:cs="Courier New" w:eastAsia="Courier New" w:hAnsi="Courier New"/>
          <w:sz w:val="15"/>
          <w:szCs w:val="15"/>
          <w:color w:val="auto"/>
        </w:rPr>
        <w:t>74 $ 76 $ 70</w:t>
      </w:r>
    </w:p>
    <w:p>
      <w:pPr>
        <w:spacing w:after="0" w:line="5"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jc w:val="center"/>
        <w:ind w:right="2999"/>
        <w:spacing w:after="0" w:line="258" w:lineRule="auto"/>
        <w:rPr>
          <w:sz w:val="20"/>
          <w:szCs w:val="20"/>
          <w:color w:val="auto"/>
        </w:rPr>
      </w:pPr>
      <w:r>
        <w:rPr>
          <w:rFonts w:ascii="Courier New" w:cs="Courier New" w:eastAsia="Courier New" w:hAnsi="Courier New"/>
          <w:sz w:val="14"/>
          <w:szCs w:val="14"/>
          <w:color w:val="auto"/>
        </w:rPr>
        <w:t>Pre-Tax Earnings Impact ------------------------------------------------- (in millions) At 12/31/02 Average High Low - ---------------------------------------- ------------------------------------------ Instruments sensitive to: Foreign currency rates $ 2 $ 6 $ 13 $ 2 Commodity prices 5 7 11 5 ==================================================================================</w:t>
      </w:r>
    </w:p>
    <w:p>
      <w:pPr>
        <w:spacing w:after="0" w:line="33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4"/>
          <w:szCs w:val="14"/>
          <w:color w:val="auto"/>
        </w:rPr>
        <w:t>Fair Value Impact ------------------------------------------------- (in millions)</w:t>
      </w:r>
    </w:p>
    <w:p>
      <w:pPr>
        <w:spacing w:after="0" w:line="11"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4"/>
          <w:szCs w:val="14"/>
          <w:color w:val="auto"/>
        </w:rPr>
        <w:t>At 12/31/02 Average High Low - --------------------------------------------------</w:t>
      </w:r>
    </w:p>
    <w:p>
      <w:pPr>
        <w:spacing w:after="0" w:line="11"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4"/>
          <w:szCs w:val="14"/>
          <w:color w:val="auto"/>
        </w:rPr>
        <w:t>-------------------------------- Instruments sensitive to: Interest rates $ 122 $</w:t>
      </w:r>
    </w:p>
    <w:p>
      <w:pPr>
        <w:spacing w:after="0" w:line="5"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79 $ 122 $ 56</w:t>
      </w:r>
    </w:p>
    <w:p>
      <w:pPr>
        <w:spacing w:after="0" w:line="5"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Kraft Foods Inc.</w:t>
      </w:r>
    </w:p>
    <w:p>
      <w:pPr>
        <w:spacing w:after="0" w:line="175" w:lineRule="exact"/>
        <w:rPr>
          <w:sz w:val="20"/>
          <w:szCs w:val="20"/>
          <w:color w:val="auto"/>
        </w:rPr>
      </w:pPr>
    </w:p>
    <w:p>
      <w:pPr>
        <w:ind w:right="3259"/>
        <w:spacing w:after="0" w:line="259" w:lineRule="auto"/>
        <w:rPr>
          <w:sz w:val="20"/>
          <w:szCs w:val="20"/>
          <w:color w:val="auto"/>
        </w:rPr>
      </w:pPr>
      <w:r>
        <w:rPr>
          <w:rFonts w:ascii="Courier New" w:cs="Courier New" w:eastAsia="Courier New" w:hAnsi="Courier New"/>
          <w:sz w:val="14"/>
          <w:szCs w:val="14"/>
          <w:color w:val="auto"/>
        </w:rPr>
        <w:t>This VAR computation is a risk analysis tool designed to statistically estimate the maximum probable daily loss from adverse movements in interest rates, foreign currency rates and commodity prices under normal market conditions. The computation does not purport to represent actual losses in fair value or</w:t>
      </w:r>
    </w:p>
    <w:p>
      <w:pPr>
        <w:sectPr>
          <w:pgSz w:w="11900" w:h="16838" w:orient="portrait"/>
          <w:cols w:equalWidth="0" w:num="1">
            <w:col w:w="10219"/>
          </w:cols>
          <w:pgMar w:left="240" w:top="141" w:right="1440" w:bottom="0" w:gutter="0" w:footer="0" w:header="0"/>
        </w:sectPr>
      </w:pPr>
    </w:p>
    <w:bookmarkStart w:id="29" w:name="page30"/>
    <w:bookmarkEnd w:id="29"/>
    <w:p>
      <w:pPr>
        <w:ind w:right="3359"/>
        <w:spacing w:after="0" w:line="238" w:lineRule="auto"/>
        <w:rPr>
          <w:sz w:val="20"/>
          <w:szCs w:val="20"/>
          <w:color w:val="auto"/>
        </w:rPr>
      </w:pPr>
      <w:r>
        <w:rPr>
          <w:rFonts w:ascii="Courier New" w:cs="Courier New" w:eastAsia="Courier New" w:hAnsi="Courier New"/>
          <w:sz w:val="15"/>
          <w:szCs w:val="15"/>
          <w:color w:val="auto"/>
        </w:rPr>
        <w:t>earnings to be incurred by the Company, nor does it consider the effect of favorable changes in market rates. The Company cannot predict actual future movements in such market rates and does not present these VAR results to be indicative of future movements in such market rates or to be representative of any actual impact that future changes in market rates may have on its future results of operations or financial position.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Standards</w:t>
      </w:r>
    </w:p>
    <w:p>
      <w:pPr>
        <w:spacing w:after="0" w:line="175"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As previously discussed, on January 1, 2002, the Company adopted SFAS No. 141, "Business Combinations," SFAS No. 142, "Goodwill and Other Intangible Assets," Emerging Issues Task Force ("EITF") Issue No. 00-14, "Accounting for Certain Sales Incentives" and EITF Issue No. 00-25, "Vendor Income Statement Characterization of Consideration Paid to a Reseller of the Vendor's Products."</w:t>
      </w:r>
    </w:p>
    <w:p>
      <w:pPr>
        <w:spacing w:after="0" w:line="16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Effective January 1, 2002, the Company adopted SFAS No. 144, "Accounting for the Impairment or Disposal of Long-Lived Assets," which replaces SFAS No. 121, "Accounting for the Impairment of Long-Lived Assets and Long-Lived Assets to Be Disposed Of." SFAS No. 144 provides updated guidance concerning the recognition and measurement of an impairment loss for certain types of long-lived assets, expands the scope of a discontinued operation to include a component of an entity and eliminates the exemption to consolidation when control over a subsidiary is likely to be temporary. The adoption of this new standard did not have a material impact on the Company's consolidated financial position, results of operations or cash flows.</w:t>
      </w:r>
    </w:p>
    <w:p>
      <w:pPr>
        <w:spacing w:after="0" w:line="180"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In July 2002, the Financial Accounting Standards Board ("FASB") issued SFAS No. 146, "Accounting for Costs Associated with Exit or Disposal Activities." SFAS No. 146 requires companies to recognize costs associated with exit or disposal activities when they are incurred rather than at the date of a commitment to an exit or disposal plan. Costs covered by SFAS No. 146 include lease termination costs and certain employee severance costs that are associated with a restructuring, discontinued operation, plant closing or other exit or disposal activity. This statement is effective for exit or disposal activities that are initiated after December 31, 2002. Accordingly, the Company will apply the provisions of SFAS No. 146 prospectively to exit or disposal activities initiated after December 31, 2002.</w:t>
      </w:r>
    </w:p>
    <w:p>
      <w:pPr>
        <w:spacing w:after="0" w:line="181"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November 2002, the FASB issued Interpretation No. 45, "Guarantor's Accounting and Disclosure Requirements for Guarantees, Including Indirect Guarantees of Indebtedness of Others." Interpretation No. 45 requires the disclosure of certain guarantees existing at December 31, 2002. In addition, Interpretation No. 45 requires the recognition of a liability for the fair value of the obligation of qualifying guarantee activities that are initiated or modified after December 31, 2002. Accordingly, the Company will apply the recognition provisions of Interpretation No. 45 prospectively to guarantee activities initiated after December 31, 2002.</w:t>
      </w:r>
    </w:p>
    <w:p>
      <w:pPr>
        <w:spacing w:after="0" w:line="179"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In November 2002, the EITF issued EITF Issue No. 00-21, "Revenue Arrangements with Multiple Deliverables," which addresses certain aspects of the accounting by a vendor for arrangements under which it will perform multiple revenue-generating activities. Specifically, EITF Issue No. 00-21 addresses how to determine whether an arrangement involving multiple deliverables contains more than one unit of accounting. EITF Issue No. 00-21 is effective for the Company for revenue arrangements entered into beginning July 1, 2003. The Company does not expect the adoption of EITF Issue No. 00-21 to have a material impact on its 2003 consolidated financial statements.</w:t>
      </w:r>
    </w:p>
    <w:p>
      <w:pPr>
        <w:spacing w:after="0" w:line="179"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In January 2003, the FASB issued Interpretation No. 46, "Consolidation of Variable Interest Entities." Interpretation No. 46 requires that the assets, liabilities and results of the activity of variable interest entities be consolidated into the financial statements of the company that has the controlling financial interest. Interpretation No. 46 also provides the framework for determining whether a variable interest entity should be consolidated based on voting interests or significant financial support provided to it. Interpretation No. 46 will be effective for the Company on February 1, 2003 for variable interest entities created after January 31, 2003, and on July 1, 2003 for variable interest entities created prior to February 1, 2003. The Company does not expect the adoption of Interpretation No. 46 to have a material impact on its 2003 consolidated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175"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See Note 17 to the consolidated financial statements for a discussion of contingencies.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Kraft Foods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and Cautionary Statements</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Company and its representatives may from time to time make written or oral forward-looking statements, including statements contained in the Company's filings with the SEC and in its reports to shareholders. One can identify these forward-looking statements by use of words such as "strategy," "expects," "plans," "anticipates," "believes," "will," "continues," "estimates," "intends," "projects," "goals," "targets" and other words of similar meaning. One can also identify them by the fact that they do not relate strictly to historical or current facts. These statements are based on our assumptions and estimates and are subject to risks and uncertainties. In connection with the "safe harbor" provisions of the Private Securities Litigation Reform Act of 1995, the Company is hereby identifying important factors that could cause actual results and outcomes to differ materially from those contained in any forward-looking statement made by or on behalf of the Company; any such statement is qualified</w:t>
      </w:r>
    </w:p>
    <w:p>
      <w:pPr>
        <w:sectPr>
          <w:pgSz w:w="11900" w:h="16838" w:orient="portrait"/>
          <w:cols w:equalWidth="0" w:num="1">
            <w:col w:w="10219"/>
          </w:cols>
          <w:pgMar w:left="240" w:top="141" w:right="1440" w:bottom="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by reference to the following cautionary statements.</w:t>
      </w:r>
    </w:p>
    <w:p>
      <w:pPr>
        <w:spacing w:after="0" w:line="175" w:lineRule="exact"/>
        <w:rPr>
          <w:sz w:val="20"/>
          <w:szCs w:val="20"/>
          <w:color w:val="auto"/>
        </w:rPr>
      </w:pPr>
    </w:p>
    <w:p>
      <w:pPr>
        <w:ind w:right="4740"/>
        <w:spacing w:after="0" w:line="239" w:lineRule="auto"/>
        <w:rPr>
          <w:sz w:val="20"/>
          <w:szCs w:val="20"/>
          <w:color w:val="auto"/>
        </w:rPr>
      </w:pPr>
      <w:r>
        <w:rPr>
          <w:rFonts w:ascii="Courier New" w:cs="Courier New" w:eastAsia="Courier New" w:hAnsi="Courier New"/>
          <w:sz w:val="15"/>
          <w:szCs w:val="15"/>
          <w:color w:val="auto"/>
        </w:rPr>
        <w:t>Each of the Company's segments is subject to intense competition, changes in consumer preferences, the effects of changing prices for its raw materials and local economic conditions. Their results are dependent upon their continued ability to promote brand equity successfully, to anticipate and respond to new consumer trends, to develop new products and markets, to broaden brand portfolios in order to compete effectively with lower priced products in a consolidating environment at the retail and manufacturing levels, and to improve productivity. The Company's results are also dependent on its ability to consummate and successfully integrate acquisitions, including its ability to derive cost savings from the integration of Nabisco's operations with the Company. In addition, the Company is subject to the effects of foreign economies, currency movements and fluctuations in levels of customer inventories. The Company's benefit expense is subject to the investment performance of pension plan assets, interest rates and cost increases for medical benefits offered to employees and retirees. The food industry continues to be subject to recalls if products become adulterated or misbranded, liability if product consumption causes injury, ingredient disclosure and labeling laws and regulations and the possibility that consumers could lose confidence in the safety and quality of certain food products. Developments in any of these areas, which are more fully described elsewhere in this document and which descriptions are incorporated into this section by reference, could cause the Company's results to differ materially from results that have been or may be projected by or on behalf of the Company. The Company cautions that the foregoing list of important factors is not exclusive. Any forward-looking statements are made as of the date of the document in which they appear. The Company does not undertake to update any forward-looking statement that may be made from time to time by or on behalf of the Company.</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Kraft Foods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Financial Data -- Five-Year Review</w:t>
      </w:r>
    </w:p>
    <w:p>
      <w:pPr>
        <w:spacing w:after="0" w:line="175" w:lineRule="exact"/>
        <w:rPr>
          <w:sz w:val="20"/>
          <w:szCs w:val="20"/>
          <w:color w:val="auto"/>
        </w:rPr>
      </w:pPr>
    </w:p>
    <w:p>
      <w:pPr>
        <w:ind w:left="20" w:right="40"/>
        <w:spacing w:after="0" w:line="256" w:lineRule="auto"/>
        <w:rPr>
          <w:sz w:val="20"/>
          <w:szCs w:val="20"/>
          <w:color w:val="auto"/>
        </w:rPr>
      </w:pPr>
      <w:r>
        <w:rPr>
          <w:rFonts w:ascii="Courier New" w:cs="Courier New" w:eastAsia="Courier New" w:hAnsi="Courier New"/>
          <w:sz w:val="14"/>
          <w:szCs w:val="14"/>
          <w:color w:val="auto"/>
        </w:rPr>
        <w:t>(in millions of dollars, except per share data) - -------------------------------------------------------------------------------- --------------------------------------------------- 2002 2001 2000 1999 1998 - --------------------------------------------------- -------------------------------------------------------------------------------- Summary of Operations: Net revenues* $ 29,723 $ 29,234 $ 22,922 $ 23,430 $ 24,140 Cost of sales* 17,720 17,566 13,959 14,615 15,586 Operating income 6,114 4,884 4,012 3,579 3,535</w:t>
      </w:r>
    </w:p>
    <w:p>
      <w:pPr>
        <w:spacing w:after="0" w:line="1" w:lineRule="exact"/>
        <w:rPr>
          <w:sz w:val="20"/>
          <w:szCs w:val="20"/>
          <w:color w:val="auto"/>
        </w:rPr>
      </w:pPr>
    </w:p>
    <w:p>
      <w:pPr>
        <w:jc w:val="center"/>
        <w:ind w:right="20"/>
        <w:spacing w:after="0" w:line="256" w:lineRule="auto"/>
        <w:rPr>
          <w:sz w:val="20"/>
          <w:szCs w:val="20"/>
          <w:color w:val="auto"/>
        </w:rPr>
      </w:pPr>
      <w:r>
        <w:rPr>
          <w:rFonts w:ascii="Courier New" w:cs="Courier New" w:eastAsia="Courier New" w:hAnsi="Courier New"/>
          <w:sz w:val="14"/>
          <w:szCs w:val="14"/>
          <w:color w:val="auto"/>
        </w:rPr>
        <w:t>Interest and other debt expense, net 847 1,437 597 539 536 Earnings before income taxes and minority interest 5,267 3,447 3,415 3,040 2,999 Pre-tax profit margin 17.7% 11.8% 14.9% 13.0% 12.4% Provision for income taxes 1,869 1,565 1,414 1,287 1,367 - -------</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4"/>
          <w:szCs w:val="14"/>
          <w:color w:val="auto"/>
        </w:rPr>
        <w:t>---------------------------------------------------------------------------------------------------------------------------- Net</w:t>
      </w:r>
    </w:p>
    <w:p>
      <w:pPr>
        <w:spacing w:after="0" w:line="11" w:lineRule="exact"/>
        <w:rPr>
          <w:sz w:val="20"/>
          <w:szCs w:val="20"/>
          <w:color w:val="auto"/>
        </w:rPr>
      </w:pPr>
    </w:p>
    <w:p>
      <w:pPr>
        <w:jc w:val="center"/>
        <w:spacing w:after="0" w:line="256" w:lineRule="auto"/>
        <w:rPr>
          <w:sz w:val="20"/>
          <w:szCs w:val="20"/>
          <w:color w:val="auto"/>
        </w:rPr>
      </w:pPr>
      <w:r>
        <w:rPr>
          <w:rFonts w:ascii="Courier New" w:cs="Courier New" w:eastAsia="Courier New" w:hAnsi="Courier New"/>
          <w:sz w:val="14"/>
          <w:szCs w:val="14"/>
          <w:color w:val="auto"/>
        </w:rPr>
        <w:t>earnings 3,394 1,882 2,001 1,753 1,632 Basic EPS 1.96 1.17 1.38 1.20 1.12 Diluted EPS 1.96 1.17 1.38 1.20 1.12 Dividends declared per share 0.56 0.26 -- -- -- Weighted average shares (millions)--Basic 1,734 1,610 1,455 1,455 1,455 Weighted average shares</w:t>
      </w:r>
    </w:p>
    <w:p>
      <w:pPr>
        <w:spacing w:after="0" w:line="1"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(millions)--Diluted 1,736 1,610 1,455 1,455 1,455 - ------------------------------------------------------------------------------</w:t>
      </w: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 Capital expenditures 1,184 1,101 906 860 841 Depreciation 709 680 499 491</w:t>
      </w:r>
    </w:p>
    <w:p>
      <w:pPr>
        <w:spacing w:after="0" w:line="328" w:lineRule="exact"/>
        <w:rPr>
          <w:sz w:val="20"/>
          <w:szCs w:val="20"/>
          <w:color w:val="auto"/>
        </w:rPr>
      </w:pPr>
    </w:p>
    <w:p>
      <w:pPr>
        <w:ind w:left="20" w:right="40" w:firstLine="1"/>
        <w:spacing w:after="0" w:line="256" w:lineRule="auto"/>
        <w:rPr>
          <w:sz w:val="20"/>
          <w:szCs w:val="20"/>
          <w:color w:val="auto"/>
        </w:rPr>
      </w:pPr>
      <w:r>
        <w:rPr>
          <w:rFonts w:ascii="Courier New" w:cs="Courier New" w:eastAsia="Courier New" w:hAnsi="Courier New"/>
          <w:sz w:val="14"/>
          <w:szCs w:val="14"/>
          <w:color w:val="auto"/>
        </w:rPr>
        <w:t>494 Property, plant and equipment, net 9,559 9,109 9,405 6,526 6,494 Inventories 3,382 3,026 3,041 2,563 2,570 Total assets 57,100 55,798 52,071 30,336 31,391 Long-term debt 10,416 8,134 2,695 433 483 Notes payable to Altria Group, Inc. and affiliates 2,560 5,000 21,407 6,602 6,234 Total debt 14,443 16,007 25,826 7,828 7,168 - ----------------------------------------------------------- ------------------------------------------------------------------------ Total deferred income taxes 4,917 4,565 942 789 707 Shareholders' equity 25,832 23,478 14,048 13,461 15,134 Common dividends declared as a % of Basic EPS 28.6% 22.2% -- -- -- Common dividends declared as a % of Diluted EPS 28.6% 22.2% -- -- -- Book value per common share outstanding 14.92 13.53 9.65 9.25 10.40 Market price per Class A common share--high/low 43.95-32.50 35.57-29.50 -- -- -- - ----------------------------------------------- ------------------------------------------------------------------------------------ Closing price of Class A common share at year end 38.93 34.03 -- -- -- Price/earnings ratio at year end--Basic 20 29 -- -- -- Price/earnings ratio at year end--Diluted 20 29 --</w:t>
      </w:r>
    </w:p>
    <w:p>
      <w:pPr>
        <w:spacing w:after="0" w:line="3" w:lineRule="exact"/>
        <w:rPr>
          <w:sz w:val="20"/>
          <w:szCs w:val="20"/>
          <w:color w:val="auto"/>
        </w:rPr>
      </w:pPr>
    </w:p>
    <w:p>
      <w:pPr>
        <w:jc w:val="center"/>
        <w:ind w:left="4840" w:right="40" w:hanging="4810"/>
        <w:spacing w:after="0" w:line="235" w:lineRule="auto"/>
        <w:tabs>
          <w:tab w:leader="none" w:pos="3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Number of common shares outstanding at year end (millions) 1,731 1,735 1,455 1,455 1,455 Number of employees 109,000 114,000 117,000 71,000 78,000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right="4480"/>
        <w:spacing w:after="0" w:line="237" w:lineRule="auto"/>
        <w:rPr>
          <w:sz w:val="20"/>
          <w:szCs w:val="20"/>
          <w:color w:val="auto"/>
        </w:rPr>
      </w:pPr>
      <w:r>
        <w:rPr>
          <w:rFonts w:ascii="Courier New" w:cs="Courier New" w:eastAsia="Courier New" w:hAnsi="Courier New"/>
          <w:sz w:val="15"/>
          <w:szCs w:val="15"/>
          <w:color w:val="auto"/>
        </w:rPr>
        <w:t>*Kraft Foods Inc. adopted Emerging Issues Task Force ("EITF") statements relating to the classification of vendor consideration and certain sales incentives resulting in a reclassification of prior period data. The adoption of the EITF statements had no impact on operating income, net earnings, or basic and diluted EPS.</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Kraft Foods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175"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(in millions of dollars) - -------------------------------------------------------------------------------------------------------</w:t>
      </w:r>
    </w:p>
    <w:p>
      <w:pPr>
        <w:spacing w:after="0" w:line="11"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 At December 31, 2002 2001 - -------------------------------------------------------------------------</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 Assets Cash and cash equivalents $ 215 $ 162 Receivables (less</w:t>
      </w:r>
    </w:p>
    <w:p>
      <w:pPr>
        <w:spacing w:after="0" w:line="5"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allowances of $119 and $151) 3,116 3,131 Inventories: Raw materials 1,372 1,281 Finished product 2,010 1,745 - -------------------</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---------------------------------------------------------------------------------------------------------------- 3,382 3,026</w:t>
      </w:r>
    </w:p>
    <w:p>
      <w:pPr>
        <w:spacing w:after="0" w:line="5"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Deferred income taxes 511 466 Other current assets 232 221 - ---------------------------------------------------------------------</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 Total current assets 7,456 7,006 Property, plant and equipment, at</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cost: Land and land improvements 387 387 Buildings and building equipment 3,153 2,915 Machinery and equipment 10,108 9,264</w:t>
      </w:r>
    </w:p>
    <w:p>
      <w:pPr>
        <w:spacing w:after="0" w:line="5"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Construction in progress 802 706 - -----------------------------------------------------------------------------------------------</w:t>
      </w:r>
    </w:p>
    <w:p>
      <w:pPr>
        <w:spacing w:after="0" w:line="11"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------------------------------------ 14,450 13,272 Less accumulated depreciation 4,891 4,163 - -----------------------------------</w:t>
      </w: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------------------------------------------------------------------------------------------------ 9,559 9,109 Goodwill and other</w:t>
      </w:r>
    </w:p>
    <w:p>
      <w:pPr>
        <w:spacing w:after="0" w:line="11"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intangible assets, net 36,420 35,957 Prepaid pension assets 2,814 2,675 Other assets 851 1,051 - ---------------------------------</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 Total Assets $ 57,100 $ 55,798</w:t>
      </w:r>
    </w:p>
    <w:p>
      <w:pPr>
        <w:spacing w:after="0" w:line="11" w:lineRule="exact"/>
        <w:rPr>
          <w:sz w:val="20"/>
          <w:szCs w:val="20"/>
          <w:color w:val="auto"/>
        </w:rPr>
      </w:pPr>
    </w:p>
    <w:p>
      <w:pPr>
        <w:jc w:val="center"/>
        <w:spacing w:after="0" w:line="256" w:lineRule="auto"/>
        <w:rPr>
          <w:sz w:val="20"/>
          <w:szCs w:val="20"/>
          <w:color w:val="auto"/>
        </w:rPr>
      </w:pPr>
      <w:r>
        <w:rPr>
          <w:rFonts w:ascii="Courier New" w:cs="Courier New" w:eastAsia="Courier New" w:hAnsi="Courier New"/>
          <w:sz w:val="14"/>
          <w:szCs w:val="14"/>
          <w:color w:val="auto"/>
        </w:rPr>
        <w:t>=================================================================================================================================== Liabilities Short-term borrowings $ 220 $ 681 Current portion of long-term debt 352 540 Due to Altria Group, Inc. and affiliates 895 1,652 Accounts payable 1,939 1,897 Accrued liabilities: Marketing 1,474 1,398 Employment costs 610 658 Other 1,316 1,821</w:t>
      </w:r>
    </w:p>
    <w:p>
      <w:pPr>
        <w:spacing w:after="0" w:line="1"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Income taxes 363 228 - -----------------------------------------------------------------------------------------------------------</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 Total current liabilities 7,169 8,875 Long-term debt 10,416 8,134 Deferred income taxes 5,428 5,031</w:t>
      </w:r>
    </w:p>
    <w:p>
      <w:pPr>
        <w:jc w:val="center"/>
        <w:spacing w:after="0"/>
        <w:rPr>
          <w:sz w:val="20"/>
          <w:szCs w:val="20"/>
          <w:color w:val="auto"/>
        </w:rPr>
      </w:pPr>
      <w:r>
        <w:rPr>
          <w:rFonts w:ascii="Courier New" w:cs="Courier New" w:eastAsia="Courier New" w:hAnsi="Courier New"/>
          <w:sz w:val="15"/>
          <w:szCs w:val="15"/>
          <w:color w:val="auto"/>
        </w:rPr>
        <w:t>Accrued postretirement health care costs 1,889 1,850 Notes payable to Altria Group, Inc. and affiliates 2,560 5,000 Other</w:t>
      </w:r>
    </w:p>
    <w:p>
      <w:pPr>
        <w:sectPr>
          <w:pgSz w:w="11900" w:h="16838" w:orient="portrait"/>
          <w:cols w:equalWidth="0" w:num="1">
            <w:col w:w="11520"/>
          </w:cols>
          <w:pgMar w:left="240" w:top="136" w:right="139" w:bottom="0" w:gutter="0" w:footer="0" w:header="0"/>
        </w:sectPr>
      </w:pPr>
    </w:p>
    <w:bookmarkStart w:id="31" w:name="page32"/>
    <w:bookmarkEnd w:id="31"/>
    <w:p>
      <w:pPr>
        <w:ind w:left="20"/>
        <w:spacing w:after="0"/>
        <w:rPr>
          <w:sz w:val="20"/>
          <w:szCs w:val="20"/>
          <w:color w:val="auto"/>
        </w:rPr>
      </w:pPr>
      <w:r>
        <w:rPr>
          <w:rFonts w:ascii="Courier New" w:cs="Courier New" w:eastAsia="Courier New" w:hAnsi="Courier New"/>
          <w:sz w:val="14"/>
          <w:szCs w:val="14"/>
          <w:color w:val="auto"/>
        </w:rPr>
        <w:t>liabilities 3,806 3,430 - --------------------------------------------------------------------------------------------------------</w:t>
      </w:r>
    </w:p>
    <w:p>
      <w:pPr>
        <w:spacing w:after="0" w:line="11"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 Total liabilities 31,268 32,320 - --------------------------------------------------------------------</w:t>
      </w:r>
    </w:p>
    <w:p>
      <w:pPr>
        <w:spacing w:after="0" w:line="11"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 Contingencies (Note 17) Shareholders' Equity Class A common stock,</w:t>
      </w:r>
    </w:p>
    <w:p>
      <w:pPr>
        <w:spacing w:after="0" w:line="11" w:lineRule="exact"/>
        <w:rPr>
          <w:sz w:val="20"/>
          <w:szCs w:val="20"/>
          <w:color w:val="auto"/>
        </w:rPr>
      </w:pPr>
    </w:p>
    <w:p>
      <w:pPr>
        <w:jc w:val="center"/>
        <w:ind w:right="20"/>
        <w:spacing w:after="0" w:line="256" w:lineRule="auto"/>
        <w:rPr>
          <w:sz w:val="20"/>
          <w:szCs w:val="20"/>
          <w:color w:val="auto"/>
        </w:rPr>
      </w:pPr>
      <w:r>
        <w:rPr>
          <w:rFonts w:ascii="Courier New" w:cs="Courier New" w:eastAsia="Courier New" w:hAnsi="Courier New"/>
          <w:sz w:val="14"/>
          <w:szCs w:val="14"/>
          <w:color w:val="auto"/>
        </w:rPr>
        <w:t>no par value (555,000,000 shares issued in 2002 and 2001) Class B common stock, no par value (1,180,000,000 shares issued and outstanding) Additional paid-in capital 23,655 23,655 Earnings reinvested in the business 4,814 2,391 Accumulated other</w:t>
      </w:r>
    </w:p>
    <w:p>
      <w:pPr>
        <w:spacing w:after="0" w:line="1"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comprehensive losses (primarily currency translation adjustments) (2,467) (2,568) - ----------------------------------------------</w:t>
      </w:r>
    </w:p>
    <w:p>
      <w:pPr>
        <w:spacing w:after="0" w:line="11"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------------------------------------------------------------------------------------- 26,002 23,478 Less cost of repurchased stock</w:t>
      </w:r>
    </w:p>
    <w:p>
      <w:pPr>
        <w:spacing w:after="0" w:line="11"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(4,381,150 Class A shares) (170) - -----------------------------------------------------------------------------------------------</w:t>
      </w:r>
    </w:p>
    <w:p>
      <w:pPr>
        <w:spacing w:after="0" w:line="11"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 Total shareholders' equity 25,832 23,478 - --------------------------------------------------</w:t>
      </w:r>
    </w:p>
    <w:p>
      <w:pPr>
        <w:spacing w:after="0" w:line="11"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 Total Liabilities and Shareholders' Equity $</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57,100 $ 55,798</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Kraft Foods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Earnings</w:t>
      </w:r>
    </w:p>
    <w:p>
      <w:pPr>
        <w:spacing w:after="0" w:line="175"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(in millions of dollars, except per share data) - --------------------------------------------------------------------------------</w:t>
      </w:r>
    </w:p>
    <w:p>
      <w:pPr>
        <w:spacing w:after="0" w:line="11"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 For the years ended December 31, 2002 2001 2000 - ----------------------------</w:t>
      </w: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 Net revenues $ 29,723 $</w:t>
      </w:r>
    </w:p>
    <w:p>
      <w:pPr>
        <w:spacing w:after="0" w:line="11"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29,234 $ 22,922 Cost of sales 17,720 17,566 13,959 - -----------------------------------------------------------------------------</w:t>
      </w:r>
    </w:p>
    <w:p>
      <w:pPr>
        <w:spacing w:after="0" w:line="11"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 Gross profit 12,003 11,668 8,963 Marketing, administration and research</w:t>
      </w:r>
    </w:p>
    <w:p>
      <w:pPr>
        <w:spacing w:after="0" w:line="11" w:lineRule="exact"/>
        <w:rPr>
          <w:sz w:val="20"/>
          <w:szCs w:val="20"/>
          <w:color w:val="auto"/>
        </w:rPr>
      </w:pPr>
    </w:p>
    <w:p>
      <w:pPr>
        <w:jc w:val="center"/>
        <w:ind w:right="20"/>
        <w:spacing w:after="0" w:line="256" w:lineRule="auto"/>
        <w:rPr>
          <w:sz w:val="20"/>
          <w:szCs w:val="20"/>
          <w:color w:val="auto"/>
        </w:rPr>
      </w:pPr>
      <w:r>
        <w:rPr>
          <w:rFonts w:ascii="Courier New" w:cs="Courier New" w:eastAsia="Courier New" w:hAnsi="Courier New"/>
          <w:sz w:val="14"/>
          <w:szCs w:val="14"/>
          <w:color w:val="auto"/>
        </w:rPr>
        <w:t>costs 5,709 5,748 4,588 Integration costs and a loss on sale of a food factory 111 82 Separation programs 142 Gains on sales of businesses (80) (8) (172) Amortization of intangibles 7 962 535 - ----------------------------------------------------------------</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 Operating income 6,114 4,884 4,012 Interest and other debt</w:t>
      </w:r>
    </w:p>
    <w:p>
      <w:pPr>
        <w:spacing w:after="0" w:line="11"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expense, net 847 1,437 597 - -----------------------------------------------------------------------------------------------------</w:t>
      </w:r>
    </w:p>
    <w:p>
      <w:pPr>
        <w:spacing w:after="0" w:line="11"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 Earnings before income taxes and minority interest 5,267 3,447 3,415 Provision for income taxes</w:t>
      </w:r>
    </w:p>
    <w:p>
      <w:pPr>
        <w:spacing w:after="0" w:line="11"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1,869 1,565 1,414 - --------------------------------------------------------------------------------------------------------------</w:t>
      </w:r>
    </w:p>
    <w:p>
      <w:pPr>
        <w:spacing w:after="0" w:line="11"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 Earnings before minority interest 3,398 1,882 2,001 Minority interest in earnings, net 4 - -----------------</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 Net earnings $</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3,394 $ 1,882 $ 2,001</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Per share data: Basic earnings per share $ 1.96 $ 1.17 $ 1.38</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Diluted earnings per share $ 1.96 $ 1.17 $ 1.38</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Kraft Foods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75"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(in millions of dollars) - -------------------------------------------------------------------------------------------------------</w:t>
      </w:r>
    </w:p>
    <w:p>
      <w:pPr>
        <w:spacing w:after="0" w:line="11"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 For the years ended December 31, 2002 2001 2000 - ---------------------------------------------------</w:t>
      </w:r>
    </w:p>
    <w:p>
      <w:pPr>
        <w:spacing w:after="0" w:line="11" w:lineRule="exact"/>
        <w:rPr>
          <w:sz w:val="20"/>
          <w:szCs w:val="20"/>
          <w:color w:val="auto"/>
        </w:rPr>
      </w:pPr>
    </w:p>
    <w:p>
      <w:pPr>
        <w:ind w:left="120"/>
        <w:spacing w:after="0"/>
        <w:rPr>
          <w:sz w:val="20"/>
          <w:szCs w:val="20"/>
          <w:color w:val="auto"/>
        </w:rPr>
      </w:pPr>
      <w:r>
        <w:rPr>
          <w:rFonts w:ascii="Courier New" w:cs="Courier New" w:eastAsia="Courier New" w:hAnsi="Courier New"/>
          <w:sz w:val="14"/>
          <w:szCs w:val="14"/>
          <w:color w:val="auto"/>
        </w:rPr>
        <w:t>-------------------------------------------------------------------------------- Cash Provided By (Used In) Operating Activities</w:t>
      </w:r>
    </w:p>
    <w:p>
      <w:pPr>
        <w:spacing w:after="0" w:line="11" w:lineRule="exact"/>
        <w:rPr>
          <w:sz w:val="20"/>
          <w:szCs w:val="20"/>
          <w:color w:val="auto"/>
        </w:rPr>
      </w:pPr>
    </w:p>
    <w:p>
      <w:pPr>
        <w:jc w:val="center"/>
        <w:ind w:right="20"/>
        <w:spacing w:after="0" w:line="256" w:lineRule="auto"/>
        <w:rPr>
          <w:sz w:val="20"/>
          <w:szCs w:val="20"/>
          <w:color w:val="auto"/>
        </w:rPr>
      </w:pPr>
      <w:r>
        <w:rPr>
          <w:rFonts w:ascii="Courier New" w:cs="Courier New" w:eastAsia="Courier New" w:hAnsi="Courier New"/>
          <w:sz w:val="14"/>
          <w:szCs w:val="14"/>
          <w:color w:val="auto"/>
        </w:rPr>
        <w:t>Net earnings $ 3,394 $ 1,882 $ 2,001 Adjustments to reconcile net earnings to operating cash flows: Depreciation and amortization 716 1,642 1,034 Deferred income tax provision 278 414 245 Gains on sales of businesses (80) (8) (172) Integration costs and a loss on sale of a food factory 111 82 Separation programs 142 Cash effects of changes, net of the effects from acquired and divested companies: Receivables, net 116 23 204 Inventories (220) (107) 175 Accounts payable (116) (73) 13 Income taxes 277 74 35 Other working capital items (552) (407) (195) Increase in pension assets and postretirement liabilities, net (34) (245) (215) (Decrease) increase in amount due to Altria Group, Inc. and affiliates (244) 138 104 Other (68) (87) 25 - -----------------------------------</w:t>
      </w:r>
    </w:p>
    <w:p>
      <w:pPr>
        <w:spacing w:after="0" w:line="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 Net cash provided by operating</w:t>
      </w:r>
    </w:p>
    <w:p>
      <w:pPr>
        <w:spacing w:after="0" w:line="11"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activities 3,720 3,328 3,254 - ---------------------------------------------------------------------------------------------------</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 Cash Provided By (Used In) Investing Activities Capital expenditures (1,184) (1,101) (906)</w:t>
      </w:r>
    </w:p>
    <w:p>
      <w:pPr>
        <w:spacing w:after="0" w:line="5" w:lineRule="exact"/>
        <w:rPr>
          <w:sz w:val="20"/>
          <w:szCs w:val="20"/>
          <w:color w:val="auto"/>
        </w:rPr>
      </w:pPr>
    </w:p>
    <w:p>
      <w:pPr>
        <w:ind w:left="20" w:right="40" w:firstLine="44"/>
        <w:spacing w:after="0" w:line="256" w:lineRule="auto"/>
        <w:rPr>
          <w:sz w:val="20"/>
          <w:szCs w:val="20"/>
          <w:color w:val="auto"/>
        </w:rPr>
      </w:pPr>
      <w:r>
        <w:rPr>
          <w:rFonts w:ascii="Courier New" w:cs="Courier New" w:eastAsia="Courier New" w:hAnsi="Courier New"/>
          <w:sz w:val="14"/>
          <w:szCs w:val="14"/>
          <w:color w:val="auto"/>
        </w:rPr>
        <w:t>Purchase of Nabisco, net of acquired cash (15,159) Purchases of other businesses, net of acquired cash (122) (194) (365) Proceeds from sales of businesses 219 21 300 Other 35 52 (8) - ----------------------------------------------------------------------------</w:t>
      </w:r>
    </w:p>
    <w:p>
      <w:pPr>
        <w:spacing w:after="0" w:line="1"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 Net cash used in investing activities (1,052) (1,222) (16,138) - ---------</w:t>
      </w: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 Cash</w:t>
      </w:r>
    </w:p>
    <w:p>
      <w:pPr>
        <w:spacing w:after="0" w:line="11" w:lineRule="exact"/>
        <w:rPr>
          <w:sz w:val="20"/>
          <w:szCs w:val="20"/>
          <w:color w:val="auto"/>
        </w:rPr>
      </w:pPr>
    </w:p>
    <w:p>
      <w:pPr>
        <w:jc w:val="center"/>
        <w:ind w:right="20"/>
        <w:spacing w:after="0" w:line="256" w:lineRule="auto"/>
        <w:rPr>
          <w:sz w:val="20"/>
          <w:szCs w:val="20"/>
          <w:color w:val="auto"/>
        </w:rPr>
      </w:pPr>
      <w:r>
        <w:rPr>
          <w:rFonts w:ascii="Courier New" w:cs="Courier New" w:eastAsia="Courier New" w:hAnsi="Courier New"/>
          <w:sz w:val="14"/>
          <w:szCs w:val="14"/>
          <w:color w:val="auto"/>
        </w:rPr>
        <w:t>Provided By (Used In) Financing Activities Net (repayment) issuance of short-term borrowings (1,036) 2,505 (816) Long-term debt proceeds 3,325 4,077 87 Long-term debt repaid (609) (705) (112) Net proceeds from sale of Class A common stock 8,425 Proceeds from issuance of notes payable to Altria Group, Inc. and affiliates 15,000 Repayment of notes payable to Altria Group, Inc. and affiliates (3,850) (16,350) (124) Increase in amounts due to Altria Group, Inc. and affiliates 660 142 143 Repurchase of Class A common stock (170) Dividends paid (936) (225) (1,009) Other (187) - --------------------------------------------------------------</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 Net cash (used in) provided by financing activities (2,616)</w:t>
      </w:r>
    </w:p>
    <w:p>
      <w:pPr>
        <w:spacing w:after="0" w:line="11"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(2,131) 12,982 - -----------------------------------------------------------------------------------------------------------------</w:t>
      </w:r>
    </w:p>
    <w:p>
      <w:pPr>
        <w:spacing w:after="0" w:line="11"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 Effect of exchange rate changes on cash and cash equivalents 1 (4) (2) - --------------------------------------</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 Cash and cash equivalents: Increase</w:t>
      </w:r>
    </w:p>
    <w:p>
      <w:pPr>
        <w:spacing w:after="0" w:line="11"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(decrease) 53 (29) 96 Balance at beginning of year 162 191 95 - ------------------------------------------------------------------</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 Balance at end of year $ 215 $ 162 $ 191</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Cash paid: Interest $ 825 $ 1,433 $ 605</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Income taxes $ 1,368 $ 1,058 $ 1,051</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9"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46</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Kraft Foods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Shareholders' Equity</w:t>
      </w:r>
    </w:p>
    <w:p>
      <w:pPr>
        <w:spacing w:after="0" w:line="169"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(in millions</w:t>
      </w:r>
    </w:p>
    <w:p>
      <w:pPr>
        <w:ind w:left="80"/>
        <w:spacing w:after="0"/>
        <w:rPr>
          <w:sz w:val="20"/>
          <w:szCs w:val="20"/>
          <w:color w:val="auto"/>
        </w:rPr>
      </w:pPr>
      <w:r>
        <w:rPr>
          <w:rFonts w:ascii="Courier New" w:cs="Courier New" w:eastAsia="Courier New" w:hAnsi="Courier New"/>
          <w:sz w:val="15"/>
          <w:szCs w:val="15"/>
          <w:color w:val="auto"/>
        </w:rPr>
        <w:t>of dollars,</w:t>
      </w:r>
    </w:p>
    <w:p>
      <w:pPr>
        <w:sectPr>
          <w:pgSz w:w="11900" w:h="16838" w:orient="portrait"/>
          <w:cols w:equalWidth="0" w:num="1">
            <w:col w:w="11520"/>
          </w:cols>
          <w:pgMar w:left="240" w:top="141" w:right="139" w:bottom="0" w:gutter="0" w:footer="0" w:header="0"/>
        </w:sectPr>
      </w:pPr>
    </w:p>
    <w:bookmarkStart w:id="32" w:name="page33"/>
    <w:bookmarkEnd w:id="32"/>
    <w:p>
      <w:pPr>
        <w:ind w:left="120"/>
        <w:spacing w:after="0"/>
        <w:rPr>
          <w:sz w:val="20"/>
          <w:szCs w:val="20"/>
          <w:color w:val="auto"/>
        </w:rPr>
      </w:pPr>
      <w:r>
        <w:rPr>
          <w:rFonts w:ascii="Courier New" w:cs="Courier New" w:eastAsia="Courier New" w:hAnsi="Courier New"/>
          <w:sz w:val="15"/>
          <w:szCs w:val="15"/>
          <w:color w:val="auto"/>
        </w:rPr>
        <w:t>except per</w:t>
      </w:r>
    </w:p>
    <w:p>
      <w:pPr>
        <w:ind w:left="80"/>
        <w:spacing w:after="0"/>
        <w:rPr>
          <w:sz w:val="20"/>
          <w:szCs w:val="20"/>
          <w:color w:val="auto"/>
        </w:rPr>
      </w:pPr>
      <w:r>
        <w:rPr>
          <w:rFonts w:ascii="Courier New" w:cs="Courier New" w:eastAsia="Courier New" w:hAnsi="Courier New"/>
          <w:sz w:val="15"/>
          <w:szCs w:val="15"/>
          <w:color w:val="auto"/>
        </w:rPr>
        <w:t>share data)</w:t>
      </w:r>
    </w:p>
    <w:p>
      <w:pPr>
        <w:ind w:left="200" w:hanging="168"/>
        <w:spacing w:after="0"/>
        <w:tabs>
          <w:tab w:leader="none" w:pos="2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Accumulated</w:t>
      </w:r>
    </w:p>
    <w:p>
      <w:pPr>
        <w:ind w:left="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Comprehensive</w:t>
      </w:r>
    </w:p>
    <w:p>
      <w:pPr>
        <w:spacing w:after="0" w:line="5" w:lineRule="exact"/>
        <w:rPr>
          <w:rFonts w:ascii="Courier New" w:cs="Courier New" w:eastAsia="Courier New" w:hAnsi="Courier New"/>
          <w:sz w:val="15"/>
          <w:szCs w:val="15"/>
          <w:color w:val="auto"/>
        </w:rPr>
      </w:pPr>
    </w:p>
    <w:p>
      <w:pPr>
        <w:ind w:left="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Earnings</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(Losses)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jc w:val="right"/>
        <w:ind w:left="120" w:right="9179" w:hanging="44"/>
        <w:spacing w:after="0" w:line="256" w:lineRule="auto"/>
        <w:tabs>
          <w:tab w:leader="none" w:pos="605"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Class A Earnings</w:t>
      </w:r>
    </w:p>
    <w:p>
      <w:pPr>
        <w:ind w:left="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and B</w:t>
      </w:r>
    </w:p>
    <w:p>
      <w:pPr>
        <w:spacing w:after="0" w:line="4" w:lineRule="exact"/>
        <w:rPr>
          <w:rFonts w:ascii="Courier New" w:cs="Courier New" w:eastAsia="Courier New" w:hAnsi="Courier New"/>
          <w:sz w:val="14"/>
          <w:szCs w:val="14"/>
          <w:color w:val="auto"/>
        </w:rPr>
      </w:pPr>
    </w:p>
    <w:p>
      <w:pPr>
        <w:jc w:val="center"/>
        <w:ind w:left="120" w:right="9219"/>
        <w:spacing w:after="0" w:line="25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Reinvested Currency Cost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0" w:hanging="168"/>
        <w:spacing w:after="0"/>
        <w:tabs>
          <w:tab w:leader="none" w:pos="2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20" w:right="9179" w:hanging="44"/>
        <w:spacing w:after="0" w:line="256" w:lineRule="auto"/>
        <w:tabs>
          <w:tab w:leader="none" w:pos="252"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Balances, January 1, 2000 $--</w:t>
      </w:r>
    </w:p>
    <w:p>
      <w:pPr>
        <w:jc w:val="center"/>
        <w:ind w:right="9079"/>
        <w:spacing w:after="0" w:line="233" w:lineRule="auto"/>
        <w:rPr>
          <w:sz w:val="20"/>
          <w:szCs w:val="20"/>
          <w:color w:val="auto"/>
        </w:rPr>
      </w:pPr>
      <w:r>
        <w:rPr>
          <w:rFonts w:ascii="Courier New" w:cs="Courier New" w:eastAsia="Courier New" w:hAnsi="Courier New"/>
          <w:sz w:val="15"/>
          <w:szCs w:val="15"/>
          <w:color w:val="auto"/>
        </w:rPr>
        <w:t>$15,230 $ --</w:t>
      </w:r>
    </w:p>
    <w:p>
      <w:pPr>
        <w:jc w:val="center"/>
        <w:ind w:right="9079"/>
        <w:spacing w:after="0"/>
        <w:rPr>
          <w:sz w:val="20"/>
          <w:szCs w:val="20"/>
          <w:color w:val="auto"/>
        </w:rPr>
      </w:pPr>
      <w:r>
        <w:rPr>
          <w:rFonts w:ascii="Courier New" w:cs="Courier New" w:eastAsia="Courier New" w:hAnsi="Courier New"/>
          <w:sz w:val="15"/>
          <w:szCs w:val="15"/>
          <w:color w:val="auto"/>
        </w:rPr>
        <w:t>$(1,741) $</w:t>
      </w:r>
    </w:p>
    <w:p>
      <w:pPr>
        <w:jc w:val="center"/>
        <w:ind w:right="9079"/>
        <w:spacing w:after="0"/>
        <w:rPr>
          <w:sz w:val="20"/>
          <w:szCs w:val="20"/>
          <w:color w:val="auto"/>
        </w:rPr>
      </w:pPr>
      <w:r>
        <w:rPr>
          <w:rFonts w:ascii="Courier New" w:cs="Courier New" w:eastAsia="Courier New" w:hAnsi="Courier New"/>
          <w:sz w:val="15"/>
          <w:szCs w:val="15"/>
          <w:color w:val="auto"/>
        </w:rPr>
        <w:t>(28)</w:t>
      </w:r>
    </w:p>
    <w:p>
      <w:pPr>
        <w:jc w:val="center"/>
        <w:ind w:right="9079"/>
        <w:spacing w:after="0"/>
        <w:rPr>
          <w:sz w:val="20"/>
          <w:szCs w:val="20"/>
          <w:color w:val="auto"/>
        </w:rPr>
      </w:pPr>
      <w:r>
        <w:rPr>
          <w:rFonts w:ascii="Courier New" w:cs="Courier New" w:eastAsia="Courier New" w:hAnsi="Courier New"/>
          <w:sz w:val="15"/>
          <w:szCs w:val="15"/>
          <w:color w:val="auto"/>
        </w:rPr>
        <w:t>$(1,769) $ -</w:t>
      </w:r>
    </w:p>
    <w:p>
      <w:pPr>
        <w:spacing w:after="0" w:line="4" w:lineRule="exact"/>
        <w:rPr>
          <w:sz w:val="20"/>
          <w:szCs w:val="20"/>
          <w:color w:val="auto"/>
        </w:rPr>
      </w:pPr>
    </w:p>
    <w:p>
      <w:pPr>
        <w:ind w:right="9079" w:firstLine="164"/>
        <w:spacing w:after="0" w:line="256" w:lineRule="auto"/>
        <w:tabs>
          <w:tab w:leader="none" w:pos="35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$13,461 Comprehensive earnings: Net earnings 2,001 2,001 Other comprehensive losses, net of income taxes: Currency translation adjustments (397) (397) (397) Additional minimum pension liability</w:t>
      </w:r>
    </w:p>
    <w:p>
      <w:pPr>
        <w:spacing w:after="0" w:line="1"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(8) (8) (8)</w:t>
      </w:r>
    </w:p>
    <w:p>
      <w:pPr>
        <w:ind w:left="200" w:hanging="168"/>
        <w:spacing w:after="0"/>
        <w:tabs>
          <w:tab w:leader="none" w:pos="2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340" w:right="9359" w:hanging="87"/>
        <w:spacing w:after="0" w:line="256" w:lineRule="auto"/>
        <w:tabs>
          <w:tab w:leader="none" w:pos="428" w:val="left"/>
        </w:tabs>
        <w:numPr>
          <w:ilvl w:val="2"/>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losses (405)</w:t>
      </w:r>
    </w:p>
    <w:p>
      <w:pPr>
        <w:ind w:left="200" w:hanging="168"/>
        <w:spacing w:after="0"/>
        <w:tabs>
          <w:tab w:leader="none" w:pos="2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36" w:right="1440" w:bottom="0" w:gutter="0" w:footer="0" w:header="0"/>
        </w:sectPr>
      </w:pPr>
    </w:p>
    <w:bookmarkStart w:id="33" w:name="page34"/>
    <w:bookmarkEnd w:id="33"/>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20" w:hanging="167"/>
        <w:spacing w:after="0"/>
        <w:tabs>
          <w:tab w:leader="none" w:pos="42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w:t>
      </w:r>
    </w:p>
    <w:p>
      <w:pPr>
        <w:spacing w:after="0" w:line="5"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comprehensive</w:t>
      </w:r>
    </w:p>
    <w:p>
      <w:pPr>
        <w:spacing w:after="0" w:line="5" w:lineRule="exact"/>
        <w:rPr>
          <w:rFonts w:ascii="Courier New" w:cs="Courier New" w:eastAsia="Courier New" w:hAnsi="Courier New"/>
          <w:sz w:val="15"/>
          <w:szCs w:val="15"/>
          <w:color w:val="auto"/>
        </w:rPr>
      </w:pPr>
    </w:p>
    <w:p>
      <w:pPr>
        <w:ind w:left="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earnings</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1,596 -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declared</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(1,009)</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(1,009) -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Balances,</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December 31,</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2000 --</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15,230 992</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(2,138) (36)</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(2,174) --</w:t>
      </w: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14,048</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Comprehensive</w:t>
      </w:r>
    </w:p>
    <w:p>
      <w:pPr>
        <w:spacing w:after="0" w:line="5" w:lineRule="exact"/>
        <w:rPr>
          <w:rFonts w:ascii="Courier New" w:cs="Courier New" w:eastAsia="Courier New" w:hAnsi="Courier New"/>
          <w:sz w:val="15"/>
          <w:szCs w:val="15"/>
          <w:color w:val="auto"/>
        </w:rPr>
      </w:pP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earnings:</w:t>
      </w:r>
    </w:p>
    <w:p>
      <w:pPr>
        <w:spacing w:after="0" w:line="4" w:lineRule="exact"/>
        <w:rPr>
          <w:rFonts w:ascii="Courier New" w:cs="Courier New" w:eastAsia="Courier New" w:hAnsi="Courier New"/>
          <w:sz w:val="15"/>
          <w:szCs w:val="15"/>
          <w:color w:val="auto"/>
        </w:rPr>
      </w:pPr>
    </w:p>
    <w:p>
      <w:pPr>
        <w:jc w:val="center"/>
        <w:ind w:right="9079" w:firstLine="42"/>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Net earnings 1,882 1,882 Other comprehensive losses, net of income taxes: Currency translation adjustments (298) (298) (298) Additional minimum pension liability (78) (78) (78) Change in fair value of derivatives accounted for as hedges (18) (18) (18) -</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jc w:val="center"/>
        <w:ind w:right="9079" w:firstLine="86"/>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Total other comprehensive losses (394)</w:t>
      </w:r>
    </w:p>
    <w:p>
      <w:pPr>
        <w:ind w:left="200" w:hanging="168"/>
        <w:spacing w:after="0"/>
        <w:tabs>
          <w:tab w:leader="none" w:pos="2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20" w:hanging="167"/>
        <w:spacing w:after="0"/>
        <w:tabs>
          <w:tab w:leader="none" w:pos="42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w:t>
      </w:r>
    </w:p>
    <w:p>
      <w:pPr>
        <w:sectPr>
          <w:pgSz w:w="11900" w:h="16838" w:orient="portrait"/>
          <w:cols w:equalWidth="0" w:num="1">
            <w:col w:w="10219"/>
          </w:cols>
          <w:pgMar w:left="240" w:top="136" w:right="1440" w:bottom="0" w:gutter="0" w:footer="0" w:header="0"/>
        </w:sectPr>
      </w:pPr>
    </w:p>
    <w:bookmarkStart w:id="34" w:name="page35"/>
    <w:bookmarkEnd w:id="34"/>
    <w:p>
      <w:pPr>
        <w:jc w:val="center"/>
        <w:ind w:right="9079"/>
        <w:spacing w:after="0"/>
        <w:rPr>
          <w:sz w:val="20"/>
          <w:szCs w:val="20"/>
          <w:color w:val="auto"/>
        </w:rPr>
      </w:pPr>
      <w:r>
        <w:rPr>
          <w:rFonts w:ascii="Courier New" w:cs="Courier New" w:eastAsia="Courier New" w:hAnsi="Courier New"/>
          <w:sz w:val="14"/>
          <w:szCs w:val="14"/>
          <w:color w:val="auto"/>
        </w:rPr>
        <w:t>comprehensive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earnings</w:t>
      </w:r>
    </w:p>
    <w:p>
      <w:pPr>
        <w:ind w:left="40"/>
        <w:spacing w:after="0"/>
        <w:rPr>
          <w:sz w:val="20"/>
          <w:szCs w:val="20"/>
          <w:color w:val="auto"/>
        </w:rPr>
      </w:pPr>
      <w:r>
        <w:rPr>
          <w:rFonts w:ascii="Courier New" w:cs="Courier New" w:eastAsia="Courier New" w:hAnsi="Courier New"/>
          <w:sz w:val="15"/>
          <w:szCs w:val="15"/>
          <w:color w:val="auto"/>
        </w:rPr>
        <w:t>1,488 - ----</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 Sale</w:t>
      </w:r>
    </w:p>
    <w:p>
      <w:pPr>
        <w:jc w:val="center"/>
        <w:ind w:right="9079"/>
        <w:spacing w:after="0" w:line="238" w:lineRule="auto"/>
        <w:rPr>
          <w:sz w:val="20"/>
          <w:szCs w:val="20"/>
          <w:color w:val="auto"/>
        </w:rPr>
      </w:pPr>
      <w:r>
        <w:rPr>
          <w:rFonts w:ascii="Courier New" w:cs="Courier New" w:eastAsia="Courier New" w:hAnsi="Courier New"/>
          <w:sz w:val="15"/>
          <w:szCs w:val="15"/>
          <w:color w:val="auto"/>
        </w:rPr>
        <w:t>of Class A</w:t>
      </w:r>
    </w:p>
    <w:p>
      <w:pPr>
        <w:jc w:val="center"/>
        <w:ind w:right="9079"/>
        <w:spacing w:after="0"/>
        <w:rPr>
          <w:sz w:val="20"/>
          <w:szCs w:val="20"/>
          <w:color w:val="auto"/>
        </w:rPr>
      </w:pPr>
      <w:r>
        <w:rPr>
          <w:rFonts w:ascii="Courier New" w:cs="Courier New" w:eastAsia="Courier New" w:hAnsi="Courier New"/>
          <w:sz w:val="15"/>
          <w:szCs w:val="15"/>
          <w:color w:val="auto"/>
        </w:rPr>
        <w:t>common stock</w:t>
      </w:r>
    </w:p>
    <w:p>
      <w:pPr>
        <w:jc w:val="center"/>
        <w:ind w:right="9079"/>
        <w:spacing w:after="0"/>
        <w:rPr>
          <w:sz w:val="20"/>
          <w:szCs w:val="20"/>
          <w:color w:val="auto"/>
        </w:rPr>
      </w:pPr>
      <w:r>
        <w:rPr>
          <w:rFonts w:ascii="Courier New" w:cs="Courier New" w:eastAsia="Courier New" w:hAnsi="Courier New"/>
          <w:sz w:val="15"/>
          <w:szCs w:val="15"/>
          <w:color w:val="auto"/>
        </w:rPr>
        <w:t>to public</w:t>
      </w:r>
    </w:p>
    <w:p>
      <w:pPr>
        <w:jc w:val="center"/>
        <w:ind w:right="9079"/>
        <w:spacing w:after="0"/>
        <w:rPr>
          <w:sz w:val="20"/>
          <w:szCs w:val="20"/>
          <w:color w:val="auto"/>
        </w:rPr>
      </w:pPr>
      <w:r>
        <w:rPr>
          <w:rFonts w:ascii="Courier New" w:cs="Courier New" w:eastAsia="Courier New" w:hAnsi="Courier New"/>
          <w:sz w:val="15"/>
          <w:szCs w:val="15"/>
          <w:color w:val="auto"/>
        </w:rPr>
        <w:t>8,425 8,425</w:t>
      </w:r>
    </w:p>
    <w:p>
      <w:pPr>
        <w:jc w:val="center"/>
        <w:ind w:right="9079"/>
        <w:spacing w:after="0" w:line="238" w:lineRule="auto"/>
        <w:rPr>
          <w:sz w:val="20"/>
          <w:szCs w:val="20"/>
          <w:color w:val="auto"/>
        </w:rPr>
      </w:pPr>
      <w:r>
        <w:rPr>
          <w:rFonts w:ascii="Courier New" w:cs="Courier New" w:eastAsia="Courier New" w:hAnsi="Courier New"/>
          <w:sz w:val="15"/>
          <w:szCs w:val="15"/>
          <w:color w:val="auto"/>
        </w:rPr>
        <w:t>Dividends</w:t>
      </w:r>
    </w:p>
    <w:p>
      <w:pPr>
        <w:jc w:val="center"/>
        <w:ind w:right="9079"/>
        <w:spacing w:after="0"/>
        <w:rPr>
          <w:sz w:val="20"/>
          <w:szCs w:val="20"/>
          <w:color w:val="auto"/>
        </w:rPr>
      </w:pPr>
      <w:r>
        <w:rPr>
          <w:rFonts w:ascii="Courier New" w:cs="Courier New" w:eastAsia="Courier New" w:hAnsi="Courier New"/>
          <w:sz w:val="15"/>
          <w:szCs w:val="15"/>
          <w:color w:val="auto"/>
        </w:rPr>
        <w:t>declared</w:t>
      </w:r>
    </w:p>
    <w:p>
      <w:pPr>
        <w:jc w:val="center"/>
        <w:ind w:right="9079"/>
        <w:spacing w:after="0"/>
        <w:rPr>
          <w:sz w:val="20"/>
          <w:szCs w:val="20"/>
          <w:color w:val="auto"/>
        </w:rPr>
      </w:pPr>
      <w:r>
        <w:rPr>
          <w:rFonts w:ascii="Courier New" w:cs="Courier New" w:eastAsia="Courier New" w:hAnsi="Courier New"/>
          <w:sz w:val="15"/>
          <w:szCs w:val="15"/>
          <w:color w:val="auto"/>
        </w:rPr>
        <w:t>($0.26 per</w:t>
      </w:r>
    </w:p>
    <w:p>
      <w:pPr>
        <w:ind w:left="40"/>
        <w:spacing w:after="0" w:line="238" w:lineRule="auto"/>
        <w:rPr>
          <w:sz w:val="20"/>
          <w:szCs w:val="20"/>
          <w:color w:val="auto"/>
        </w:rPr>
      </w:pPr>
      <w:r>
        <w:rPr>
          <w:rFonts w:ascii="Courier New" w:cs="Courier New" w:eastAsia="Courier New" w:hAnsi="Courier New"/>
          <w:sz w:val="15"/>
          <w:szCs w:val="15"/>
          <w:color w:val="auto"/>
        </w:rPr>
        <w:t>share) (483)</w:t>
      </w:r>
    </w:p>
    <w:p>
      <w:pPr>
        <w:ind w:left="40"/>
        <w:spacing w:after="0"/>
        <w:rPr>
          <w:sz w:val="20"/>
          <w:szCs w:val="20"/>
          <w:color w:val="auto"/>
        </w:rPr>
      </w:pPr>
      <w:r>
        <w:rPr>
          <w:rFonts w:ascii="Courier New" w:cs="Courier New" w:eastAsia="Courier New" w:hAnsi="Courier New"/>
          <w:sz w:val="15"/>
          <w:szCs w:val="15"/>
          <w:color w:val="auto"/>
        </w:rPr>
        <w:t>(483) - ----</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260"/>
        <w:spacing w:after="0"/>
        <w:rPr>
          <w:sz w:val="20"/>
          <w:szCs w:val="20"/>
          <w:color w:val="auto"/>
        </w:rPr>
      </w:pPr>
      <w:r>
        <w:rPr>
          <w:rFonts w:ascii="Courier New" w:cs="Courier New" w:eastAsia="Courier New" w:hAnsi="Courier New"/>
          <w:sz w:val="15"/>
          <w:szCs w:val="15"/>
          <w:color w:val="auto"/>
        </w:rPr>
        <w:t>-------</w:t>
      </w:r>
    </w:p>
    <w:p>
      <w:pPr>
        <w:jc w:val="center"/>
        <w:ind w:right="9079"/>
        <w:spacing w:after="0"/>
        <w:rPr>
          <w:sz w:val="20"/>
          <w:szCs w:val="20"/>
          <w:color w:val="auto"/>
        </w:rPr>
      </w:pPr>
      <w:r>
        <w:rPr>
          <w:rFonts w:ascii="Courier New" w:cs="Courier New" w:eastAsia="Courier New" w:hAnsi="Courier New"/>
          <w:sz w:val="15"/>
          <w:szCs w:val="15"/>
          <w:color w:val="auto"/>
        </w:rPr>
        <w:t>Balances,</w:t>
      </w:r>
    </w:p>
    <w:p>
      <w:pPr>
        <w:jc w:val="center"/>
        <w:ind w:right="9079"/>
        <w:spacing w:after="0" w:line="238" w:lineRule="auto"/>
        <w:rPr>
          <w:sz w:val="20"/>
          <w:szCs w:val="20"/>
          <w:color w:val="auto"/>
        </w:rPr>
      </w:pPr>
      <w:r>
        <w:rPr>
          <w:rFonts w:ascii="Courier New" w:cs="Courier New" w:eastAsia="Courier New" w:hAnsi="Courier New"/>
          <w:sz w:val="15"/>
          <w:szCs w:val="15"/>
          <w:color w:val="auto"/>
        </w:rPr>
        <w:t>December 31,</w:t>
      </w:r>
    </w:p>
    <w:p>
      <w:pPr>
        <w:jc w:val="center"/>
        <w:ind w:right="9079"/>
        <w:spacing w:after="0"/>
        <w:rPr>
          <w:sz w:val="20"/>
          <w:szCs w:val="20"/>
          <w:color w:val="auto"/>
        </w:rPr>
      </w:pPr>
      <w:r>
        <w:rPr>
          <w:rFonts w:ascii="Courier New" w:cs="Courier New" w:eastAsia="Courier New" w:hAnsi="Courier New"/>
          <w:sz w:val="15"/>
          <w:szCs w:val="15"/>
          <w:color w:val="auto"/>
        </w:rPr>
        <w:t>2001 --</w:t>
      </w:r>
    </w:p>
    <w:p>
      <w:pPr>
        <w:jc w:val="center"/>
        <w:ind w:right="9079"/>
        <w:spacing w:after="0"/>
        <w:rPr>
          <w:sz w:val="20"/>
          <w:szCs w:val="20"/>
          <w:color w:val="auto"/>
        </w:rPr>
      </w:pPr>
      <w:r>
        <w:rPr>
          <w:rFonts w:ascii="Courier New" w:cs="Courier New" w:eastAsia="Courier New" w:hAnsi="Courier New"/>
          <w:sz w:val="15"/>
          <w:szCs w:val="15"/>
          <w:color w:val="auto"/>
        </w:rPr>
        <w:t>23,655 2,391</w:t>
      </w:r>
    </w:p>
    <w:p>
      <w:pPr>
        <w:jc w:val="center"/>
        <w:ind w:right="9079"/>
        <w:spacing w:after="0" w:line="238" w:lineRule="auto"/>
        <w:rPr>
          <w:sz w:val="20"/>
          <w:szCs w:val="20"/>
          <w:color w:val="auto"/>
        </w:rPr>
      </w:pPr>
      <w:r>
        <w:rPr>
          <w:rFonts w:ascii="Courier New" w:cs="Courier New" w:eastAsia="Courier New" w:hAnsi="Courier New"/>
          <w:sz w:val="15"/>
          <w:szCs w:val="15"/>
          <w:color w:val="auto"/>
        </w:rPr>
        <w:t>(2,436)</w:t>
      </w:r>
    </w:p>
    <w:p>
      <w:pPr>
        <w:jc w:val="center"/>
        <w:ind w:right="9079"/>
        <w:spacing w:after="0"/>
        <w:rPr>
          <w:sz w:val="20"/>
          <w:szCs w:val="20"/>
          <w:color w:val="auto"/>
        </w:rPr>
      </w:pPr>
      <w:r>
        <w:rPr>
          <w:rFonts w:ascii="Courier New" w:cs="Courier New" w:eastAsia="Courier New" w:hAnsi="Courier New"/>
          <w:sz w:val="15"/>
          <w:szCs w:val="15"/>
          <w:color w:val="auto"/>
        </w:rPr>
        <w:t>(132)</w:t>
      </w:r>
    </w:p>
    <w:p>
      <w:pPr>
        <w:jc w:val="center"/>
        <w:ind w:right="9079"/>
        <w:spacing w:after="0"/>
        <w:rPr>
          <w:sz w:val="20"/>
          <w:szCs w:val="20"/>
          <w:color w:val="auto"/>
        </w:rPr>
      </w:pPr>
      <w:r>
        <w:rPr>
          <w:rFonts w:ascii="Courier New" w:cs="Courier New" w:eastAsia="Courier New" w:hAnsi="Courier New"/>
          <w:sz w:val="15"/>
          <w:szCs w:val="15"/>
          <w:color w:val="auto"/>
        </w:rPr>
        <w:t>(2,568) --</w:t>
      </w:r>
    </w:p>
    <w:p>
      <w:pPr>
        <w:jc w:val="center"/>
        <w:ind w:right="9079"/>
        <w:spacing w:after="0"/>
        <w:rPr>
          <w:sz w:val="20"/>
          <w:szCs w:val="20"/>
          <w:color w:val="auto"/>
        </w:rPr>
      </w:pPr>
      <w:r>
        <w:rPr>
          <w:rFonts w:ascii="Courier New" w:cs="Courier New" w:eastAsia="Courier New" w:hAnsi="Courier New"/>
          <w:sz w:val="15"/>
          <w:szCs w:val="15"/>
          <w:color w:val="auto"/>
        </w:rPr>
        <w:t>23,478</w:t>
      </w:r>
    </w:p>
    <w:p>
      <w:pPr>
        <w:spacing w:after="0" w:line="4"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4"/>
          <w:szCs w:val="14"/>
          <w:color w:val="auto"/>
        </w:rPr>
        <w:t>Comprehensive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earnings:</w:t>
      </w:r>
    </w:p>
    <w:p>
      <w:pPr>
        <w:jc w:val="center"/>
        <w:ind w:right="9079"/>
        <w:spacing w:after="0"/>
        <w:rPr>
          <w:sz w:val="20"/>
          <w:szCs w:val="20"/>
          <w:color w:val="auto"/>
        </w:rPr>
      </w:pPr>
      <w:r>
        <w:rPr>
          <w:rFonts w:ascii="Courier New" w:cs="Courier New" w:eastAsia="Courier New" w:hAnsi="Courier New"/>
          <w:sz w:val="15"/>
          <w:szCs w:val="15"/>
          <w:color w:val="auto"/>
        </w:rPr>
        <w:t>Net earnings</w:t>
      </w:r>
    </w:p>
    <w:p>
      <w:pPr>
        <w:jc w:val="center"/>
        <w:ind w:right="9079"/>
        <w:spacing w:after="0"/>
        <w:rPr>
          <w:sz w:val="20"/>
          <w:szCs w:val="20"/>
          <w:color w:val="auto"/>
        </w:rPr>
      </w:pPr>
      <w:r>
        <w:rPr>
          <w:rFonts w:ascii="Courier New" w:cs="Courier New" w:eastAsia="Courier New" w:hAnsi="Courier New"/>
          <w:sz w:val="15"/>
          <w:szCs w:val="15"/>
          <w:color w:val="auto"/>
        </w:rPr>
        <w:t>3,394 3,394</w:t>
      </w:r>
    </w:p>
    <w:p>
      <w:pPr>
        <w:jc w:val="center"/>
        <w:ind w:right="9079"/>
        <w:spacing w:after="0" w:line="238" w:lineRule="auto"/>
        <w:rPr>
          <w:sz w:val="20"/>
          <w:szCs w:val="20"/>
          <w:color w:val="auto"/>
        </w:rPr>
      </w:pPr>
      <w:r>
        <w:rPr>
          <w:rFonts w:ascii="Courier New" w:cs="Courier New" w:eastAsia="Courier New" w:hAnsi="Courier New"/>
          <w:sz w:val="15"/>
          <w:szCs w:val="15"/>
          <w:color w:val="auto"/>
        </w:rPr>
        <w:t>Other</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4"/>
          <w:szCs w:val="14"/>
          <w:color w:val="auto"/>
        </w:rPr>
        <w:t>comprehensive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earnings</w:t>
      </w:r>
    </w:p>
    <w:p>
      <w:pPr>
        <w:jc w:val="center"/>
        <w:ind w:right="9079"/>
        <w:spacing w:after="0"/>
        <w:rPr>
          <w:sz w:val="20"/>
          <w:szCs w:val="20"/>
          <w:color w:val="auto"/>
        </w:rPr>
      </w:pPr>
      <w:r>
        <w:rPr>
          <w:rFonts w:ascii="Courier New" w:cs="Courier New" w:eastAsia="Courier New" w:hAnsi="Courier New"/>
          <w:sz w:val="15"/>
          <w:szCs w:val="15"/>
          <w:color w:val="auto"/>
        </w:rPr>
        <w:t>(losses),</w:t>
      </w:r>
    </w:p>
    <w:p>
      <w:pPr>
        <w:jc w:val="center"/>
        <w:ind w:right="9079"/>
        <w:spacing w:after="0"/>
        <w:rPr>
          <w:sz w:val="20"/>
          <w:szCs w:val="20"/>
          <w:color w:val="auto"/>
        </w:rPr>
      </w:pPr>
      <w:r>
        <w:rPr>
          <w:rFonts w:ascii="Courier New" w:cs="Courier New" w:eastAsia="Courier New" w:hAnsi="Courier New"/>
          <w:sz w:val="15"/>
          <w:szCs w:val="15"/>
          <w:color w:val="auto"/>
        </w:rPr>
        <w:t>net of</w:t>
      </w:r>
    </w:p>
    <w:p>
      <w:pPr>
        <w:jc w:val="center"/>
        <w:ind w:right="9079"/>
        <w:spacing w:after="0" w:line="238" w:lineRule="auto"/>
        <w:rPr>
          <w:sz w:val="20"/>
          <w:szCs w:val="20"/>
          <w:color w:val="auto"/>
        </w:rPr>
      </w:pPr>
      <w:r>
        <w:rPr>
          <w:rFonts w:ascii="Courier New" w:cs="Courier New" w:eastAsia="Courier New" w:hAnsi="Courier New"/>
          <w:sz w:val="15"/>
          <w:szCs w:val="15"/>
          <w:color w:val="auto"/>
        </w:rPr>
        <w:t>income</w:t>
      </w:r>
    </w:p>
    <w:p>
      <w:pPr>
        <w:jc w:val="center"/>
        <w:ind w:right="9079"/>
        <w:spacing w:after="0"/>
        <w:rPr>
          <w:sz w:val="20"/>
          <w:szCs w:val="20"/>
          <w:color w:val="auto"/>
        </w:rPr>
      </w:pPr>
      <w:r>
        <w:rPr>
          <w:rFonts w:ascii="Courier New" w:cs="Courier New" w:eastAsia="Courier New" w:hAnsi="Courier New"/>
          <w:sz w:val="15"/>
          <w:szCs w:val="15"/>
          <w:color w:val="auto"/>
        </w:rPr>
        <w:t>taxes:</w:t>
      </w:r>
    </w:p>
    <w:p>
      <w:pPr>
        <w:jc w:val="center"/>
        <w:ind w:right="9079"/>
        <w:spacing w:after="0"/>
        <w:rPr>
          <w:sz w:val="20"/>
          <w:szCs w:val="20"/>
          <w:color w:val="auto"/>
        </w:rPr>
      </w:pPr>
      <w:r>
        <w:rPr>
          <w:rFonts w:ascii="Courier New" w:cs="Courier New" w:eastAsia="Courier New" w:hAnsi="Courier New"/>
          <w:sz w:val="15"/>
          <w:szCs w:val="15"/>
          <w:color w:val="auto"/>
        </w:rPr>
        <w:t>Currency</w:t>
      </w:r>
    </w:p>
    <w:p>
      <w:pPr>
        <w:jc w:val="center"/>
        <w:ind w:right="9079"/>
        <w:spacing w:after="0" w:line="238" w:lineRule="auto"/>
        <w:rPr>
          <w:sz w:val="20"/>
          <w:szCs w:val="20"/>
          <w:color w:val="auto"/>
        </w:rPr>
      </w:pPr>
      <w:r>
        <w:rPr>
          <w:rFonts w:ascii="Courier New" w:cs="Courier New" w:eastAsia="Courier New" w:hAnsi="Courier New"/>
          <w:sz w:val="15"/>
          <w:szCs w:val="15"/>
          <w:color w:val="auto"/>
        </w:rPr>
        <w:t>translation</w:t>
      </w:r>
    </w:p>
    <w:p>
      <w:pPr>
        <w:jc w:val="center"/>
        <w:ind w:right="9079"/>
        <w:spacing w:after="0"/>
        <w:rPr>
          <w:sz w:val="20"/>
          <w:szCs w:val="20"/>
          <w:color w:val="auto"/>
        </w:rPr>
      </w:pPr>
      <w:r>
        <w:rPr>
          <w:rFonts w:ascii="Courier New" w:cs="Courier New" w:eastAsia="Courier New" w:hAnsi="Courier New"/>
          <w:sz w:val="15"/>
          <w:szCs w:val="15"/>
          <w:color w:val="auto"/>
        </w:rPr>
        <w:t>adjustments</w:t>
      </w:r>
    </w:p>
    <w:p>
      <w:pPr>
        <w:jc w:val="center"/>
        <w:ind w:right="9079"/>
        <w:spacing w:after="0"/>
        <w:rPr>
          <w:sz w:val="20"/>
          <w:szCs w:val="20"/>
          <w:color w:val="auto"/>
        </w:rPr>
      </w:pPr>
      <w:r>
        <w:rPr>
          <w:rFonts w:ascii="Courier New" w:cs="Courier New" w:eastAsia="Courier New" w:hAnsi="Courier New"/>
          <w:sz w:val="15"/>
          <w:szCs w:val="15"/>
          <w:color w:val="auto"/>
        </w:rPr>
        <w:t>187 187 187</w:t>
      </w:r>
    </w:p>
    <w:p>
      <w:pPr>
        <w:jc w:val="center"/>
        <w:ind w:right="9079"/>
        <w:spacing w:after="0"/>
        <w:rPr>
          <w:sz w:val="20"/>
          <w:szCs w:val="20"/>
          <w:color w:val="auto"/>
        </w:rPr>
      </w:pPr>
      <w:r>
        <w:rPr>
          <w:rFonts w:ascii="Courier New" w:cs="Courier New" w:eastAsia="Courier New" w:hAnsi="Courier New"/>
          <w:sz w:val="15"/>
          <w:szCs w:val="15"/>
          <w:color w:val="auto"/>
        </w:rPr>
        <w:t>Additional</w:t>
      </w:r>
    </w:p>
    <w:p>
      <w:pPr>
        <w:jc w:val="center"/>
        <w:ind w:right="9079"/>
        <w:spacing w:after="0" w:line="238" w:lineRule="auto"/>
        <w:rPr>
          <w:sz w:val="20"/>
          <w:szCs w:val="20"/>
          <w:color w:val="auto"/>
        </w:rPr>
      </w:pPr>
      <w:r>
        <w:rPr>
          <w:rFonts w:ascii="Courier New" w:cs="Courier New" w:eastAsia="Courier New" w:hAnsi="Courier New"/>
          <w:sz w:val="15"/>
          <w:szCs w:val="15"/>
          <w:color w:val="auto"/>
        </w:rPr>
        <w:t>minimum</w:t>
      </w:r>
    </w:p>
    <w:p>
      <w:pPr>
        <w:jc w:val="center"/>
        <w:ind w:right="9079"/>
        <w:spacing w:after="0"/>
        <w:rPr>
          <w:sz w:val="20"/>
          <w:szCs w:val="20"/>
          <w:color w:val="auto"/>
        </w:rPr>
      </w:pPr>
      <w:r>
        <w:rPr>
          <w:rFonts w:ascii="Courier New" w:cs="Courier New" w:eastAsia="Courier New" w:hAnsi="Courier New"/>
          <w:sz w:val="15"/>
          <w:szCs w:val="15"/>
          <w:color w:val="auto"/>
        </w:rPr>
        <w:t>pension</w:t>
      </w:r>
    </w:p>
    <w:p>
      <w:pPr>
        <w:jc w:val="center"/>
        <w:ind w:right="9079"/>
        <w:spacing w:after="0"/>
        <w:rPr>
          <w:sz w:val="20"/>
          <w:szCs w:val="20"/>
          <w:color w:val="auto"/>
        </w:rPr>
      </w:pPr>
      <w:r>
        <w:rPr>
          <w:rFonts w:ascii="Courier New" w:cs="Courier New" w:eastAsia="Courier New" w:hAnsi="Courier New"/>
          <w:sz w:val="15"/>
          <w:szCs w:val="15"/>
          <w:color w:val="auto"/>
        </w:rPr>
        <w:t>liability</w:t>
      </w:r>
    </w:p>
    <w:p>
      <w:pPr>
        <w:ind w:left="600" w:hanging="524"/>
        <w:spacing w:after="0" w:line="238" w:lineRule="auto"/>
        <w:tabs>
          <w:tab w:leader="none" w:pos="600"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(117)</w:t>
      </w:r>
    </w:p>
    <w:p>
      <w:pPr>
        <w:ind w:left="560" w:hanging="528"/>
        <w:spacing w:after="0"/>
        <w:tabs>
          <w:tab w:leader="none" w:pos="56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fair</w:t>
      </w:r>
    </w:p>
    <w:p>
      <w:pPr>
        <w:jc w:val="center"/>
        <w:ind w:right="9079"/>
        <w:spacing w:after="0"/>
        <w:rPr>
          <w:sz w:val="20"/>
          <w:szCs w:val="20"/>
          <w:color w:val="auto"/>
        </w:rPr>
      </w:pPr>
      <w:r>
        <w:rPr>
          <w:rFonts w:ascii="Courier New" w:cs="Courier New" w:eastAsia="Courier New" w:hAnsi="Courier New"/>
          <w:sz w:val="15"/>
          <w:szCs w:val="15"/>
          <w:color w:val="auto"/>
        </w:rPr>
        <w:t>value of</w:t>
      </w:r>
    </w:p>
    <w:p>
      <w:pPr>
        <w:jc w:val="center"/>
        <w:ind w:right="9079"/>
        <w:spacing w:after="0" w:line="238" w:lineRule="auto"/>
        <w:rPr>
          <w:sz w:val="20"/>
          <w:szCs w:val="20"/>
          <w:color w:val="auto"/>
        </w:rPr>
      </w:pPr>
      <w:r>
        <w:rPr>
          <w:rFonts w:ascii="Courier New" w:cs="Courier New" w:eastAsia="Courier New" w:hAnsi="Courier New"/>
          <w:sz w:val="15"/>
          <w:szCs w:val="15"/>
          <w:color w:val="auto"/>
        </w:rPr>
        <w:t>derivatives</w:t>
      </w:r>
    </w:p>
    <w:p>
      <w:pPr>
        <w:jc w:val="center"/>
        <w:ind w:right="9079"/>
        <w:spacing w:after="0"/>
        <w:rPr>
          <w:sz w:val="20"/>
          <w:szCs w:val="20"/>
          <w:color w:val="auto"/>
        </w:rPr>
      </w:pPr>
      <w:r>
        <w:rPr>
          <w:rFonts w:ascii="Courier New" w:cs="Courier New" w:eastAsia="Courier New" w:hAnsi="Courier New"/>
          <w:sz w:val="15"/>
          <w:szCs w:val="15"/>
          <w:color w:val="auto"/>
        </w:rPr>
        <w:t>accounted</w:t>
      </w:r>
    </w:p>
    <w:p>
      <w:pPr>
        <w:jc w:val="center"/>
        <w:ind w:right="9079"/>
        <w:spacing w:after="0"/>
        <w:rPr>
          <w:sz w:val="20"/>
          <w:szCs w:val="20"/>
          <w:color w:val="auto"/>
        </w:rPr>
      </w:pPr>
      <w:r>
        <w:rPr>
          <w:rFonts w:ascii="Courier New" w:cs="Courier New" w:eastAsia="Courier New" w:hAnsi="Courier New"/>
          <w:sz w:val="15"/>
          <w:szCs w:val="15"/>
          <w:color w:val="auto"/>
        </w:rPr>
        <w:t>for as</w:t>
      </w:r>
    </w:p>
    <w:p>
      <w:pPr>
        <w:ind w:left="40"/>
        <w:spacing w:after="0" w:line="238" w:lineRule="auto"/>
        <w:rPr>
          <w:sz w:val="20"/>
          <w:szCs w:val="20"/>
          <w:color w:val="auto"/>
        </w:rPr>
      </w:pPr>
      <w:r>
        <w:rPr>
          <w:rFonts w:ascii="Courier New" w:cs="Courier New" w:eastAsia="Courier New" w:hAnsi="Courier New"/>
          <w:sz w:val="15"/>
          <w:szCs w:val="15"/>
          <w:color w:val="auto"/>
        </w:rPr>
        <w:t>hedges 31 31</w:t>
      </w:r>
    </w:p>
    <w:p>
      <w:pPr>
        <w:ind w:left="40"/>
        <w:spacing w:after="0"/>
        <w:rPr>
          <w:sz w:val="20"/>
          <w:szCs w:val="20"/>
          <w:color w:val="auto"/>
        </w:rPr>
      </w:pPr>
      <w:r>
        <w:rPr>
          <w:rFonts w:ascii="Courier New" w:cs="Courier New" w:eastAsia="Courier New" w:hAnsi="Courier New"/>
          <w:sz w:val="15"/>
          <w:szCs w:val="15"/>
          <w:color w:val="auto"/>
        </w:rPr>
        <w:t>31 - -------</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40" w:right="9219" w:hanging="220"/>
        <w:spacing w:after="0" w:line="256" w:lineRule="auto"/>
        <w:tabs>
          <w:tab w:leader="none" w:pos="56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earnings 101</w:t>
      </w:r>
    </w:p>
    <w:p>
      <w:pPr>
        <w:ind w:left="200" w:hanging="168"/>
        <w:spacing w:after="0"/>
        <w:tabs>
          <w:tab w:leader="none" w:pos="2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20" w:hanging="167"/>
        <w:spacing w:after="0"/>
        <w:tabs>
          <w:tab w:leader="none" w:pos="420"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comprehensive</w:t>
      </w:r>
    </w:p>
    <w:p>
      <w:pPr>
        <w:sectPr>
          <w:pgSz w:w="11900" w:h="16838" w:orient="portrait"/>
          <w:cols w:equalWidth="0" w:num="1">
            <w:col w:w="10219"/>
          </w:cols>
          <w:pgMar w:left="240" w:top="141" w:right="1440" w:bottom="0" w:gutter="0" w:footer="0" w:header="0"/>
        </w:sectPr>
      </w:pPr>
    </w:p>
    <w:bookmarkStart w:id="35" w:name="page36"/>
    <w:bookmarkEnd w:id="35"/>
    <w:p>
      <w:pPr>
        <w:jc w:val="center"/>
        <w:ind w:right="9079"/>
        <w:spacing w:after="0"/>
        <w:rPr>
          <w:sz w:val="20"/>
          <w:szCs w:val="20"/>
          <w:color w:val="auto"/>
        </w:rPr>
      </w:pPr>
      <w:r>
        <w:rPr>
          <w:rFonts w:ascii="Courier New" w:cs="Courier New" w:eastAsia="Courier New" w:hAnsi="Courier New"/>
          <w:sz w:val="15"/>
          <w:szCs w:val="15"/>
          <w:color w:val="auto"/>
        </w:rPr>
        <w:t>earnings</w:t>
      </w:r>
    </w:p>
    <w:p>
      <w:pPr>
        <w:ind w:left="40"/>
        <w:spacing w:after="0"/>
        <w:rPr>
          <w:sz w:val="20"/>
          <w:szCs w:val="20"/>
          <w:color w:val="auto"/>
        </w:rPr>
      </w:pPr>
      <w:r>
        <w:rPr>
          <w:rFonts w:ascii="Courier New" w:cs="Courier New" w:eastAsia="Courier New" w:hAnsi="Courier New"/>
          <w:sz w:val="15"/>
          <w:szCs w:val="15"/>
          <w:color w:val="auto"/>
        </w:rPr>
        <w:t>3,495 - ----</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260"/>
        <w:spacing w:after="0"/>
        <w:rPr>
          <w:sz w:val="20"/>
          <w:szCs w:val="20"/>
          <w:color w:val="auto"/>
        </w:rPr>
      </w:pPr>
      <w:r>
        <w:rPr>
          <w:rFonts w:ascii="Courier New" w:cs="Courier New" w:eastAsia="Courier New" w:hAnsi="Courier New"/>
          <w:sz w:val="15"/>
          <w:szCs w:val="15"/>
          <w:color w:val="auto"/>
        </w:rPr>
        <w:t>-------</w:t>
      </w:r>
    </w:p>
    <w:p>
      <w:pPr>
        <w:jc w:val="center"/>
        <w:ind w:right="9079"/>
        <w:spacing w:after="0" w:line="238" w:lineRule="auto"/>
        <w:rPr>
          <w:sz w:val="20"/>
          <w:szCs w:val="20"/>
          <w:color w:val="auto"/>
        </w:rPr>
      </w:pPr>
      <w:r>
        <w:rPr>
          <w:rFonts w:ascii="Courier New" w:cs="Courier New" w:eastAsia="Courier New" w:hAnsi="Courier New"/>
          <w:sz w:val="15"/>
          <w:szCs w:val="15"/>
          <w:color w:val="auto"/>
        </w:rPr>
        <w:t>Dividends</w:t>
      </w:r>
    </w:p>
    <w:p>
      <w:pPr>
        <w:jc w:val="center"/>
        <w:ind w:right="9079"/>
        <w:spacing w:after="0"/>
        <w:rPr>
          <w:sz w:val="20"/>
          <w:szCs w:val="20"/>
          <w:color w:val="auto"/>
        </w:rPr>
      </w:pPr>
      <w:r>
        <w:rPr>
          <w:rFonts w:ascii="Courier New" w:cs="Courier New" w:eastAsia="Courier New" w:hAnsi="Courier New"/>
          <w:sz w:val="15"/>
          <w:szCs w:val="15"/>
          <w:color w:val="auto"/>
        </w:rPr>
        <w:t>declared</w:t>
      </w:r>
    </w:p>
    <w:p>
      <w:pPr>
        <w:jc w:val="center"/>
        <w:ind w:right="9079"/>
        <w:spacing w:after="0"/>
        <w:rPr>
          <w:sz w:val="20"/>
          <w:szCs w:val="20"/>
          <w:color w:val="auto"/>
        </w:rPr>
      </w:pPr>
      <w:r>
        <w:rPr>
          <w:rFonts w:ascii="Courier New" w:cs="Courier New" w:eastAsia="Courier New" w:hAnsi="Courier New"/>
          <w:sz w:val="15"/>
          <w:szCs w:val="15"/>
          <w:color w:val="auto"/>
        </w:rPr>
        <w:t>($0.56 per</w:t>
      </w:r>
    </w:p>
    <w:p>
      <w:pPr>
        <w:jc w:val="center"/>
        <w:ind w:right="9079"/>
        <w:spacing w:after="0"/>
        <w:rPr>
          <w:sz w:val="20"/>
          <w:szCs w:val="20"/>
          <w:color w:val="auto"/>
        </w:rPr>
      </w:pPr>
      <w:r>
        <w:rPr>
          <w:rFonts w:ascii="Courier New" w:cs="Courier New" w:eastAsia="Courier New" w:hAnsi="Courier New"/>
          <w:sz w:val="15"/>
          <w:szCs w:val="15"/>
          <w:color w:val="auto"/>
        </w:rPr>
        <w:t>share) (971)</w:t>
      </w:r>
    </w:p>
    <w:p>
      <w:pPr>
        <w:ind w:left="600" w:hanging="524"/>
        <w:spacing w:after="0" w:line="238" w:lineRule="auto"/>
        <w:tabs>
          <w:tab w:leader="none" w:pos="6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common</w:t>
      </w:r>
    </w:p>
    <w:p>
      <w:pPr>
        <w:ind w:left="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w:t>
      </w:r>
    </w:p>
    <w:p>
      <w:pPr>
        <w:ind w:left="80"/>
        <w:spacing w:after="0"/>
        <w:rPr>
          <w:sz w:val="20"/>
          <w:szCs w:val="20"/>
          <w:color w:val="auto"/>
        </w:rPr>
      </w:pPr>
      <w:r>
        <w:rPr>
          <w:rFonts w:ascii="Courier New" w:cs="Courier New" w:eastAsia="Courier New" w:hAnsi="Courier New"/>
          <w:sz w:val="15"/>
          <w:szCs w:val="15"/>
          <w:color w:val="auto"/>
        </w:rPr>
        <w:t>repurchased</w:t>
      </w:r>
    </w:p>
    <w:p>
      <w:pPr>
        <w:ind w:left="600" w:hanging="524"/>
        <w:spacing w:after="0" w:line="238" w:lineRule="auto"/>
        <w:tabs>
          <w:tab w:leader="none" w:pos="60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(170)</w:t>
      </w:r>
    </w:p>
    <w:p>
      <w:pPr>
        <w:ind w:left="200" w:hanging="168"/>
        <w:spacing w:after="0"/>
        <w:tabs>
          <w:tab w:leader="none" w:pos="20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jc w:val="center"/>
        <w:ind w:left="40" w:right="9139" w:firstLine="44"/>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 Balances, December 31, 2002 $-- $23,655 $4,814 $(2,249) $(218) $(2,467) $(170) $25,832 -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Kraft Foods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Background and Basis of Presentation:</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Background: Kraft Foods Inc. ("Kraft") was incorporated in 2000 in the Commonwealth of Virginia. Following Kraft's formation, Altria Group, Inc. (formerly Philip Morris Companies Inc.), transferred to Kraft its ownership interest in Kraft Foods North America, Inc. ("KFNA"), a Delaware corporation, through a capital contribution. In addition, during 2000, a subsidiary of Altria Group, Inc. transferred management responsibility for its food businesses in Latin America to KFNA and its wholly-owned subsidiary, Kraft Foods International, Inc. ("KFI"). Kraft, through its subsidiaries (Kraft and its subsidiaries are hereinafter referred to as the "Company"), is engaged in the manufacture and sale of branded foods and beverages in the United States, Canada, Europe, Latin America, Asia Pacific and Middle East and Africa.</w:t>
      </w:r>
    </w:p>
    <w:p>
      <w:pPr>
        <w:spacing w:after="0" w:line="181"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On December 11, 2000, the Company acquired all of the outstanding shares of Nabisco Holdings Corp. ("Nabisco") for $55 per share in cash. See Note 5. Acquisitions for a complete discussion of this transaction.</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Prior to June 13, 2001, the Company was a wholly-owned subsidiary of Altria Group, Inc. On June 13, 2001, the Company completed an initial public offering ("IPO") of 280,000,000 shares of its Class A common stock at a price of $31.00 per share. The IPO proceeds, net of the underwriting discount and expenses, of $8.4 billion were used to retire a portion of an $11.0 billion long-term note payable to Altria Group, Inc., incurred in connection with the acquisition of Nabisco. After the IPO, Altria Group, Inc. owned approximately 83.9% of the outstanding shares of the Company's capital stock through its ownership of 49.5% of the Company's Class A common stock and 100% of the Company's Class B common stock. The Company's Class A common stock has one vote per share, while the Company's Class B common stock has ten votes per share. At December 31, 2002, Altria Group, Inc. held 97.8% of the combined voting power of the Company's outstanding capital stock and owned approximately 84.2% of the outstanding shares of the Company's capital stock.</w:t>
      </w:r>
    </w:p>
    <w:p>
      <w:pPr>
        <w:sectPr>
          <w:pgSz w:w="11900" w:h="16838" w:orient="portrait"/>
          <w:cols w:equalWidth="0" w:num="1">
            <w:col w:w="10219"/>
          </w:cols>
          <w:pgMar w:left="240" w:top="136" w:right="1440" w:bottom="0" w:gutter="0" w:footer="0" w:header="0"/>
        </w:sectPr>
      </w:pPr>
    </w:p>
    <w:bookmarkStart w:id="36" w:name="page37"/>
    <w:bookmarkEnd w:id="36"/>
    <w:p>
      <w:pPr>
        <w:ind w:right="3179"/>
        <w:spacing w:after="0" w:line="238" w:lineRule="auto"/>
        <w:rPr>
          <w:sz w:val="20"/>
          <w:szCs w:val="20"/>
          <w:color w:val="auto"/>
        </w:rPr>
      </w:pPr>
      <w:r>
        <w:rPr>
          <w:rFonts w:ascii="Courier New" w:cs="Courier New" w:eastAsia="Courier New" w:hAnsi="Courier New"/>
          <w:sz w:val="15"/>
          <w:szCs w:val="15"/>
          <w:color w:val="auto"/>
        </w:rPr>
        <w:t>Basis of Presentation: The consolidated financial statements include Kraft and its subsidiaries. The preparation of financial statements in conformity with accounting principles generally accepted in the United States of America requires management to make estimates and assumptions that affect the reported amounts of assets and liabilities, the disclosure of contingent assets and liabilities at the dates of the financial statements and the reported amounts of net revenues and expenses during the reporting periods. Significant estimates and assumptions include, among other things, pension and benefit plan assumptions and income taxes. Actual results could differ from those estimates. The Company's operating subsidiaries report year-end results as of the Saturday closest to the end of each year. This resulted in fifty-three weeks of operating results in the Company's consolidated statement of earnings for the year ended December 31, 2000.</w:t>
      </w:r>
    </w:p>
    <w:p>
      <w:pPr>
        <w:spacing w:after="0" w:line="183"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Certain prior years' amounts have been reclassified to conform with the current year's presentation, due primarily to the adoption of new accounting rules regarding revenues, as well as the disclosure of more detailed information on the consolidated statements of earnings and the consolidated statements of cash flows.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Summary of Significant Accounting Policies:</w:t>
      </w:r>
    </w:p>
    <w:p>
      <w:pPr>
        <w:spacing w:after="0" w:line="175"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Cash and cash equivalents: Cash equivalents include demand deposits with banks and all highly liquid investments with original maturities of three months or less.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Depreciation, amortization and goodwill valuation: Property, plant and equipment are stated at historical cost and depreciated by the straight-line method over the estimated useful lives of the assets. Machinery and equipment are depreciated over periods ranging from 3 to 20 years and buildings and building improvements over periods up to 40 years.</w:t>
      </w:r>
    </w:p>
    <w:p>
      <w:pPr>
        <w:spacing w:after="0" w:line="178"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On January 1, 2002, the Company adopted Statement of Financial Accounting Standards ("SFAS") No. 141, "Business Combinations" and SFAS No. 142, "Goodwill and Other Intangible Assets." As a result, the Company stopped recording the amortization of goodwill and indefinite life intangible assets as a charge to earnings as of January 1, 2002. Net earnings and diluted earnings per share ("EPS") would have been as follows had the provisions of the new standards been applied as of January 1, 2000:</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 millions, except per share amounts) - ------------------------------------</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 For the years ended December 31,</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2001 2000 -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Net earnings, as previously reported $1,882 $2,001 Adjustment</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for amortization of goodwill and indefinite life intangibles 955 530 - -------</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 Net</w:t>
      </w:r>
    </w:p>
    <w:p>
      <w:pPr>
        <w:jc w:val="center"/>
        <w:ind w:right="3259"/>
        <w:spacing w:after="0"/>
        <w:rPr>
          <w:sz w:val="20"/>
          <w:szCs w:val="20"/>
          <w:color w:val="auto"/>
        </w:rPr>
      </w:pPr>
      <w:r>
        <w:rPr>
          <w:rFonts w:ascii="Courier New" w:cs="Courier New" w:eastAsia="Courier New" w:hAnsi="Courier New"/>
          <w:sz w:val="15"/>
          <w:szCs w:val="15"/>
          <w:color w:val="auto"/>
        </w:rPr>
        <w:t>earnings, as adjusted $2,837 $2,531</w:t>
      </w:r>
    </w:p>
    <w:p>
      <w:pPr>
        <w:spacing w:after="0" w:line="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40" w:right="3319" w:firstLine="44"/>
        <w:spacing w:after="0" w:line="256" w:lineRule="auto"/>
        <w:rPr>
          <w:sz w:val="20"/>
          <w:szCs w:val="20"/>
          <w:color w:val="auto"/>
        </w:rPr>
      </w:pPr>
      <w:r>
        <w:rPr>
          <w:rFonts w:ascii="Courier New" w:cs="Courier New" w:eastAsia="Courier New" w:hAnsi="Courier New"/>
          <w:sz w:val="14"/>
          <w:szCs w:val="14"/>
          <w:color w:val="auto"/>
        </w:rPr>
        <w:t>Diluted EPS, as previously reported $ 1.17 $ 1.38 Adjustment for amortization of goodwill and indefinite life intangibles 0.59 0.36 - ----------------------</w:t>
      </w:r>
    </w:p>
    <w:p>
      <w:pPr>
        <w:ind w:left="260"/>
        <w:spacing w:after="0" w:line="233" w:lineRule="auto"/>
        <w:rPr>
          <w:sz w:val="20"/>
          <w:szCs w:val="20"/>
          <w:color w:val="auto"/>
        </w:rPr>
      </w:pPr>
      <w:r>
        <w:rPr>
          <w:rFonts w:ascii="Courier New" w:cs="Courier New" w:eastAsia="Courier New" w:hAnsi="Courier New"/>
          <w:sz w:val="15"/>
          <w:szCs w:val="15"/>
          <w:color w:val="auto"/>
        </w:rPr>
        <w:t>--------------------------------------------------------- Diluted EPS, as</w:t>
      </w:r>
    </w:p>
    <w:p>
      <w:pPr>
        <w:jc w:val="center"/>
        <w:ind w:right="3259"/>
        <w:spacing w:after="0"/>
        <w:rPr>
          <w:sz w:val="20"/>
          <w:szCs w:val="20"/>
          <w:color w:val="auto"/>
        </w:rPr>
      </w:pPr>
      <w:r>
        <w:rPr>
          <w:rFonts w:ascii="Courier New" w:cs="Courier New" w:eastAsia="Courier New" w:hAnsi="Courier New"/>
          <w:sz w:val="15"/>
          <w:szCs w:val="15"/>
          <w:color w:val="auto"/>
        </w:rPr>
        <w:t>adjusted $ 1.76 $ 1.74</w:t>
      </w:r>
    </w:p>
    <w:p>
      <w:pPr>
        <w:spacing w:after="0" w:line="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 addition, the Company is required to conduct an annual review of goodwill and intangible assets for potential impairment. In 2002, the Company completed its review and did not have to record a charge to earnings for an impairment of goodwill or other intangible assets.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December 31, 2002, goodwill by reportable segment was as follows:</w:t>
      </w:r>
    </w:p>
    <w:p>
      <w:pPr>
        <w:spacing w:after="0" w:line="17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 millions) - ---------------------------------------------------------------</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 Cheese, Meals and Enhancers $ 8,556 Biscuits, Snacks and</w:t>
      </w:r>
    </w:p>
    <w:p>
      <w:pPr>
        <w:spacing w:after="0" w:line="5" w:lineRule="exact"/>
        <w:rPr>
          <w:sz w:val="20"/>
          <w:szCs w:val="20"/>
          <w:color w:val="auto"/>
        </w:rPr>
      </w:pPr>
    </w:p>
    <w:p>
      <w:pPr>
        <w:ind w:left="40" w:right="3219"/>
        <w:spacing w:after="0" w:line="256" w:lineRule="auto"/>
        <w:rPr>
          <w:sz w:val="20"/>
          <w:szCs w:val="20"/>
          <w:color w:val="auto"/>
        </w:rPr>
      </w:pPr>
      <w:r>
        <w:rPr>
          <w:rFonts w:ascii="Courier New" w:cs="Courier New" w:eastAsia="Courier New" w:hAnsi="Courier New"/>
          <w:sz w:val="14"/>
          <w:szCs w:val="14"/>
          <w:color w:val="auto"/>
        </w:rPr>
        <w:t>Confectionery 9,262 Beverages, Desserts and Cereals 2,143 Oscar Mayer and Pizza 616 -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Total Kraft Foods North America 20,577 - ------------------------------</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 Europe, Middle East and</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Africa 4,082 Latin America and Asia Pacific 252 - -----------------------------</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 Total Kraft Foods</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International 4,334 - ---------------------------------------------------------</w:t>
      </w:r>
    </w:p>
    <w:p>
      <w:pPr>
        <w:spacing w:after="0" w:line="5"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 Total goodwill $24,911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Kraft Foods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assets as of December 31, 2002 were as follows:</w:t>
      </w:r>
    </w:p>
    <w:p>
      <w:pPr>
        <w:spacing w:after="0" w:line="17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 millions)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Gross Carrying Accumulated Amount Amortization - ------------</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 Non-</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amortizable intangible assets $11,485 Amortizable intangible assets 54 $30 - --</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Total intangible assets $11,539 $30</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4"/>
          <w:szCs w:val="14"/>
          <w:color w:val="auto"/>
        </w:rPr>
        <w:t>Non-amortizable intangible assets are substantially comprised of brand names purchased through the Nabisco acquisition. Amortizable intangible assets consist primarily of certain trademark licenses and non-compete agreements. Pre-tax amortization expense for intangible assets was $7 million for the year ended</w:t>
      </w:r>
    </w:p>
    <w:p>
      <w:pPr>
        <w:sectPr>
          <w:pgSz w:w="11900" w:h="16838" w:orient="portrait"/>
          <w:cols w:equalWidth="0" w:num="1">
            <w:col w:w="10219"/>
          </w:cols>
          <w:pgMar w:left="240" w:top="311" w:right="1440" w:bottom="0" w:gutter="0" w:footer="0" w:header="0"/>
        </w:sectPr>
      </w:pPr>
    </w:p>
    <w:bookmarkStart w:id="37" w:name="page38"/>
    <w:bookmarkEnd w:id="37"/>
    <w:p>
      <w:pPr>
        <w:ind w:right="3259"/>
        <w:spacing w:after="0" w:line="237" w:lineRule="auto"/>
        <w:rPr>
          <w:sz w:val="20"/>
          <w:szCs w:val="20"/>
          <w:color w:val="auto"/>
        </w:rPr>
      </w:pPr>
      <w:r>
        <w:rPr>
          <w:rFonts w:ascii="Courier New" w:cs="Courier New" w:eastAsia="Courier New" w:hAnsi="Courier New"/>
          <w:sz w:val="15"/>
          <w:szCs w:val="15"/>
          <w:color w:val="auto"/>
        </w:rPr>
        <w:t>December 31, 2002. Based upon the amortizable intangible assets recorded on the consolidated balance sheet at December 31, 2002, amortization expense for each of the next five years is estimated to be $8 million or less.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increase in goodwill and other intangible assets, net, during the year ended December 31, 2002, of $463 million is primarily related to currency translation, partially offset by a $76 million decrease in goodwill relating to the favorable completion of severance and exit programs associated with the Nabisco acquisition.</w:t>
      </w:r>
    </w:p>
    <w:p>
      <w:pPr>
        <w:spacing w:after="0" w:line="17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Environmental costs: The Company is subject to laws and regulations relating to the protection of the environment. The Company provides for expenses associated with environmental remediation obligations on an undiscounted basis when such amounts are probable and can be reasonably estimated. Such accruals are adjusted as new information develops or circumstances change.</w:t>
      </w:r>
    </w:p>
    <w:p>
      <w:pPr>
        <w:spacing w:after="0" w:line="178"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While it is not possible to quantify with certainty the potential impact of actions regarding environmental remediation and compliance efforts that the Company may undertake in the future, in the opinion of management, environmental remediation and compliance costs, before taking into account any recoveries from third parties, will not have a material adverse effect on the Company's consolidated financial position, results of operations or cash flows.</w:t>
      </w:r>
    </w:p>
    <w:p>
      <w:pPr>
        <w:spacing w:after="0" w:line="16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Foreign currency translation: The Company translates the results of operations of its foreign subsidiaries using average exchange rates during each period, whereas balance sheet accounts are translated using exchange rates at the end of each period. Currency translation adjustments are recorded as a component of shareholders' equity. Transaction gains and losses are recorded in the consolidated statements of earnings and were not significant for any of the periods presented.</w:t>
      </w:r>
    </w:p>
    <w:p>
      <w:pPr>
        <w:spacing w:after="0" w:line="177"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Guarantees: In November 2002, the Financial Accounting Standards Board ("FASB") issued Interpretation No. 45, "Guarantor's Accounting and Disclosure Requirements for Guarantees, Including Indirect Guarantees of Indebtedness of Others." Interpretation No. 45 requires the disclosure of certain guarantees existing at December 31, 2002. In addition, Interpretation No. 45 requires the recognition of a liability for the fair value of the obligation of qualifying guarantee activities that are initiated or modified after December 31, 2002. Accordingly, the Company will apply the recognition provisions of Interpretation No. 45 prospectively to guarantee activities initiated after December 31, 2002. See Note 17. Contingencies for a further discussion of guarantees.</w:t>
      </w:r>
    </w:p>
    <w:p>
      <w:pPr>
        <w:spacing w:after="0" w:line="181"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Hedging instruments: Effective January 1, 2001, the Company adopted SFAS No. 133, "Accounting for Derivative Instruments and Hedging Activities," and its related amendment, SFAS No. 138, "Accounting for Certain Derivative Instruments and Certain Hedging Activities" (collectively referred to as "SFAS No. 133"). These standards require that all derivative financial instruments be recorded on the consolidated balance sheets at their fair value as either assets or liabilities. Changes in the fair value of derivatives are recorded each period either in accumulated other comprehensive losses or in earnings, depending on whether a derivative is designated and effective as part of a hedge transaction and, if it is, the type of hedge transaction. Gains and losses on derivative instruments reported in accumulated other comprehensive earnings (losses) are reclassified to the consolidated statement of earnings in the periods in which operating results are affected by the hedged item. Cash flow hedging instruments are classified in the same manner as the affected hedged item in the consolidated statements of cash flows. As of January 1, 2001, the adoption</w:t>
      </w:r>
    </w:p>
    <w:p>
      <w:pPr>
        <w:spacing w:after="0" w:line="5" w:lineRule="exact"/>
        <w:rPr>
          <w:sz w:val="20"/>
          <w:szCs w:val="20"/>
          <w:color w:val="auto"/>
        </w:rPr>
      </w:pPr>
    </w:p>
    <w:p>
      <w:pPr>
        <w:ind w:right="3179"/>
        <w:spacing w:after="0" w:line="265" w:lineRule="auto"/>
        <w:rPr>
          <w:sz w:val="20"/>
          <w:szCs w:val="20"/>
          <w:color w:val="auto"/>
        </w:rPr>
      </w:pPr>
      <w:r>
        <w:rPr>
          <w:rFonts w:ascii="Courier New" w:cs="Courier New" w:eastAsia="Courier New" w:hAnsi="Courier New"/>
          <w:sz w:val="14"/>
          <w:szCs w:val="14"/>
          <w:color w:val="auto"/>
        </w:rPr>
        <w:t>of these new standards did not have a material effect on net earnings (less than $1 million) or accumulated other comprehensive losses (less than $1 million).</w:t>
      </w:r>
    </w:p>
    <w:p>
      <w:pPr>
        <w:spacing w:after="0" w:line="15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Impairment of long-lived assets: The Company reviews long-lived assets, including amortizable intangible assets, for impairment whenever events or changes in business circumstances indicate that the carrying amount of the assets may not be fully recoverable. The Company performs undiscounted operating cash flow analyses to determine if an impairment exists. If an impairment is determined to exist, any related impairment loss is calculated based on fair value. Impairment losses on assets to be disposed of, if any, are based on the estimated proceeds to be received, less costs of disposal.</w:t>
      </w:r>
    </w:p>
    <w:p>
      <w:pPr>
        <w:spacing w:after="0" w:line="17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Effective January 1, 2002, the Company adopted SFAS No. 144, "Accounting for the Impairment or Disposal of Long-Lived Assets," which replaces SFAS No. 121, "Accounting for the Impairment of Long-Lived Assets and Long-Lived Assets to</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Be Disposed Of." SFAS No. 144 provides updated guidance concerning the recognition and measurement of an impairment loss for certain types of long-lived assets, expands the scope of a discontinued operation to include a component of an entity and eliminates the exemption to consolidation when control over a subsidiary is likely to be temporary. The adoption of this new standard did not have a material impact on the Company's consolidated financial position, results of operations or cash flows.</w:t>
      </w:r>
    </w:p>
    <w:p>
      <w:pPr>
        <w:spacing w:after="0" w:line="34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49</w:t>
      </w:r>
    </w:p>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Kraft Foods Inc.</w:t>
      </w:r>
    </w:p>
    <w:p>
      <w:pPr>
        <w:spacing w:after="0" w:line="17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Income taxes: The Company accounts for income taxes in accordance with SFAS No. 109, "Accounting for Income Taxes." The accounts of the Company are included in the consolidated federal income tax return of Altria Group, Inc. Income taxes are generally computed on a separate company basis. To the extent that foreign tax credits, capital losses and other credits generated by the Company, which cannot be utilized on a separate company basis, are utilized in Altria Group, Inc.'s consolidated federal income tax return, the benefit is recognized in the calculation of the Company's provision for income taxes. The Company utilized tax benefits that it would otherwise not have been able to use of $193 million, $185 million and $139 million for the years ended December 31, 2002, 2001 and</w:t>
      </w:r>
    </w:p>
    <w:p>
      <w:pPr>
        <w:sectPr>
          <w:pgSz w:w="11900" w:h="16838" w:orient="portrait"/>
          <w:cols w:equalWidth="0" w:num="1">
            <w:col w:w="10219"/>
          </w:cols>
          <w:pgMar w:left="240" w:top="141" w:right="1440" w:bottom="0" w:gutter="0" w:footer="0" w:header="0"/>
        </w:sectPr>
      </w:pPr>
    </w:p>
    <w:bookmarkStart w:id="38" w:name="page39"/>
    <w:bookmarkEnd w:id="38"/>
    <w:p>
      <w:pPr>
        <w:jc w:val="both"/>
        <w:ind w:right="3359"/>
        <w:spacing w:after="0" w:line="237" w:lineRule="auto"/>
        <w:rPr>
          <w:sz w:val="20"/>
          <w:szCs w:val="20"/>
          <w:color w:val="auto"/>
        </w:rPr>
      </w:pPr>
      <w:r>
        <w:rPr>
          <w:rFonts w:ascii="Courier New" w:cs="Courier New" w:eastAsia="Courier New" w:hAnsi="Courier New"/>
          <w:sz w:val="15"/>
          <w:szCs w:val="15"/>
          <w:color w:val="auto"/>
        </w:rPr>
        <w:t>2000, respectively. The Company makes payments to, or is reimbursed by, Altria Group, Inc., for the tax effects resulting from its inclusion in Altria Group, Inc.'s consolidated federal income tax return.</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Inventories: Inventories are stated at the lower of cost or market. The last-in, first-out ("LIFO") method is used to cost substantially all domestic inventories. The cost of other inventories is principally determined by the average cost method.</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Marketing costs: The Company promotes its products with significant marketing activities, including advertising, consumer incentives and trade promotions. Advertising costs are expensed as incurred. Consumer incentive and trade promotion activities are recorded as a reduction of revenues based on amounts estimated as being due to customers and consumers at the end of a period, based principally on historical utilization and redemption rates.</w:t>
      </w:r>
    </w:p>
    <w:p>
      <w:pPr>
        <w:spacing w:after="0" w:line="176"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Revenue recognition: The Company recognizes revenues, net of sales incentives and including shipping and handling charges billed to customers, upon shipment of goods when title and risk of loss pass to customers. Shipping and handling costs are classified as part of cost of sales.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Effective January 1, 2002, the Company adopted the Emerging Issues Task Force ("EITF") Issue No. 00-14, "Accounting for Certain Sales Incentives" and EITF Issue No. 00-25, "Vendor Income Statement Characterization of Consideration Paid to a Reseller of the Vendor's Products." Prior period consolidated statements of earnings have been reclassified to reflect the adoption. The adoption of these EITF Issues resulted in a reduction of revenues of approximately $4.6 billion and $3.6 billion in 2001 and 2000, respectively. In addition, the adoption reduced marketing, administration and research costs by $4.7 billion and $3.7 billion in 2001 and 2000, respectively, while cost of sales increased by an insignificant amount. The adoption of these EITF Issues had no impact on operating income, net earnings or basic and diluted EPS.</w:t>
      </w:r>
    </w:p>
    <w:p>
      <w:pPr>
        <w:spacing w:after="0" w:line="18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Software costs: The Company capitalizes certain computer software and software development costs incurred in connection with developing or obtaining computer software for internal use. Capitalized software costs are amortized on a straight-line basis over the estimated useful lives of the software, which do not exceed five years.</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Stock-based compensation: The Company accounts for employee stock compensation plans in accordance with the intrinsic value-based method permitted by SFAS No. 123, "Accounting for Stock-Based Compensation," which did not result in compensation cost for stock options.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At December 31, 2002, the Company had stock-based employee compensation plans, which are described more fully in Note 10. Stock Plans. The Company applies the recognition and measurement principles of Accounting Principles Board Opinion No. 25, "Accounting for Stock Issued to Employees," and related Interpretations in accounting for those plans. No compensation expense for employee stock options is reflected in net earnings as all options granted under those plans had an exercise price equal to the market value of the common stock on the date of the grant. Net earnings, as reported, includes compensation expense related to restricted stock. The following table illustrates the effect on net earnings and EPS if the Company had applied the fair value recognition provisions of SFAS No. 123 to stock-based employee compensation for the years ended December 31, 2002, 2001 and 2000:</w:t>
      </w:r>
    </w:p>
    <w:p>
      <w:pPr>
        <w:spacing w:after="0" w:line="182"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 millions, except per share data)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---------------------------------------- 2002 2001 2000 -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Net earnings, as</w:t>
      </w:r>
    </w:p>
    <w:p>
      <w:pPr>
        <w:spacing w:after="0" w:line="5" w:lineRule="exact"/>
        <w:rPr>
          <w:sz w:val="20"/>
          <w:szCs w:val="20"/>
          <w:color w:val="auto"/>
        </w:rPr>
      </w:pPr>
    </w:p>
    <w:p>
      <w:pPr>
        <w:jc w:val="both"/>
        <w:ind w:left="40" w:right="3219" w:firstLine="88"/>
        <w:spacing w:after="0" w:line="256" w:lineRule="auto"/>
        <w:rPr>
          <w:sz w:val="20"/>
          <w:szCs w:val="20"/>
          <w:color w:val="auto"/>
        </w:rPr>
      </w:pPr>
      <w:r>
        <w:rPr>
          <w:rFonts w:ascii="Courier New" w:cs="Courier New" w:eastAsia="Courier New" w:hAnsi="Courier New"/>
          <w:sz w:val="14"/>
          <w:szCs w:val="14"/>
          <w:color w:val="auto"/>
        </w:rPr>
        <w:t>reported $3,394 $1,882 $2,001 Deduct: Total stock-based employee compensation expense determined under fair value method for all stock option awards, net of related tax effects 78 97 54 - ------------------------------------------------</w:t>
      </w:r>
    </w:p>
    <w:p>
      <w:pPr>
        <w:ind w:left="160"/>
        <w:spacing w:after="0" w:line="233" w:lineRule="auto"/>
        <w:rPr>
          <w:sz w:val="20"/>
          <w:szCs w:val="20"/>
          <w:color w:val="auto"/>
        </w:rPr>
      </w:pPr>
      <w:r>
        <w:rPr>
          <w:rFonts w:ascii="Courier New" w:cs="Courier New" w:eastAsia="Courier New" w:hAnsi="Courier New"/>
          <w:sz w:val="15"/>
          <w:szCs w:val="15"/>
          <w:color w:val="auto"/>
        </w:rPr>
        <w:t>-------------------------------- Pro forma net earnings $3,316 $1,785 $1,947</w:t>
      </w:r>
    </w:p>
    <w:p>
      <w:pPr>
        <w:spacing w:after="0" w:line="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Earnings per share: Basic--as reported $ 1.96 $ 1.17 $ 1.38</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Basic--pro forma $ 1.91 $ 1.11 $ 1.34</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Diluted--as reported $ 1.96 $ 1.17 $ 1.38</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Diluted--pro forma $ 1.91 $ 1.11 $ 1.34</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New accounting pronouncements: In July 2002, the FASB issued SFAS No. 146, "Accounting for Costs Associated with Exit or Disposal Activities." SFAS No. 146 requires companies to recognize costs associated with exit or disposal activities when they are incurred rather than at the date of a commitment to an exit or disposal plan. Costs covered by SFAS No. 146 include lease termination costs and certain employee severance costs that are associated with a restructuring, discontinued operation, plant closing or other exit or disposal activity. This statement is effective for exit or disposal activities that are initiated after December 31, 2002. Accordingly, the Company will apply the provisions of SFAS No. 146 prospectively to exit or disposal activities initiated after December 31, 2002.</w:t>
      </w:r>
    </w:p>
    <w:p>
      <w:pPr>
        <w:spacing w:after="0" w:line="18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In November 2002, the EITF issued EITF Issue No. 00-21, "Revenue Arrangements with Multiple Deliverables," which addresses certain aspects of the accounting by a vendor for arrangements under which it will perform multiple revenue-generating activities. Specifically, EIT Issue No. 00-21 addresses how to determine whether an arrangement involving multiple</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141" w:right="1440" w:bottom="34" w:gutter="0" w:footer="0" w:header="0"/>
        </w:sectPr>
      </w:pPr>
    </w:p>
    <w:bookmarkStart w:id="39" w:name="page40"/>
    <w:bookmarkEnd w:id="39"/>
    <w:p>
      <w:pPr>
        <w:jc w:val="center"/>
        <w:ind w:right="3179"/>
        <w:spacing w:after="0"/>
        <w:rPr>
          <w:sz w:val="20"/>
          <w:szCs w:val="20"/>
          <w:color w:val="auto"/>
        </w:rPr>
      </w:pPr>
      <w:r>
        <w:rPr>
          <w:rFonts w:ascii="Courier New" w:cs="Courier New" w:eastAsia="Courier New" w:hAnsi="Courier New"/>
          <w:sz w:val="15"/>
          <w:szCs w:val="15"/>
          <w:color w:val="auto"/>
        </w:rPr>
        <w:t>Kraft Foods Inc.</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deliverables contains more than one unit of accounting. EITF Issue No. 00-21 is effective for the Company for revenue arrangements entered into beginning July 1, 2003. The Company does not expect the adoption of EITF Issue No. 00-21 to have a material impact on its 2003 consolidated financial statements.</w:t>
      </w:r>
    </w:p>
    <w:p>
      <w:pPr>
        <w:spacing w:after="0" w:line="17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In January 2003, the FASB issued Interpretation No. 46, "Consolidation of Variable Interest Entities." Interpretation No. 46 requires that the assets, liabilities and results of the activity of variable interest entities be consolidated into the financial statements of the company that has the controlling financial interest. Interpretation No. 46 also provides the framework for determining whether a variable interest entity should be consolidated based on voting interests or significant financial support provided to it. Interpretation No. 46 will be effective for the Company on February 1, 2003 for variable interest entities created after January 31, 2003, and on July 1, 2003 for variable interest entities created prior to February 1, 2003. The Company does not expect the adoption of Interpretation No. 46 to have a material impact on its 2003 consolidated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Related Party Transactions:</w:t>
      </w:r>
    </w:p>
    <w:p>
      <w:pPr>
        <w:spacing w:after="0" w:line="175" w:lineRule="exact"/>
        <w:rPr>
          <w:sz w:val="20"/>
          <w:szCs w:val="20"/>
          <w:color w:val="auto"/>
        </w:rPr>
      </w:pPr>
    </w:p>
    <w:p>
      <w:pPr>
        <w:ind w:right="3259"/>
        <w:spacing w:after="0" w:line="239" w:lineRule="auto"/>
        <w:rPr>
          <w:sz w:val="20"/>
          <w:szCs w:val="20"/>
          <w:color w:val="auto"/>
        </w:rPr>
      </w:pPr>
      <w:r>
        <w:rPr>
          <w:rFonts w:ascii="Courier New" w:cs="Courier New" w:eastAsia="Courier New" w:hAnsi="Courier New"/>
          <w:sz w:val="15"/>
          <w:szCs w:val="15"/>
          <w:color w:val="auto"/>
        </w:rPr>
        <w:t>Altria Group, Inc.'s subsidiary, Altria Corporate Services, Inc., provides the Company with various services, including planning, legal, treasury, accounting, auditing, insurance, human resources, office of the secretary, corporate affairs, information technology and tax services. In 2001, the Company entered into a formal agreement with Altria Corporate Services, Inc., providing for a continuation of these services, the cost of which increased $91 million during 2001 as Altria Corporate Services, Inc., provided information technology and financial services, all of which were previously performed by the Company at approximately the same cost. Billings for these services, which were based on the cost to Altria Corporate Services, Inc. to provide such services and a management fee, were $327 million, $339 million and $248 million for the years ended December 31, 2002, 2001 and 2000, respectively. These costs were paid to Altria Corporate Services, Inc. monthly. Although the cost of these services cannot be quantified on a standalone basis, management believes that the billings are reasonable based on the level of support provided by Altria Corporate Services, Inc., and that they reflect all services provided. The cost and nature of the services are reviewed annually by the Company's audit committee, which is comprised of independent directors. The effects of these transactions are included in operating cash flows in the Company's consolidated statements of cash flows.</w:t>
      </w:r>
    </w:p>
    <w:p>
      <w:pPr>
        <w:spacing w:after="0" w:line="175"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4"/>
          <w:szCs w:val="14"/>
          <w:color w:val="auto"/>
        </w:rPr>
        <w:t>In addition, the Company's daily net cash or overdraft position is transferred to Altria Group, Inc., or its European subsidiary. The Company pays or receives interest based upon the applicable London Interbank Offered Rate, on the amounts payable to, or receivable from, Altria Group, Inc., or its European subsidiary.</w:t>
      </w:r>
    </w:p>
    <w:p>
      <w:pPr>
        <w:spacing w:after="0" w:line="163"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The Company also has long-term notes payable to Altria Group, Inc. and its affiliates as follows:</w:t>
      </w:r>
    </w:p>
    <w:p>
      <w:pPr>
        <w:spacing w:after="0" w:line="176"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 millions)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At December 31, 2002 2001 -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Notes payable in 2009, interest</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at 7.0% $1,150 $5,000 Short-term due to Altria Group, Inc. and affiliates</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reclassified as long-term 1,410 - ---------------------------------------------</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 $2,560 $5,000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7.0% notes have no prepayment penalty. During 2002, the Company prepaid</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$3,850 million of the 7.0% long-term notes payable. In addition, at December 31, 2002, the Company has short-term debt totaling $2,305 million to Altria Group, Inc. Interest on these borrowings is based on the average one-month London Interbank Offered Rate. A portion of the debt, totaling $1,410 million, was reclassified on the consolidated balance sheet as long-term notes due to Altria Group, Inc. and affiliates based upon the Company's ability and intention to refinance on a long-term basis.</w:t>
      </w:r>
    </w:p>
    <w:p>
      <w:pPr>
        <w:spacing w:after="0" w:line="177" w:lineRule="exact"/>
        <w:rPr>
          <w:sz w:val="20"/>
          <w:szCs w:val="20"/>
          <w:color w:val="auto"/>
        </w:rPr>
      </w:pPr>
    </w:p>
    <w:p>
      <w:pPr>
        <w:ind w:right="3539"/>
        <w:spacing w:after="0" w:line="238" w:lineRule="auto"/>
        <w:rPr>
          <w:sz w:val="20"/>
          <w:szCs w:val="20"/>
          <w:color w:val="auto"/>
        </w:rPr>
      </w:pPr>
      <w:r>
        <w:rPr>
          <w:rFonts w:ascii="Courier New" w:cs="Courier New" w:eastAsia="Courier New" w:hAnsi="Courier New"/>
          <w:sz w:val="15"/>
          <w:szCs w:val="15"/>
          <w:color w:val="auto"/>
        </w:rPr>
        <w:t>Based on interest rates available to the Company for issuances of debt with similar terms and remaining maturities, the aggregate fair value of the Company's long-term notes payable to Altria Group, Inc. and affiliates, at December 31, 2002 and 2001, were $2,764 million and $5,325 million, respectively. The fair values of the Company's current amounts due to Altria Group, Inc. and affiliates approximate carrying amounts.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Divestitures: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During 2002, the Company sold several small North American food businesses, some of which were previously classified as businesses held for sale. The net revenues and operating results of the businesses held for sale, which were not significant, were excluded from the Company's consolidated statements</w:t>
      </w:r>
    </w:p>
    <w:p>
      <w:pPr>
        <w:spacing w:after="0" w:line="7"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of earnings, and no gain or loss was recognized on these sales. In addition, the Company sold its Latin American yeast and industrial bakery ingredients business for approximately $110 million and recorded a pre-tax gain of $69 million. The aggregate proceeds received from sales of businesses were $219 million, on which the Company recorded pretax gains of $80 million.</w:t>
      </w:r>
    </w:p>
    <w:p>
      <w:pPr>
        <w:spacing w:after="0" w:line="178"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During 2001, the Company sold several small food businesses. The aggregate proceeds received in these transactions were $21 million, on which the Company recorded pre-tax gains of $8 million.</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During 2000, the Company sold a French confectionery business for proceeds of $251 million, on which a pre-tax gain of $139 million was recorded. Several small international and North American food businesses were also sold in 2000. The aggregate proceeds received from sales of businesses were $300 million, on which the Company recorded pre-tax gains of $172 million.</w:t>
      </w:r>
    </w:p>
    <w:p>
      <w:pPr>
        <w:sectPr>
          <w:pgSz w:w="11900" w:h="16838" w:orient="portrait"/>
          <w:cols w:equalWidth="0" w:num="1">
            <w:col w:w="10219"/>
          </w:cols>
          <w:pgMar w:left="240" w:top="136" w:right="1440" w:bottom="0" w:gutter="0" w:footer="0" w:header="0"/>
        </w:sectPr>
      </w:pPr>
    </w:p>
    <w:bookmarkStart w:id="40" w:name="page41"/>
    <w:bookmarkEnd w:id="40"/>
    <w:p>
      <w:pPr>
        <w:ind w:right="3259"/>
        <w:spacing w:after="0" w:line="235" w:lineRule="auto"/>
        <w:rPr>
          <w:sz w:val="20"/>
          <w:szCs w:val="20"/>
          <w:color w:val="auto"/>
        </w:rPr>
      </w:pPr>
      <w:r>
        <w:rPr>
          <w:rFonts w:ascii="Courier New" w:cs="Courier New" w:eastAsia="Courier New" w:hAnsi="Courier New"/>
          <w:sz w:val="15"/>
          <w:szCs w:val="15"/>
          <w:color w:val="auto"/>
        </w:rPr>
        <w:t>The operating results of the businesses sold were not material to the Company's consolidated operating results in any of the periods presented.</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Kraft Foods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Acquisitions:</w:t>
      </w:r>
    </w:p>
    <w:p>
      <w:pPr>
        <w:spacing w:after="0" w:line="175"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4"/>
          <w:szCs w:val="14"/>
          <w:color w:val="auto"/>
        </w:rPr>
        <w:t>Nabisco: On December 11, 2000, the Company acquired all of the outstanding shares of Nabisco for $55 per share in cash. The purchase of the outstanding shares, retirement of employee stock options and other payments totaled approximately $15.2 billion. In addition, the acquisition included the assumption of approximately $4.0 billion of existing Nabisco debt. The Company financed the acquisition through the issuance of two long-term notes payable to Altria Group, Inc., totaling $15.0 billion, and short-term intercompany borrowings of $255 million. The acquisition has been accounted for as a purchase. Beginning January 1, 2001, Nabisco's earnings have been included in the consolidated operating results of the Company. The Company's interest cost associated with acquiring Nabisco has been included in interest and other debt expense, net, on the Company's consolidated statements of earnings for the years ended December 31, 2002, 2001 and 2000.</w:t>
      </w:r>
    </w:p>
    <w:p>
      <w:pPr>
        <w:spacing w:after="0" w:line="16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During 2001, the Company completed the allocation of excess purchase price relating to Nabisco. As a result, the Company recorded, among other things, the final valuations of property, plant and equipment and intangible assets, primarily trade names, amounts relating to the closure of Nabisco facilities and related deferred income taxes. The final allocation of excess purchase price at December 31, 2001 was as follows:</w:t>
      </w:r>
    </w:p>
    <w:p>
      <w:pPr>
        <w:spacing w:after="0" w:line="34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 millions) -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Purchase price $15,254 Historical value of tangible assets</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acquired and liabilities assumed (1,271) - ------------------------------------</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 Excess of purchase price over</w:t>
      </w:r>
    </w:p>
    <w:p>
      <w:pPr>
        <w:spacing w:after="0" w:line="5" w:lineRule="exact"/>
        <w:rPr>
          <w:sz w:val="20"/>
          <w:szCs w:val="20"/>
          <w:color w:val="auto"/>
        </w:rPr>
      </w:pPr>
    </w:p>
    <w:p>
      <w:pPr>
        <w:jc w:val="center"/>
        <w:ind w:right="3179"/>
        <w:spacing w:after="0" w:line="237" w:lineRule="auto"/>
        <w:rPr>
          <w:sz w:val="20"/>
          <w:szCs w:val="20"/>
          <w:color w:val="auto"/>
        </w:rPr>
      </w:pPr>
      <w:r>
        <w:rPr>
          <w:rFonts w:ascii="Courier New" w:cs="Courier New" w:eastAsia="Courier New" w:hAnsi="Courier New"/>
          <w:sz w:val="15"/>
          <w:szCs w:val="15"/>
          <w:color w:val="auto"/>
        </w:rPr>
        <w:t>assets acquired and liabilities assumed at the date of acquisition 16,525 Increases for allocation of purchase price: Property, plant and equipment 367 Other assets 347 Accrued postretirement health care costs 230 Pension</w:t>
      </w:r>
    </w:p>
    <w:p>
      <w:pPr>
        <w:spacing w:after="0" w:line="5" w:lineRule="exact"/>
        <w:rPr>
          <w:sz w:val="20"/>
          <w:szCs w:val="20"/>
          <w:color w:val="auto"/>
        </w:rPr>
      </w:pPr>
    </w:p>
    <w:p>
      <w:pPr>
        <w:jc w:val="center"/>
        <w:ind w:right="3179"/>
        <w:spacing w:after="0" w:line="256" w:lineRule="auto"/>
        <w:rPr>
          <w:sz w:val="20"/>
          <w:szCs w:val="20"/>
          <w:color w:val="auto"/>
        </w:rPr>
      </w:pPr>
      <w:r>
        <w:rPr>
          <w:rFonts w:ascii="Courier New" w:cs="Courier New" w:eastAsia="Courier New" w:hAnsi="Courier New"/>
          <w:sz w:val="14"/>
          <w:szCs w:val="14"/>
          <w:color w:val="auto"/>
        </w:rPr>
        <w:t>liabilities 190 Debt 50 Legal, professional, lease and contract termination costs 129 Other liabilities, principally severance 602 Deferred income taxes 3,583 - -----------------------------------------------------------------------</w:t>
      </w:r>
    </w:p>
    <w:p>
      <w:pPr>
        <w:ind w:left="220"/>
        <w:spacing w:after="0" w:line="233" w:lineRule="auto"/>
        <w:rPr>
          <w:sz w:val="20"/>
          <w:szCs w:val="20"/>
          <w:color w:val="auto"/>
        </w:rPr>
      </w:pPr>
      <w:r>
        <w:rPr>
          <w:rFonts w:ascii="Courier New" w:cs="Courier New" w:eastAsia="Courier New" w:hAnsi="Courier New"/>
          <w:sz w:val="15"/>
          <w:szCs w:val="15"/>
          <w:color w:val="auto"/>
        </w:rPr>
        <w:t>--------- Goodwill and other intangible assets at December 31, 2001 $22,023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Goodwill and other intangible assets at December 31, 2001 included approximately $11.7 billion related to trade names. The Company also recorded deferred federal income taxes of $3.9 billion related to trade names. During 2002, the Company decreased goodwill by $76 million due primarily to the favorable completion of the severance and exit programs.</w:t>
      </w:r>
    </w:p>
    <w:p>
      <w:pPr>
        <w:spacing w:after="0" w:line="178"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closure of a number of Nabisco domestic and international facilities resulted in severance and other exit costs of $379 million, which are included in the above adjustments for the allocation of the Nabisco purchases price. The closures will result in the termination of approximately 7,500 employees and will require total cash payments of $373 million, of which approximately $190 million has been spent through December 31, 2002. Substantially all of the closures were completed as of December 31, 2002, and the remaining payments relate to salary continuation payments for severed employees and lease payments.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integration of Nabisco into the operations of the Company has also resulted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closure or reconfiguration of several of the Company's existing</w:t>
      </w:r>
    </w:p>
    <w:p>
      <w:pPr>
        <w:spacing w:after="0"/>
        <w:rPr>
          <w:sz w:val="20"/>
          <w:szCs w:val="20"/>
          <w:color w:val="auto"/>
        </w:rPr>
      </w:pPr>
      <w:r>
        <w:rPr>
          <w:rFonts w:ascii="Courier New" w:cs="Courier New" w:eastAsia="Courier New" w:hAnsi="Courier New"/>
          <w:sz w:val="15"/>
          <w:szCs w:val="15"/>
          <w:color w:val="auto"/>
        </w:rPr>
        <w:t>facilities. The aggregate charges to the Company's consolidated statement of</w:t>
      </w:r>
    </w:p>
    <w:p>
      <w:pPr>
        <w:spacing w:after="0"/>
        <w:rPr>
          <w:sz w:val="20"/>
          <w:szCs w:val="20"/>
          <w:color w:val="auto"/>
        </w:rPr>
      </w:pPr>
      <w:r>
        <w:rPr>
          <w:rFonts w:ascii="Courier New" w:cs="Courier New" w:eastAsia="Courier New" w:hAnsi="Courier New"/>
          <w:sz w:val="15"/>
          <w:szCs w:val="15"/>
          <w:color w:val="auto"/>
        </w:rPr>
        <w:t>earnings to close or reconfigure its facilities and integrate Nabisco were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originally estimated to be in the range of $200 million to $300 million. During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 the Company recorded pre-tax integration related charges of $115 million</w:t>
      </w:r>
    </w:p>
    <w:p>
      <w:pPr>
        <w:spacing w:after="0"/>
        <w:rPr>
          <w:sz w:val="20"/>
          <w:szCs w:val="20"/>
          <w:color w:val="auto"/>
        </w:rPr>
      </w:pPr>
      <w:r>
        <w:rPr>
          <w:rFonts w:ascii="Courier New" w:cs="Courier New" w:eastAsia="Courier New" w:hAnsi="Courier New"/>
          <w:sz w:val="15"/>
          <w:szCs w:val="15"/>
          <w:color w:val="auto"/>
        </w:rPr>
        <w:t>to consolidate production lines, close facilities and for other consolidation</w:t>
      </w:r>
    </w:p>
    <w:p>
      <w:pPr>
        <w:spacing w:after="0"/>
        <w:rPr>
          <w:sz w:val="20"/>
          <w:szCs w:val="20"/>
          <w:color w:val="auto"/>
        </w:rPr>
      </w:pPr>
      <w:r>
        <w:rPr>
          <w:rFonts w:ascii="Courier New" w:cs="Courier New" w:eastAsia="Courier New" w:hAnsi="Courier New"/>
          <w:sz w:val="15"/>
          <w:szCs w:val="15"/>
          <w:color w:val="auto"/>
        </w:rPr>
        <w:t>programs. In addition, during 2001, the Company incurred pre-tax integration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costs of $53 million for site reconfigurations and other consolidation programs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United States. The integration related charges of $168 million included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 million relating to severance, $117 million relating to asset write-offs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 million relating to other cash exit costs. Cash payments relating to these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charges will approximate $51 million, of which $21 million has been paid through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2002. In addition, during 2002, approximately 700 salaried</w:t>
      </w:r>
    </w:p>
    <w:p>
      <w:pPr>
        <w:spacing w:after="0"/>
        <w:rPr>
          <w:sz w:val="20"/>
          <w:szCs w:val="20"/>
          <w:color w:val="auto"/>
        </w:rPr>
      </w:pPr>
      <w:r>
        <w:rPr>
          <w:rFonts w:ascii="Courier New" w:cs="Courier New" w:eastAsia="Courier New" w:hAnsi="Courier New"/>
          <w:sz w:val="15"/>
          <w:szCs w:val="15"/>
          <w:color w:val="auto"/>
        </w:rPr>
        <w:t>employees elected to retire or terminate employment under voluntary retirement</w:t>
      </w:r>
    </w:p>
    <w:p>
      <w:pPr>
        <w:spacing w:after="0"/>
        <w:rPr>
          <w:sz w:val="20"/>
          <w:szCs w:val="20"/>
          <w:color w:val="auto"/>
        </w:rPr>
      </w:pPr>
      <w:r>
        <w:rPr>
          <w:rFonts w:ascii="Courier New" w:cs="Courier New" w:eastAsia="Courier New" w:hAnsi="Courier New"/>
          <w:sz w:val="15"/>
          <w:szCs w:val="15"/>
          <w:color w:val="auto"/>
        </w:rPr>
        <w:t>programs. As a result, the Company recorded a pre-tax charge of $142 million</w:t>
      </w:r>
    </w:p>
    <w:p>
      <w:pPr>
        <w:spacing w:after="0" w:line="238" w:lineRule="auto"/>
        <w:rPr>
          <w:sz w:val="20"/>
          <w:szCs w:val="20"/>
          <w:color w:val="auto"/>
        </w:rPr>
      </w:pPr>
      <w:r>
        <w:rPr>
          <w:rFonts w:ascii="Courier New" w:cs="Courier New" w:eastAsia="Courier New" w:hAnsi="Courier New"/>
          <w:sz w:val="15"/>
          <w:szCs w:val="15"/>
          <w:color w:val="auto"/>
        </w:rPr>
        <w:t>related to these programs. As of December 31, 2002, the aggregate pre-tax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charges to close or reconfigure the Company's facilities, including charges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early retirement programs, were $310 million, slightly above the original</w:t>
      </w:r>
    </w:p>
    <w:p>
      <w:pPr>
        <w:spacing w:after="0"/>
        <w:rPr>
          <w:sz w:val="20"/>
          <w:szCs w:val="20"/>
          <w:color w:val="auto"/>
        </w:rPr>
      </w:pPr>
      <w:r>
        <w:rPr>
          <w:rFonts w:ascii="Courier New" w:cs="Courier New" w:eastAsia="Courier New" w:hAnsi="Courier New"/>
          <w:sz w:val="15"/>
          <w:szCs w:val="15"/>
          <w:color w:val="auto"/>
        </w:rPr>
        <w:t>estimate. No additional pre-tax charges are expected to be recorded for these</w:t>
      </w:r>
    </w:p>
    <w:p>
      <w:pPr>
        <w:spacing w:after="0"/>
        <w:rPr>
          <w:sz w:val="20"/>
          <w:szCs w:val="20"/>
          <w:color w:val="auto"/>
        </w:rPr>
      </w:pPr>
      <w:r>
        <w:rPr>
          <w:rFonts w:ascii="Courier New" w:cs="Courier New" w:eastAsia="Courier New" w:hAnsi="Courier New"/>
          <w:sz w:val="15"/>
          <w:szCs w:val="15"/>
          <w:color w:val="auto"/>
        </w:rPr>
        <w:t>programs.</w:t>
      </w:r>
    </w:p>
    <w:p>
      <w:pPr>
        <w:spacing w:after="0" w:line="174"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During 2001, certain small Nabisco businesses were reclassified to businesses held for sale, including their estimated results of operations through anticipated sale dates. These businesses have subsequently been sold, with the exception of one business that had been held for sale since the acquisition of Nabisco. This business, which is no longer held for sale, has been included in 2002 consolidated operating results.</w:t>
      </w:r>
    </w:p>
    <w:p>
      <w:pPr>
        <w:spacing w:after="0" w:line="176"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4"/>
          <w:szCs w:val="14"/>
          <w:color w:val="auto"/>
        </w:rPr>
        <w:t>Assuming the acquisition of Nabisco occurred at the beginning of 2000, pro forma net revenues would have been approximately $30 billion and pro forma net earnings would have been $1.4 billion in 2000; while 2000 basic and diluted EPS would have been $0.96. These pro forma results, which are unaudited, do not give</w:t>
      </w:r>
    </w:p>
    <w:p>
      <w:pPr>
        <w:sectPr>
          <w:pgSz w:w="11900" w:h="16838" w:orient="portrait"/>
          <w:cols w:equalWidth="0" w:num="1">
            <w:col w:w="10219"/>
          </w:cols>
          <w:pgMar w:left="240" w:top="311" w:right="1440" w:bottom="0" w:gutter="0" w:footer="0" w:header="0"/>
        </w:sectPr>
      </w:pPr>
    </w:p>
    <w:bookmarkStart w:id="41" w:name="page42"/>
    <w:bookmarkEnd w:id="41"/>
    <w:p>
      <w:pPr>
        <w:ind w:left="10" w:right="3259"/>
        <w:spacing w:after="0" w:line="238" w:lineRule="auto"/>
        <w:rPr>
          <w:sz w:val="20"/>
          <w:szCs w:val="20"/>
          <w:color w:val="auto"/>
        </w:rPr>
      </w:pPr>
      <w:r>
        <w:rPr>
          <w:rFonts w:ascii="Courier New" w:cs="Courier New" w:eastAsia="Courier New" w:hAnsi="Courier New"/>
          <w:sz w:val="15"/>
          <w:szCs w:val="15"/>
          <w:color w:val="auto"/>
        </w:rPr>
        <w:t>effect to any synergies expected to result from the merger of Nabisco's operations with those of the Company, nor do they give effect to the reduction of interest expense from the repayment of borrowings with the proceeds from the IPO. The pro forma results also do not reflect the effects of SFAS No. 141 and 142 on the amortization of goodwill or other intangible assets. The pro forma results are not necessarily indicative of what actually would have occurred if the acquisition had been consummated and the IPO completed at the beginning of 2000, nor are they necessarily indicative of future consolidated operating results.</w:t>
      </w:r>
    </w:p>
    <w:p>
      <w:pPr>
        <w:spacing w:after="0" w:line="34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52</w:t>
      </w:r>
    </w:p>
    <w:p>
      <w:pPr>
        <w:spacing w:after="0" w:line="339" w:lineRule="exact"/>
        <w:rPr>
          <w:sz w:val="20"/>
          <w:szCs w:val="20"/>
          <w:color w:val="auto"/>
        </w:rPr>
      </w:pPr>
    </w:p>
    <w:p>
      <w:pPr>
        <w:ind w:left="2830"/>
        <w:spacing w:after="0"/>
        <w:rPr>
          <w:sz w:val="20"/>
          <w:szCs w:val="20"/>
          <w:color w:val="auto"/>
        </w:rPr>
      </w:pPr>
      <w:r>
        <w:rPr>
          <w:rFonts w:ascii="Courier New" w:cs="Courier New" w:eastAsia="Courier New" w:hAnsi="Courier New"/>
          <w:sz w:val="15"/>
          <w:szCs w:val="15"/>
          <w:color w:val="auto"/>
        </w:rPr>
        <w:t>Kraft Foods Inc.</w:t>
      </w:r>
    </w:p>
    <w:p>
      <w:pPr>
        <w:spacing w:after="0" w:line="175"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Other Acquisitions: During 2002, the Company acquired a snacks business in Turkey and a biscuits business in Australia. The total cost of these and other smaller acquisitions was $122 million.</w:t>
      </w:r>
    </w:p>
    <w:p>
      <w:pPr>
        <w:spacing w:after="0" w:line="175" w:lineRule="exact"/>
        <w:rPr>
          <w:sz w:val="20"/>
          <w:szCs w:val="20"/>
          <w:color w:val="auto"/>
        </w:rPr>
      </w:pPr>
    </w:p>
    <w:p>
      <w:pPr>
        <w:ind w:left="10" w:right="3439"/>
        <w:spacing w:after="0" w:line="260" w:lineRule="auto"/>
        <w:rPr>
          <w:sz w:val="20"/>
          <w:szCs w:val="20"/>
          <w:color w:val="auto"/>
        </w:rPr>
      </w:pPr>
      <w:r>
        <w:rPr>
          <w:rFonts w:ascii="Courier New" w:cs="Courier New" w:eastAsia="Courier New" w:hAnsi="Courier New"/>
          <w:sz w:val="14"/>
          <w:szCs w:val="14"/>
          <w:color w:val="auto"/>
        </w:rPr>
        <w:t>During 2001, the Company purchased coffee businesses in Romania, Morocco and Bulgaria and also acquired confectionery businesses in Russia and Poland. The total cost of these and other smaller acquisitions was $194 million.</w:t>
      </w:r>
    </w:p>
    <w:p>
      <w:pPr>
        <w:spacing w:after="0" w:line="163" w:lineRule="exact"/>
        <w:rPr>
          <w:sz w:val="20"/>
          <w:szCs w:val="20"/>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During 2000, the Company purchased Balance Bar Co. and Boca Burger, Inc. The total cost of these and other smaller acquisitions was $365 million.</w:t>
      </w:r>
    </w:p>
    <w:p>
      <w:pPr>
        <w:spacing w:after="0" w:line="176"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The effects of these acquisitions were not material to the Company's consolidated financial position or results of operations in any of the periods presented.</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6. Inventories:</w:t>
      </w:r>
    </w:p>
    <w:p>
      <w:pPr>
        <w:spacing w:after="0" w:line="175"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The cost of approximately 49% and 54% of inventories in 2002 and 2001, respectively, was determined using the LIFO method. The stated LIFO amounts of inventories were approximately $215 million and $150 million higher than the current cost of inventories at December 31, 2002 and 2001, respectively.</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7. Short-Term Borrowings and Borrowing Arrangements: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At December 31, 2002 and 2001, the Company had short-term borrowings of $1,621</w:t>
      </w:r>
    </w:p>
    <w:p>
      <w:pPr>
        <w:ind w:left="10"/>
        <w:spacing w:after="0"/>
        <w:rPr>
          <w:sz w:val="20"/>
          <w:szCs w:val="20"/>
          <w:color w:val="auto"/>
        </w:rPr>
      </w:pPr>
      <w:r>
        <w:rPr>
          <w:rFonts w:ascii="Courier New" w:cs="Courier New" w:eastAsia="Courier New" w:hAnsi="Courier New"/>
          <w:sz w:val="15"/>
          <w:szCs w:val="15"/>
          <w:color w:val="auto"/>
        </w:rPr>
        <w:t>million and $2,681 million, respectively, consisting principally of commercial</w:t>
      </w:r>
    </w:p>
    <w:p>
      <w:pPr>
        <w:ind w:left="10"/>
        <w:spacing w:after="0"/>
        <w:rPr>
          <w:sz w:val="20"/>
          <w:szCs w:val="20"/>
          <w:color w:val="auto"/>
        </w:rPr>
      </w:pPr>
      <w:r>
        <w:rPr>
          <w:rFonts w:ascii="Courier New" w:cs="Courier New" w:eastAsia="Courier New" w:hAnsi="Courier New"/>
          <w:sz w:val="15"/>
          <w:szCs w:val="15"/>
          <w:color w:val="auto"/>
        </w:rPr>
        <w:t>paper borrowings with an average year-end interest rate of 1.3% and 1.9%,</w:t>
      </w:r>
    </w:p>
    <w:p>
      <w:pPr>
        <w:ind w:left="10"/>
        <w:spacing w:after="0" w:line="238" w:lineRule="auto"/>
        <w:rPr>
          <w:sz w:val="20"/>
          <w:szCs w:val="20"/>
          <w:color w:val="auto"/>
        </w:rPr>
      </w:pPr>
      <w:r>
        <w:rPr>
          <w:rFonts w:ascii="Courier New" w:cs="Courier New" w:eastAsia="Courier New" w:hAnsi="Courier New"/>
          <w:sz w:val="15"/>
          <w:szCs w:val="15"/>
          <w:color w:val="auto"/>
        </w:rPr>
        <w:t>respectively. Of these amounts, the Company reclassified $1,401 million and</w:t>
      </w:r>
    </w:p>
    <w:p>
      <w:pPr>
        <w:ind w:left="10"/>
        <w:spacing w:after="0"/>
        <w:rPr>
          <w:sz w:val="20"/>
          <w:szCs w:val="20"/>
          <w:color w:val="auto"/>
        </w:rPr>
      </w:pPr>
      <w:r>
        <w:rPr>
          <w:rFonts w:ascii="Courier New" w:cs="Courier New" w:eastAsia="Courier New" w:hAnsi="Courier New"/>
          <w:sz w:val="15"/>
          <w:szCs w:val="15"/>
          <w:color w:val="auto"/>
        </w:rPr>
        <w:t>$2,000 million, respectively, of the commercial paper borrowings to long-term</w:t>
      </w:r>
    </w:p>
    <w:p>
      <w:pPr>
        <w:ind w:left="10"/>
        <w:spacing w:after="0"/>
        <w:rPr>
          <w:sz w:val="20"/>
          <w:szCs w:val="20"/>
          <w:color w:val="auto"/>
        </w:rPr>
      </w:pPr>
      <w:r>
        <w:rPr>
          <w:rFonts w:ascii="Courier New" w:cs="Courier New" w:eastAsia="Courier New" w:hAnsi="Courier New"/>
          <w:sz w:val="15"/>
          <w:szCs w:val="15"/>
          <w:color w:val="auto"/>
        </w:rPr>
        <w:t>debt based upon its intent and ability to refinance these borrowings on a</w:t>
      </w:r>
    </w:p>
    <w:p>
      <w:pPr>
        <w:ind w:left="10"/>
        <w:spacing w:after="0" w:line="238" w:lineRule="auto"/>
        <w:rPr>
          <w:sz w:val="20"/>
          <w:szCs w:val="20"/>
          <w:color w:val="auto"/>
        </w:rPr>
      </w:pPr>
      <w:r>
        <w:rPr>
          <w:rFonts w:ascii="Courier New" w:cs="Courier New" w:eastAsia="Courier New" w:hAnsi="Courier New"/>
          <w:sz w:val="15"/>
          <w:szCs w:val="15"/>
          <w:color w:val="auto"/>
        </w:rPr>
        <w:t>long-term basis.</w:t>
      </w:r>
    </w:p>
    <w:p>
      <w:pPr>
        <w:spacing w:after="0" w:line="17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The fair values of the Company's short-term borrowings at December 31, 2002 and 2001, based upon current market interest rates, approximate the amounts disclosed above.</w:t>
      </w:r>
    </w:p>
    <w:p>
      <w:pPr>
        <w:spacing w:after="0" w:line="175"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The Company has a $2.0 billion 5-year revolving credit facility maturing in July 2006 and a $3.0 billion 364-day revolving credit facility maturing in July 2003. The Company intends to use these credit facilities to support commercial paper borrowings, the proceeds of which will be used for general corporate purposes. None of these facilities were drawn at December 31, 2002. These facilities require the maintenance of a minimum net worth. The Company met this covenant at December 31, 2002. In addition, the Company maintains credit lines with a number of lending institutions amounting to approximately $577 million. The Company maintains these credit lines primarily to meet the short-term working capital needs of its international businesses. The foregoing revolving credit facilities do not include any other financial tests, any credit rating triggers or any provisions that could require the posting of collateral.</w:t>
      </w:r>
    </w:p>
    <w:p>
      <w:pPr>
        <w:spacing w:after="0" w:line="16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8. Long-Term Debt:</w:t>
      </w:r>
    </w:p>
    <w:p>
      <w:pPr>
        <w:spacing w:after="0" w:line="175" w:lineRule="exact"/>
        <w:rPr>
          <w:sz w:val="20"/>
          <w:szCs w:val="20"/>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At December 31, 2002 and 2001, the Company's long-term debt consisted of the following:</w:t>
      </w:r>
    </w:p>
    <w:p>
      <w:pPr>
        <w:spacing w:after="0" w:line="176" w:lineRule="exact"/>
        <w:rPr>
          <w:sz w:val="20"/>
          <w:szCs w:val="20"/>
          <w:color w:val="auto"/>
        </w:rPr>
      </w:pPr>
    </w:p>
    <w:p>
      <w:pPr>
        <w:ind w:left="50"/>
        <w:spacing w:after="0"/>
        <w:rPr>
          <w:sz w:val="20"/>
          <w:szCs w:val="20"/>
          <w:color w:val="auto"/>
        </w:rPr>
      </w:pPr>
      <w:r>
        <w:rPr>
          <w:rFonts w:ascii="Courier New" w:cs="Courier New" w:eastAsia="Courier New" w:hAnsi="Courier New"/>
          <w:sz w:val="14"/>
          <w:szCs w:val="14"/>
          <w:color w:val="auto"/>
        </w:rPr>
        <w:t>(in millions) - ---------------------------------------------------------------</w:t>
      </w:r>
    </w:p>
    <w:p>
      <w:pPr>
        <w:spacing w:after="0" w:line="11" w:lineRule="exact"/>
        <w:rPr>
          <w:sz w:val="20"/>
          <w:szCs w:val="20"/>
          <w:color w:val="auto"/>
        </w:rPr>
      </w:pPr>
    </w:p>
    <w:p>
      <w:pPr>
        <w:ind w:left="50"/>
        <w:spacing w:after="0"/>
        <w:rPr>
          <w:sz w:val="20"/>
          <w:szCs w:val="20"/>
          <w:color w:val="auto"/>
        </w:rPr>
      </w:pPr>
      <w:r>
        <w:rPr>
          <w:rFonts w:ascii="Courier New" w:cs="Courier New" w:eastAsia="Courier New" w:hAnsi="Courier New"/>
          <w:sz w:val="14"/>
          <w:szCs w:val="14"/>
          <w:color w:val="auto"/>
        </w:rPr>
        <w:t>----------------- 2002 2001 - -------------------------------------------------</w:t>
      </w:r>
    </w:p>
    <w:p>
      <w:pPr>
        <w:spacing w:after="0" w:line="5"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 Short-term borrowings, reclassified as long-</w:t>
      </w:r>
    </w:p>
    <w:p>
      <w:pPr>
        <w:spacing w:after="0" w:line="5" w:lineRule="exact"/>
        <w:rPr>
          <w:sz w:val="20"/>
          <w:szCs w:val="20"/>
          <w:color w:val="auto"/>
        </w:rPr>
      </w:pPr>
    </w:p>
    <w:p>
      <w:pPr>
        <w:jc w:val="both"/>
        <w:ind w:left="50" w:right="3219" w:firstLine="44"/>
        <w:spacing w:after="0" w:line="256" w:lineRule="auto"/>
        <w:rPr>
          <w:sz w:val="20"/>
          <w:szCs w:val="20"/>
          <w:color w:val="auto"/>
        </w:rPr>
      </w:pPr>
      <w:r>
        <w:rPr>
          <w:rFonts w:ascii="Courier New" w:cs="Courier New" w:eastAsia="Courier New" w:hAnsi="Courier New"/>
          <w:sz w:val="14"/>
          <w:szCs w:val="14"/>
          <w:color w:val="auto"/>
        </w:rPr>
        <w:t>term debt $ 1,401 $2,000 Notes, 4.63% to 7.55% (average effective rate 5.53%), due through 2035 9,053 6,229 7% Debenture (effective rate 11.32%), $200 million face amount, due 2011 153 258 Foreign currency obligations 117 136 Other 44 51</w:t>
      </w:r>
    </w:p>
    <w:p>
      <w:pPr>
        <w:spacing w:after="0" w:line="1" w:lineRule="exact"/>
        <w:rPr>
          <w:sz w:val="20"/>
          <w:szCs w:val="20"/>
          <w:color w:val="auto"/>
        </w:rPr>
      </w:pPr>
    </w:p>
    <w:p>
      <w:pPr>
        <w:ind w:left="230" w:hanging="186"/>
        <w:spacing w:after="0"/>
        <w:tabs>
          <w:tab w:leader="none" w:pos="23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390" w:hanging="346"/>
        <w:spacing w:after="0"/>
        <w:tabs>
          <w:tab w:leader="none" w:pos="390"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10,768 8,674 Less current portion of long-term debt (352) (540) - ---------</w:t>
      </w:r>
    </w:p>
    <w:p>
      <w:pPr>
        <w:spacing w:after="0" w:line="11" w:lineRule="exact"/>
        <w:rPr>
          <w:sz w:val="20"/>
          <w:szCs w:val="20"/>
          <w:color w:val="auto"/>
        </w:rPr>
      </w:pPr>
    </w:p>
    <w:p>
      <w:pPr>
        <w:ind w:left="50"/>
        <w:spacing w:after="0"/>
        <w:rPr>
          <w:sz w:val="20"/>
          <w:szCs w:val="20"/>
          <w:color w:val="auto"/>
        </w:rPr>
      </w:pPr>
      <w:r>
        <w:rPr>
          <w:rFonts w:ascii="Courier New" w:cs="Courier New" w:eastAsia="Courier New" w:hAnsi="Courier New"/>
          <w:sz w:val="14"/>
          <w:szCs w:val="14"/>
          <w:color w:val="auto"/>
        </w:rPr>
        <w:t>----------------------------------------------------------------------- $10,416</w:t>
      </w:r>
    </w:p>
    <w:p>
      <w:pPr>
        <w:spacing w:after="0" w:line="5"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$8,134</w:t>
      </w:r>
    </w:p>
    <w:p>
      <w:pPr>
        <w:spacing w:after="0" w:line="5"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left="10" w:right="3979"/>
        <w:spacing w:after="0" w:line="235" w:lineRule="auto"/>
        <w:rPr>
          <w:sz w:val="20"/>
          <w:szCs w:val="20"/>
          <w:color w:val="auto"/>
        </w:rPr>
      </w:pPr>
      <w:r>
        <w:rPr>
          <w:rFonts w:ascii="Courier New" w:cs="Courier New" w:eastAsia="Courier New" w:hAnsi="Courier New"/>
          <w:sz w:val="15"/>
          <w:szCs w:val="15"/>
          <w:color w:val="auto"/>
        </w:rPr>
        <w:t>Aggregate maturities of long-term debt, excluding short-term borrowings reclassified as long-term debt, are as follows:</w:t>
      </w:r>
    </w:p>
    <w:p>
      <w:pPr>
        <w:spacing w:after="0" w:line="170"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5"/>
          <w:szCs w:val="15"/>
          <w:color w:val="auto"/>
        </w:rPr>
        <w:t>(in</w:t>
      </w:r>
    </w:p>
    <w:p>
      <w:pPr>
        <w:jc w:val="center"/>
        <w:ind w:right="9330"/>
        <w:spacing w:after="0"/>
        <w:rPr>
          <w:sz w:val="20"/>
          <w:szCs w:val="20"/>
          <w:color w:val="auto"/>
        </w:rPr>
      </w:pPr>
      <w:r>
        <w:rPr>
          <w:rFonts w:ascii="Courier New" w:cs="Courier New" w:eastAsia="Courier New" w:hAnsi="Courier New"/>
          <w:sz w:val="15"/>
          <w:szCs w:val="15"/>
          <w:color w:val="auto"/>
        </w:rPr>
        <w:t>millions)</w:t>
      </w:r>
    </w:p>
    <w:p>
      <w:pPr>
        <w:ind w:left="170" w:hanging="170"/>
        <w:spacing w:after="0"/>
        <w:tabs>
          <w:tab w:leader="none" w:pos="17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10" w:hanging="265"/>
        <w:spacing w:after="0"/>
        <w:tabs>
          <w:tab w:leader="none" w:pos="31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2003 $</w:t>
      </w:r>
    </w:p>
    <w:p>
      <w:pPr>
        <w:sectPr>
          <w:pgSz w:w="11900" w:h="16838" w:orient="portrait"/>
          <w:cols w:equalWidth="0" w:num="1">
            <w:col w:w="10229"/>
          </w:cols>
          <w:pgMar w:left="230" w:top="141" w:right="1440" w:bottom="0" w:gutter="0" w:footer="0" w:header="0"/>
        </w:sectPr>
      </w:pPr>
    </w:p>
    <w:bookmarkStart w:id="42" w:name="page43"/>
    <w:bookmarkEnd w:id="42"/>
    <w:p>
      <w:pPr>
        <w:ind w:left="440" w:hanging="361"/>
        <w:spacing w:after="0"/>
        <w:tabs>
          <w:tab w:leader="none" w:pos="4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2004</w:t>
      </w:r>
    </w:p>
    <w:p>
      <w:pPr>
        <w:ind w:left="440" w:hanging="361"/>
        <w:spacing w:after="0"/>
        <w:tabs>
          <w:tab w:leader="none" w:pos="4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2005</w:t>
      </w:r>
    </w:p>
    <w:p>
      <w:pPr>
        <w:ind w:left="440" w:hanging="361"/>
        <w:spacing w:after="0"/>
        <w:tabs>
          <w:tab w:leader="none" w:pos="4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2006</w:t>
      </w:r>
    </w:p>
    <w:p>
      <w:pPr>
        <w:spacing w:after="0" w:line="5" w:lineRule="exact"/>
        <w:rPr>
          <w:sz w:val="20"/>
          <w:szCs w:val="20"/>
          <w:color w:val="auto"/>
        </w:rPr>
      </w:pPr>
    </w:p>
    <w:p>
      <w:pPr>
        <w:jc w:val="center"/>
        <w:ind w:right="9339"/>
        <w:spacing w:after="0"/>
        <w:rPr>
          <w:sz w:val="20"/>
          <w:szCs w:val="20"/>
          <w:color w:val="auto"/>
        </w:rPr>
      </w:pPr>
      <w:r>
        <w:rPr>
          <w:rFonts w:ascii="Courier New" w:cs="Courier New" w:eastAsia="Courier New" w:hAnsi="Courier New"/>
          <w:sz w:val="14"/>
          <w:szCs w:val="14"/>
          <w:color w:val="auto"/>
        </w:rPr>
        <w:t>1,255 2007</w:t>
      </w:r>
    </w:p>
    <w:p>
      <w:pPr>
        <w:spacing w:after="0" w:line="5" w:lineRule="exact"/>
        <w:rPr>
          <w:sz w:val="20"/>
          <w:szCs w:val="20"/>
          <w:color w:val="auto"/>
        </w:rPr>
      </w:pPr>
    </w:p>
    <w:p>
      <w:pPr>
        <w:jc w:val="center"/>
        <w:ind w:right="9339"/>
        <w:spacing w:after="0"/>
        <w:rPr>
          <w:sz w:val="20"/>
          <w:szCs w:val="20"/>
          <w:color w:val="auto"/>
        </w:rPr>
      </w:pPr>
      <w:r>
        <w:rPr>
          <w:rFonts w:ascii="Courier New" w:cs="Courier New" w:eastAsia="Courier New" w:hAnsi="Courier New"/>
          <w:sz w:val="15"/>
          <w:szCs w:val="15"/>
          <w:color w:val="auto"/>
        </w:rPr>
        <w:t>1,395</w:t>
      </w:r>
    </w:p>
    <w:p>
      <w:pPr>
        <w:jc w:val="center"/>
        <w:ind w:right="9339"/>
        <w:spacing w:after="0"/>
        <w:rPr>
          <w:sz w:val="20"/>
          <w:szCs w:val="20"/>
          <w:color w:val="auto"/>
        </w:rPr>
      </w:pPr>
      <w:r>
        <w:rPr>
          <w:rFonts w:ascii="Courier New" w:cs="Courier New" w:eastAsia="Courier New" w:hAnsi="Courier New"/>
          <w:sz w:val="15"/>
          <w:szCs w:val="15"/>
          <w:color w:val="auto"/>
        </w:rPr>
        <w:t>2008-2012</w:t>
      </w:r>
    </w:p>
    <w:p>
      <w:pPr>
        <w:jc w:val="center"/>
        <w:ind w:right="9339"/>
        <w:spacing w:after="0"/>
        <w:rPr>
          <w:sz w:val="20"/>
          <w:szCs w:val="20"/>
          <w:color w:val="auto"/>
        </w:rPr>
      </w:pPr>
      <w:r>
        <w:rPr>
          <w:rFonts w:ascii="Courier New" w:cs="Courier New" w:eastAsia="Courier New" w:hAnsi="Courier New"/>
          <w:sz w:val="15"/>
          <w:szCs w:val="15"/>
          <w:color w:val="auto"/>
        </w:rPr>
        <w:t>3,701</w:t>
      </w:r>
    </w:p>
    <w:p>
      <w:pPr>
        <w:spacing w:after="0" w:line="238" w:lineRule="auto"/>
        <w:rPr>
          <w:sz w:val="20"/>
          <w:szCs w:val="20"/>
          <w:color w:val="auto"/>
        </w:rPr>
      </w:pPr>
      <w:r>
        <w:rPr>
          <w:rFonts w:ascii="Courier New" w:cs="Courier New" w:eastAsia="Courier New" w:hAnsi="Courier New"/>
          <w:sz w:val="15"/>
          <w:szCs w:val="15"/>
          <w:color w:val="auto"/>
        </w:rPr>
        <w:t>Thereafter</w:t>
      </w:r>
    </w:p>
    <w:p>
      <w:pPr>
        <w:spacing w:after="0"/>
        <w:rPr>
          <w:sz w:val="20"/>
          <w:szCs w:val="20"/>
          <w:color w:val="auto"/>
        </w:rPr>
      </w:pPr>
      <w:r>
        <w:rPr>
          <w:rFonts w:ascii="Courier New" w:cs="Courier New" w:eastAsia="Courier New" w:hAnsi="Courier New"/>
          <w:sz w:val="15"/>
          <w:szCs w:val="15"/>
          <w:color w:val="auto"/>
        </w:rPr>
        <w:t>1,141 - --</w:t>
      </w:r>
    </w:p>
    <w:p>
      <w:pPr>
        <w:spacing w:after="0"/>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ind w:left="80"/>
        <w:spacing w:after="0"/>
        <w:rPr>
          <w:sz w:val="20"/>
          <w:szCs w:val="20"/>
          <w:color w:val="auto"/>
        </w:rPr>
      </w:pPr>
      <w:r>
        <w:rPr>
          <w:rFonts w:ascii="Courier New" w:cs="Courier New" w:eastAsia="Courier New" w:hAnsi="Courier New"/>
          <w:sz w:val="15"/>
          <w:szCs w:val="15"/>
          <w:color w:val="auto"/>
        </w:rPr>
        <w:t>--------</w:t>
      </w:r>
    </w:p>
    <w:p>
      <w:pPr>
        <w:spacing w:after="0" w:line="34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Based on market quotes, where available, or interest rates currently available to the Company for issuance of debt with similar terms and remaining maturities, the aggregate fair value of the Company's long-term debt, including the current portion of long-term debt, was $11,544 million and $8,679 million at December 31, 2002 and 2001,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Capital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articles of incorporation authorize 3.0 billion shares of Class A</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2.0 billion shares of Class B common stock and 500 million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preferred stock. On June 21, 2002, the Company's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approved the repurchase from time to time of up to $500 million of the Company's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A common stock solely to satisfy the obligations of the Company under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 Kraft Performance Incentive Plan, the Kraft Director Plan for non-employee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other plans where options to purchase the Company's Class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are granted. During 2002, the Company repurchased approximately 4.4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shares of its Class A common stock at a cost of $170 million.</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Kraft Foods Inc.</w:t>
      </w:r>
    </w:p>
    <w:p>
      <w:pPr>
        <w:spacing w:after="0" w:line="17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Shares of Class A common stock issued, repurchased and outstanding were as follows:</w:t>
      </w:r>
    </w:p>
    <w:p>
      <w:pPr>
        <w:spacing w:after="0" w:line="176" w:lineRule="exact"/>
        <w:rPr>
          <w:sz w:val="20"/>
          <w:szCs w:val="20"/>
          <w:color w:val="auto"/>
        </w:rPr>
      </w:pPr>
    </w:p>
    <w:p>
      <w:pPr>
        <w:ind w:left="220" w:hanging="186"/>
        <w:spacing w:after="0"/>
        <w:tabs>
          <w:tab w:leader="none" w:pos="2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300" w:hanging="266"/>
        <w:spacing w:after="0"/>
        <w:tabs>
          <w:tab w:leader="none" w:pos="300"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Net Shares Shares Issued Repurchased Outstanding - ------------------</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 Balance at</w:t>
      </w:r>
    </w:p>
    <w:p>
      <w:pPr>
        <w:jc w:val="center"/>
        <w:ind w:right="3179"/>
        <w:spacing w:after="0"/>
        <w:rPr>
          <w:sz w:val="20"/>
          <w:szCs w:val="20"/>
          <w:color w:val="auto"/>
        </w:rPr>
      </w:pPr>
      <w:r>
        <w:rPr>
          <w:rFonts w:ascii="Courier New" w:cs="Courier New" w:eastAsia="Courier New" w:hAnsi="Courier New"/>
          <w:sz w:val="15"/>
          <w:szCs w:val="15"/>
          <w:color w:val="auto"/>
        </w:rPr>
        <w:t>January 1, 2002 555,000,000 -- 555,000,000 Repurchase of shares (4,383,150)</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(4,383,150) Exercise of stock options 2,000 2,000 -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Balance at December 31,</w:t>
      </w:r>
    </w:p>
    <w:p>
      <w:pPr>
        <w:jc w:val="center"/>
        <w:ind w:right="3179"/>
        <w:spacing w:after="0"/>
        <w:rPr>
          <w:sz w:val="20"/>
          <w:szCs w:val="20"/>
          <w:color w:val="auto"/>
        </w:rPr>
      </w:pPr>
      <w:r>
        <w:rPr>
          <w:rFonts w:ascii="Courier New" w:cs="Courier New" w:eastAsia="Courier New" w:hAnsi="Courier New"/>
          <w:sz w:val="15"/>
          <w:szCs w:val="15"/>
          <w:color w:val="auto"/>
        </w:rPr>
        <w:t>2002 555,000,000 (4,381,150) 550,618,850</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addition, 1.18 billion Class B common shares were issued and outstanding at December 31, 2002 and 2001. Altria Group, Inc. holds 276.6 million Class A common shares and all of the Class B common shares at December 31, 2002. There are no preferred shares issued and outstanding. Class A common shares are entitled to one vote each, while Class B common shares are entitled to ten votes each. Therefore, Altria Group, Inc. holds 97.8% of the combined voting power of the Company's outstanding capital stock at December 31, 2002. At December 31, 2002, 75,911,430 shares of common stock were reserved for stock options and other stock awards.</w:t>
      </w:r>
    </w:p>
    <w:p>
      <w:pPr>
        <w:spacing w:after="0" w:line="179"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Concurrent with the IPO, certain employees of Altria Group, Inc. and its subsidiaries received a one-time grant of options to purchase shares of the Company's Class A common stock held by Altria Group, Inc. at the IPO price of $31.00 per share. In order to completely satisfy this obligation and maintain its current percentage ownership of the Company, Altria Group, Inc. purchased 1.6 million shares of the Company's Class A common stock in open market transactions during 2002.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Stock Plans: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Company's Board of Directors adopted the 2001 Kraft Performance Incentive Plan (the "Plan"), which was established concurrently with the IPO. Under the Plan, the Company may grant stock options, stock appreciation rights, restricted stock, reload options and other awards based on the Company's Class A common stock, as well as performance-based annual and long-term incentive awards. A maximum of 75 million shares of the Company's Class A common stock may be issued under the Plan. The Company's Board of Directors granted options for 21,029,777 shares of Class A common stock concurrent with the closing date of the IPO (June 13, 2001) at an exercise price equal to the IPO price of $31.00 per share. A portion of the shares granted (18,904,637) becomes exercisable on January 31, 2003, and will expire ten years from the date of the grant. The remainder of the shares granted (2,125,140) may become exercisable on a schedule based on total shareholder return for the Company's Class A common stock during the three years following the date of the grant, or will become exercisable five years from the date of the grant. These options will also expire ten years from the date of the grant. Shares available to be granted under the Plan at December 31, 2002 were 56,135,543.</w:t>
      </w:r>
    </w:p>
    <w:p>
      <w:pPr>
        <w:spacing w:after="0" w:line="187" w:lineRule="exact"/>
        <w:rPr>
          <w:sz w:val="20"/>
          <w:szCs w:val="20"/>
          <w:color w:val="auto"/>
        </w:rPr>
      </w:pPr>
    </w:p>
    <w:p>
      <w:pPr>
        <w:ind w:right="3179"/>
        <w:spacing w:after="0" w:line="260" w:lineRule="auto"/>
        <w:rPr>
          <w:sz w:val="20"/>
          <w:szCs w:val="20"/>
          <w:color w:val="auto"/>
        </w:rPr>
      </w:pPr>
      <w:r>
        <w:rPr>
          <w:rFonts w:ascii="Courier New" w:cs="Courier New" w:eastAsia="Courier New" w:hAnsi="Courier New"/>
          <w:sz w:val="14"/>
          <w:szCs w:val="14"/>
          <w:color w:val="auto"/>
        </w:rPr>
        <w:t>The Company's Board of Directors has also adopted the Kraft Director Plan. Under the Kraft Director Plan, awards are granted only to members of the Board of Directors who are not full-time employees of the Company or Altria Group, Inc.,</w:t>
      </w:r>
    </w:p>
    <w:p>
      <w:pPr>
        <w:sectPr>
          <w:pgSz w:w="11900" w:h="16838" w:orient="portrait"/>
          <w:cols w:equalWidth="0" w:num="1">
            <w:col w:w="10219"/>
          </w:cols>
          <w:pgMar w:left="240" w:top="136" w:right="1440" w:bottom="0" w:gutter="0" w:footer="0" w:header="0"/>
        </w:sectPr>
      </w:pPr>
    </w:p>
    <w:bookmarkStart w:id="43" w:name="page44"/>
    <w:bookmarkEnd w:id="43"/>
    <w:p>
      <w:pPr>
        <w:ind w:left="10" w:right="3259"/>
        <w:spacing w:after="0" w:line="237" w:lineRule="auto"/>
        <w:rPr>
          <w:sz w:val="20"/>
          <w:szCs w:val="20"/>
          <w:color w:val="auto"/>
        </w:rPr>
      </w:pPr>
      <w:r>
        <w:rPr>
          <w:rFonts w:ascii="Courier New" w:cs="Courier New" w:eastAsia="Courier New" w:hAnsi="Courier New"/>
          <w:sz w:val="15"/>
          <w:szCs w:val="15"/>
          <w:color w:val="auto"/>
        </w:rPr>
        <w:t>or their subsidiaries. Up to 500,000 shares of Class A common stock may be awarded under the Kraft Director Plan. During 2002 and 2001, 6,840 and 8,945 stock options were granted under the Kraft Director Plan, respectively. Shares available to be granted under the Kraft Director Plan at December 31, 2002 were 484,215.</w:t>
      </w:r>
    </w:p>
    <w:p>
      <w:pPr>
        <w:spacing w:after="0" w:line="178"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The Company accounts for the plans in accordance with the intrinsic value-based method permitted by SFAS No. 123, "Accounting for Stock-Based Compensation," which did not result in compensation cost for stock options.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Option activity was as follows for the years ended December 31, 2001 and 2002:</w:t>
      </w:r>
    </w:p>
    <w:p>
      <w:pPr>
        <w:spacing w:after="0" w:line="175" w:lineRule="exact"/>
        <w:rPr>
          <w:sz w:val="20"/>
          <w:szCs w:val="20"/>
          <w:color w:val="auto"/>
        </w:rPr>
      </w:pPr>
    </w:p>
    <w:p>
      <w:pPr>
        <w:ind w:left="230" w:hanging="186"/>
        <w:spacing w:after="0"/>
        <w:tabs>
          <w:tab w:leader="none" w:pos="23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50" w:right="3219" w:firstLine="479"/>
        <w:spacing w:after="0" w:line="256" w:lineRule="auto"/>
        <w:tabs>
          <w:tab w:leader="none" w:pos="887"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Subject Weighted Average Options to Option Exercise Price Exercisable - -----------------------------------------------------------------</w:t>
      </w:r>
    </w:p>
    <w:p>
      <w:pPr>
        <w:jc w:val="center"/>
        <w:ind w:right="3170"/>
        <w:spacing w:after="0" w:line="233" w:lineRule="auto"/>
        <w:rPr>
          <w:sz w:val="20"/>
          <w:szCs w:val="20"/>
          <w:color w:val="auto"/>
        </w:rPr>
      </w:pPr>
      <w:r>
        <w:rPr>
          <w:rFonts w:ascii="Courier New" w:cs="Courier New" w:eastAsia="Courier New" w:hAnsi="Courier New"/>
          <w:sz w:val="15"/>
          <w:szCs w:val="15"/>
          <w:color w:val="auto"/>
        </w:rPr>
        <w:t>--------------- Balance at January 1, 2001 -- $ -- -- Options granted</w:t>
      </w:r>
    </w:p>
    <w:p>
      <w:pPr>
        <w:spacing w:after="0" w:line="5"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4"/>
          <w:szCs w:val="14"/>
          <w:color w:val="auto"/>
        </w:rPr>
        <w:t>21,038,722 31.00 Options canceled (268,420) 31.00 - ---------------------------</w:t>
      </w:r>
    </w:p>
    <w:p>
      <w:pPr>
        <w:spacing w:after="0" w:line="5"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 Balance at December 31,</w:t>
      </w:r>
    </w:p>
    <w:p>
      <w:pPr>
        <w:spacing w:after="0" w:line="5"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4"/>
          <w:szCs w:val="14"/>
          <w:color w:val="auto"/>
        </w:rPr>
        <w:t>2001 20,770,302 31.00 -- Options granted 14,030 37.10 Options exercised (2,000)</w:t>
      </w:r>
    </w:p>
    <w:p>
      <w:pPr>
        <w:spacing w:after="0" w:line="11"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4"/>
          <w:szCs w:val="14"/>
          <w:color w:val="auto"/>
        </w:rPr>
        <w:t>31.00 Options canceled (1,490,660) 31.00 - ------------------------------------</w:t>
      </w:r>
    </w:p>
    <w:p>
      <w:pPr>
        <w:spacing w:after="0" w:line="5"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 Balance at December 31, 2002</w:t>
      </w:r>
    </w:p>
    <w:p>
      <w:pPr>
        <w:jc w:val="center"/>
        <w:ind w:right="3170"/>
        <w:spacing w:after="0"/>
        <w:rPr>
          <w:sz w:val="20"/>
          <w:szCs w:val="20"/>
          <w:color w:val="auto"/>
        </w:rPr>
      </w:pPr>
      <w:r>
        <w:rPr>
          <w:rFonts w:ascii="Courier New" w:cs="Courier New" w:eastAsia="Courier New" w:hAnsi="Courier New"/>
          <w:sz w:val="15"/>
          <w:szCs w:val="15"/>
          <w:color w:val="auto"/>
        </w:rPr>
        <w:t>19,291,672 31.00 696,615</w:t>
      </w:r>
    </w:p>
    <w:p>
      <w:pPr>
        <w:spacing w:after="0" w:line="5"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left="10" w:right="3879"/>
        <w:spacing w:after="0" w:line="235" w:lineRule="auto"/>
        <w:rPr>
          <w:sz w:val="20"/>
          <w:szCs w:val="20"/>
          <w:color w:val="auto"/>
        </w:rPr>
      </w:pPr>
      <w:r>
        <w:rPr>
          <w:rFonts w:ascii="Courier New" w:cs="Courier New" w:eastAsia="Courier New" w:hAnsi="Courier New"/>
          <w:sz w:val="15"/>
          <w:szCs w:val="15"/>
          <w:color w:val="auto"/>
        </w:rPr>
        <w:t>The following table summarizes the status of the Company's stock options outstanding and exercisable as of December 31, 2002:</w:t>
      </w:r>
    </w:p>
    <w:p>
      <w:pPr>
        <w:spacing w:after="0" w:line="176" w:lineRule="exact"/>
        <w:rPr>
          <w:sz w:val="20"/>
          <w:szCs w:val="20"/>
          <w:color w:val="auto"/>
        </w:rPr>
      </w:pPr>
    </w:p>
    <w:p>
      <w:pPr>
        <w:ind w:left="50"/>
        <w:spacing w:after="0"/>
        <w:rPr>
          <w:sz w:val="20"/>
          <w:szCs w:val="20"/>
          <w:color w:val="auto"/>
        </w:rPr>
      </w:pPr>
      <w:r>
        <w:rPr>
          <w:rFonts w:ascii="Courier New" w:cs="Courier New" w:eastAsia="Courier New" w:hAnsi="Courier New"/>
          <w:sz w:val="14"/>
          <w:szCs w:val="14"/>
          <w:color w:val="auto"/>
        </w:rPr>
        <w:t>Options Outstanding Options Exercisable ------------------------------------ --</w:t>
      </w:r>
    </w:p>
    <w:p>
      <w:pPr>
        <w:spacing w:after="0" w:line="5"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 Average Weighted Weighted Range of Remaining Average</w:t>
      </w:r>
    </w:p>
    <w:p>
      <w:pPr>
        <w:spacing w:after="0" w:line="5" w:lineRule="exact"/>
        <w:rPr>
          <w:sz w:val="20"/>
          <w:szCs w:val="20"/>
          <w:color w:val="auto"/>
        </w:rPr>
      </w:pPr>
    </w:p>
    <w:p>
      <w:pPr>
        <w:ind w:left="50" w:right="3219"/>
        <w:spacing w:after="0" w:line="256" w:lineRule="auto"/>
        <w:rPr>
          <w:sz w:val="20"/>
          <w:szCs w:val="20"/>
          <w:color w:val="auto"/>
        </w:rPr>
      </w:pPr>
      <w:r>
        <w:rPr>
          <w:rFonts w:ascii="Courier New" w:cs="Courier New" w:eastAsia="Courier New" w:hAnsi="Courier New"/>
          <w:sz w:val="14"/>
          <w:szCs w:val="14"/>
          <w:color w:val="auto"/>
        </w:rPr>
        <w:t>Average Exercise Number Contractual Exercise Number Exercise Prices Outstanding Life Price Exercisable Price - ------------------------------------------------</w:t>
      </w:r>
    </w:p>
    <w:p>
      <w:pPr>
        <w:ind w:left="270"/>
        <w:spacing w:after="0" w:line="233" w:lineRule="auto"/>
        <w:rPr>
          <w:sz w:val="20"/>
          <w:szCs w:val="20"/>
          <w:color w:val="auto"/>
        </w:rPr>
      </w:pPr>
      <w:r>
        <w:rPr>
          <w:rFonts w:ascii="Courier New" w:cs="Courier New" w:eastAsia="Courier New" w:hAnsi="Courier New"/>
          <w:sz w:val="15"/>
          <w:szCs w:val="15"/>
          <w:color w:val="auto"/>
        </w:rPr>
        <w:t>-------------------------------- $30.54 - $39.51 19,291,672 8 years $31.00</w:t>
      </w:r>
    </w:p>
    <w:p>
      <w:pPr>
        <w:jc w:val="center"/>
        <w:ind w:right="3170"/>
        <w:spacing w:after="0"/>
        <w:rPr>
          <w:sz w:val="20"/>
          <w:szCs w:val="20"/>
          <w:color w:val="auto"/>
        </w:rPr>
      </w:pPr>
      <w:r>
        <w:rPr>
          <w:rFonts w:ascii="Courier New" w:cs="Courier New" w:eastAsia="Courier New" w:hAnsi="Courier New"/>
          <w:sz w:val="15"/>
          <w:szCs w:val="15"/>
          <w:color w:val="auto"/>
        </w:rPr>
        <w:t>696,615 $31.08</w:t>
      </w:r>
    </w:p>
    <w:p>
      <w:pPr>
        <w:spacing w:after="0" w:line="5"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Prior to the IPO, certain employees of the Company participated in Altria Group, Inc.'s stock compensation plans. Altria Group, Inc. does not currently intend to issue additional Altria Group, Inc. stock compensation to the Company's employees, except for reloads of previously issued options. Altria Group, Inc. accounts for its plans in accordance with the intrinsic value-based method permitted by SFAS No. 123, "Accounting for Stock-Based Compensation," which did not result in compensation cost for stock options.</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54</w:t>
      </w:r>
    </w:p>
    <w:p>
      <w:pPr>
        <w:spacing w:after="0" w:line="33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Kraft Foods Inc.</w:t>
      </w:r>
    </w:p>
    <w:p>
      <w:pPr>
        <w:spacing w:after="0" w:line="175" w:lineRule="exact"/>
        <w:rPr>
          <w:sz w:val="20"/>
          <w:szCs w:val="20"/>
          <w:color w:val="auto"/>
        </w:rPr>
      </w:pPr>
    </w:p>
    <w:p>
      <w:pPr>
        <w:ind w:left="10" w:right="3259"/>
        <w:spacing w:after="0" w:line="257" w:lineRule="auto"/>
        <w:rPr>
          <w:sz w:val="20"/>
          <w:szCs w:val="20"/>
          <w:color w:val="auto"/>
        </w:rPr>
      </w:pPr>
      <w:r>
        <w:rPr>
          <w:rFonts w:ascii="Courier New" w:cs="Courier New" w:eastAsia="Courier New" w:hAnsi="Courier New"/>
          <w:sz w:val="14"/>
          <w:szCs w:val="14"/>
          <w:color w:val="auto"/>
        </w:rPr>
        <w:t>The Company's employees held options to purchase the following number of shares of Altria Group, Inc. stock: 46,615,162 shares at an average exercise price of $35.78 per share at December 31, 2002; 57,349,595 shares at an average exercise price of $34.66 per share at December 31, 2001; and 56,977,329 shares at an average exercise price of $30.46 per share at December 31, 2000. Of these amounts, the following were exercisable at each date: 46,231,629 at an average exercise price of $35.69 per share at December 31, 2002; 44,930,609 at an average exercise price of $31.95 per share at December 31, 2001; and 38,444,963 at an average exercise price of $34.82 per share at December 31, 2000.</w:t>
      </w:r>
    </w:p>
    <w:p>
      <w:pPr>
        <w:spacing w:after="0" w:line="167"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Had compensation cost for stock option awards under the Kraft plans and Altria Group, Inc. plans been determined by using the fair value at the grant date, the Company's net earnings and EPS (basic and diluted) would have been $3,316 million and $1.91 for the year ended December 31, 2002, respectively; $1,785 million and $1.11 for the year ended December 31, 2001, respectively; and $1,947 million and $1.34 for the year ended December 31, 2000, respectively. The foregoing impact of compensation cost was determined using a modified Black-Scholes methodology and the following assumptions:</w:t>
      </w:r>
    </w:p>
    <w:p>
      <w:pPr>
        <w:spacing w:after="0" w:line="172" w:lineRule="exact"/>
        <w:rPr>
          <w:sz w:val="20"/>
          <w:szCs w:val="20"/>
          <w:color w:val="auto"/>
        </w:rPr>
      </w:pPr>
    </w:p>
    <w:p>
      <w:pPr>
        <w:ind w:left="170" w:hanging="170"/>
        <w:spacing w:after="0"/>
        <w:tabs>
          <w:tab w:leader="none" w:pos="17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Weighted</w:t>
      </w:r>
    </w:p>
    <w:p>
      <w:pPr>
        <w:ind w:left="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Risk-Free</w:t>
      </w:r>
    </w:p>
    <w:p>
      <w:pPr>
        <w:ind w:left="1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Average</w:t>
      </w:r>
    </w:p>
    <w:p>
      <w:pPr>
        <w:ind w:left="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Expected</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w:t>
      </w:r>
    </w:p>
    <w:p>
      <w:pPr>
        <w:spacing w:after="0" w:line="4" w:lineRule="exact"/>
        <w:rPr>
          <w:rFonts w:ascii="Courier New" w:cs="Courier New" w:eastAsia="Courier New" w:hAnsi="Courier New"/>
          <w:sz w:val="15"/>
          <w:szCs w:val="15"/>
          <w:color w:val="auto"/>
        </w:rPr>
      </w:pPr>
    </w:p>
    <w:p>
      <w:pPr>
        <w:jc w:val="both"/>
        <w:ind w:left="10" w:right="9339" w:firstLine="88"/>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Interest Expected Expected Dividend at Grant Rate Life Volatility Yield Date</w:t>
      </w:r>
    </w:p>
    <w:p>
      <w:pPr>
        <w:ind w:left="170" w:hanging="170"/>
        <w:spacing w:after="0"/>
        <w:tabs>
          <w:tab w:leader="none" w:pos="17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9"/>
          </w:cols>
          <w:pgMar w:left="230" w:top="142" w:right="1440" w:bottom="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ind w:left="380" w:hanging="257"/>
        <w:spacing w:after="0" w:line="238" w:lineRule="auto"/>
        <w:tabs>
          <w:tab w:leader="none" w:pos="3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2002</w:t>
      </w: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Kraft</w:t>
      </w:r>
    </w:p>
    <w:p>
      <w:pPr>
        <w:jc w:val="center"/>
        <w:ind w:right="9339"/>
        <w:spacing w:after="0"/>
        <w:rPr>
          <w:sz w:val="20"/>
          <w:szCs w:val="20"/>
          <w:color w:val="auto"/>
        </w:rPr>
      </w:pPr>
      <w:r>
        <w:rPr>
          <w:rFonts w:ascii="Courier New" w:cs="Courier New" w:eastAsia="Courier New" w:hAnsi="Courier New"/>
          <w:sz w:val="15"/>
          <w:szCs w:val="15"/>
          <w:color w:val="auto"/>
        </w:rPr>
        <w:t>4.27% 5</w:t>
      </w:r>
    </w:p>
    <w:p>
      <w:pPr>
        <w:jc w:val="center"/>
        <w:ind w:right="9339"/>
        <w:spacing w:after="0" w:line="238" w:lineRule="auto"/>
        <w:rPr>
          <w:sz w:val="20"/>
          <w:szCs w:val="20"/>
          <w:color w:val="auto"/>
        </w:rPr>
      </w:pPr>
      <w:r>
        <w:rPr>
          <w:rFonts w:ascii="Courier New" w:cs="Courier New" w:eastAsia="Courier New" w:hAnsi="Courier New"/>
          <w:sz w:val="15"/>
          <w:szCs w:val="15"/>
          <w:color w:val="auto"/>
        </w:rPr>
        <w:t>years</w:t>
      </w:r>
    </w:p>
    <w:p>
      <w:pPr>
        <w:jc w:val="center"/>
        <w:ind w:right="9339"/>
        <w:spacing w:after="0"/>
        <w:rPr>
          <w:sz w:val="20"/>
          <w:szCs w:val="20"/>
          <w:color w:val="auto"/>
        </w:rPr>
      </w:pPr>
      <w:r>
        <w:rPr>
          <w:rFonts w:ascii="Courier New" w:cs="Courier New" w:eastAsia="Courier New" w:hAnsi="Courier New"/>
          <w:sz w:val="15"/>
          <w:szCs w:val="15"/>
          <w:color w:val="auto"/>
        </w:rPr>
        <w:t>28.72%</w:t>
      </w:r>
    </w:p>
    <w:p>
      <w:pPr>
        <w:jc w:val="center"/>
        <w:ind w:right="9339"/>
        <w:spacing w:after="0"/>
        <w:rPr>
          <w:sz w:val="20"/>
          <w:szCs w:val="20"/>
          <w:color w:val="auto"/>
        </w:rPr>
      </w:pPr>
      <w:r>
        <w:rPr>
          <w:rFonts w:ascii="Courier New" w:cs="Courier New" w:eastAsia="Courier New" w:hAnsi="Courier New"/>
          <w:sz w:val="15"/>
          <w:szCs w:val="15"/>
          <w:color w:val="auto"/>
        </w:rPr>
        <w:t>1.41%</w:t>
      </w:r>
    </w:p>
    <w:p>
      <w:pPr>
        <w:jc w:val="center"/>
        <w:ind w:right="9339"/>
        <w:spacing w:after="0" w:line="238" w:lineRule="auto"/>
        <w:rPr>
          <w:sz w:val="20"/>
          <w:szCs w:val="20"/>
          <w:color w:val="auto"/>
        </w:rPr>
      </w:pPr>
      <w:r>
        <w:rPr>
          <w:rFonts w:ascii="Courier New" w:cs="Courier New" w:eastAsia="Courier New" w:hAnsi="Courier New"/>
          <w:sz w:val="15"/>
          <w:szCs w:val="15"/>
          <w:color w:val="auto"/>
        </w:rPr>
        <w:t>$10.65</w:t>
      </w:r>
    </w:p>
    <w:p>
      <w:pPr>
        <w:jc w:val="center"/>
        <w:ind w:right="9339"/>
        <w:spacing w:after="0"/>
        <w:rPr>
          <w:sz w:val="20"/>
          <w:szCs w:val="20"/>
          <w:color w:val="auto"/>
        </w:rPr>
      </w:pPr>
      <w:r>
        <w:rPr>
          <w:rFonts w:ascii="Courier New" w:cs="Courier New" w:eastAsia="Courier New" w:hAnsi="Courier New"/>
          <w:sz w:val="15"/>
          <w:szCs w:val="15"/>
          <w:color w:val="auto"/>
        </w:rPr>
        <w:t>2002</w:t>
      </w:r>
    </w:p>
    <w:p>
      <w:pPr>
        <w:jc w:val="center"/>
        <w:ind w:right="9339"/>
        <w:spacing w:after="0"/>
        <w:rPr>
          <w:sz w:val="20"/>
          <w:szCs w:val="20"/>
          <w:color w:val="auto"/>
        </w:rPr>
      </w:pPr>
      <w:r>
        <w:rPr>
          <w:rFonts w:ascii="Courier New" w:cs="Courier New" w:eastAsia="Courier New" w:hAnsi="Courier New"/>
          <w:sz w:val="15"/>
          <w:szCs w:val="15"/>
          <w:color w:val="auto"/>
        </w:rPr>
        <w:t>Altria</w:t>
      </w:r>
    </w:p>
    <w:p>
      <w:pPr>
        <w:spacing w:after="0" w:line="5" w:lineRule="exact"/>
        <w:rPr>
          <w:sz w:val="20"/>
          <w:szCs w:val="20"/>
          <w:color w:val="auto"/>
        </w:rPr>
      </w:pPr>
    </w:p>
    <w:p>
      <w:pPr>
        <w:jc w:val="center"/>
        <w:ind w:right="9339"/>
        <w:spacing w:after="0"/>
        <w:rPr>
          <w:sz w:val="20"/>
          <w:szCs w:val="20"/>
          <w:color w:val="auto"/>
        </w:rPr>
      </w:pPr>
      <w:r>
        <w:rPr>
          <w:rFonts w:ascii="Courier New" w:cs="Courier New" w:eastAsia="Courier New" w:hAnsi="Courier New"/>
          <w:sz w:val="14"/>
          <w:szCs w:val="14"/>
          <w:color w:val="auto"/>
        </w:rPr>
        <w:t>Group,Inc.</w:t>
      </w:r>
    </w:p>
    <w:p>
      <w:pPr>
        <w:spacing w:after="0" w:line="5" w:lineRule="exact"/>
        <w:rPr>
          <w:sz w:val="20"/>
          <w:szCs w:val="20"/>
          <w:color w:val="auto"/>
        </w:rPr>
      </w:pPr>
    </w:p>
    <w:p>
      <w:pPr>
        <w:jc w:val="center"/>
        <w:ind w:right="9339"/>
        <w:spacing w:after="0"/>
        <w:rPr>
          <w:sz w:val="20"/>
          <w:szCs w:val="20"/>
          <w:color w:val="auto"/>
        </w:rPr>
      </w:pPr>
      <w:r>
        <w:rPr>
          <w:rFonts w:ascii="Courier New" w:cs="Courier New" w:eastAsia="Courier New" w:hAnsi="Courier New"/>
          <w:sz w:val="15"/>
          <w:szCs w:val="15"/>
          <w:color w:val="auto"/>
        </w:rPr>
        <w:t>3.44 5</w:t>
      </w:r>
    </w:p>
    <w:p>
      <w:pPr>
        <w:spacing w:after="0" w:line="5" w:lineRule="exact"/>
        <w:rPr>
          <w:sz w:val="20"/>
          <w:szCs w:val="20"/>
          <w:color w:val="auto"/>
        </w:rPr>
      </w:pPr>
    </w:p>
    <w:p>
      <w:pPr>
        <w:jc w:val="center"/>
        <w:ind w:right="9339"/>
        <w:spacing w:after="0"/>
        <w:rPr>
          <w:sz w:val="20"/>
          <w:szCs w:val="20"/>
          <w:color w:val="auto"/>
        </w:rPr>
      </w:pPr>
      <w:r>
        <w:rPr>
          <w:rFonts w:ascii="Courier New" w:cs="Courier New" w:eastAsia="Courier New" w:hAnsi="Courier New"/>
          <w:sz w:val="14"/>
          <w:szCs w:val="14"/>
          <w:color w:val="auto"/>
        </w:rPr>
        <w:t>33.57 4.96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10.02 2001</w:t>
      </w:r>
    </w:p>
    <w:p>
      <w:pPr>
        <w:spacing w:after="0"/>
        <w:rPr>
          <w:sz w:val="20"/>
          <w:szCs w:val="20"/>
          <w:color w:val="auto"/>
        </w:rPr>
      </w:pPr>
      <w:r>
        <w:rPr>
          <w:rFonts w:ascii="Courier New" w:cs="Courier New" w:eastAsia="Courier New" w:hAnsi="Courier New"/>
          <w:sz w:val="15"/>
          <w:szCs w:val="15"/>
          <w:color w:val="auto"/>
        </w:rPr>
        <w:t>Kraft 4.81</w:t>
      </w:r>
    </w:p>
    <w:p>
      <w:pPr>
        <w:ind w:left="300" w:hanging="177"/>
        <w:spacing w:after="0"/>
        <w:tabs>
          <w:tab w:leader="none" w:pos="30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29.70</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1.68 9.13</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2001</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Altria</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Group,Inc.</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4.86 5</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33.88 4.78</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10.36 2000</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Altria</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Group,Inc.</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6.58 5</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31.71 9.00</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3.19 - ---</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addition, certain of the Company's employees held shares of Altria Group, Inc. restricted stock and rights to receive shares of stock, giving these employees in most instances all of the rights of shareholders, except that they may not sell, assign, pledge or otherwise encumber such shares and rights. These shares and rights are subject to forfeiture if certain employment conditions are not met. During 2001 and 2000, Altria Group, Inc. granted to certain of the Company's U.S. employees restricted stock of 279,120 shares and 2,113,570 shares, respectively. Altria Group, Inc. also issued to certain of the Company's non-U.S. employees rights to receive 31,310 and 683,790 equivalent shares during 2001 and 2000, respectively. At December 31, 2002, restrictions on the stock, net of forfeitures, lapse as follows: 2003--84,000 shares. The fair value of the restricted shares and rights at the date of grant is amortized to expense ratably over the restriction period through a charge from Altria Group, Inc. In 2002, 2001 and 2000, the Company recorded compensation expense related to restricted stock awards of $4 million, $39 million and $23 million, respectively.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Earnings Per Share: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 and diluted EPS were calculated using the following for the years ended</w:t>
      </w:r>
    </w:p>
    <w:p>
      <w:pPr>
        <w:spacing w:after="0"/>
        <w:rPr>
          <w:sz w:val="20"/>
          <w:szCs w:val="20"/>
          <w:color w:val="auto"/>
        </w:rPr>
      </w:pPr>
      <w:r>
        <w:rPr>
          <w:rFonts w:ascii="Courier New" w:cs="Courier New" w:eastAsia="Courier New" w:hAnsi="Courier New"/>
          <w:sz w:val="15"/>
          <w:szCs w:val="15"/>
          <w:color w:val="auto"/>
        </w:rPr>
        <w:t>December 31, 2002, 2001 and 2000:</w:t>
      </w:r>
    </w:p>
    <w:p>
      <w:pPr>
        <w:spacing w:after="0" w:line="17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 millions)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----------------- 2002 2001 2000 -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Net earnings $3,394 $1,882 $2,001 - ------</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jc w:val="center"/>
        <w:ind w:right="3179"/>
        <w:spacing w:after="0"/>
        <w:rPr>
          <w:sz w:val="20"/>
          <w:szCs w:val="20"/>
          <w:color w:val="auto"/>
        </w:rPr>
      </w:pPr>
      <w:r>
        <w:rPr>
          <w:rFonts w:ascii="Courier New" w:cs="Courier New" w:eastAsia="Courier New" w:hAnsi="Courier New"/>
          <w:sz w:val="15"/>
          <w:szCs w:val="15"/>
          <w:color w:val="auto"/>
        </w:rPr>
        <w:t>Weighted average shares for basic EPS 1,734 1,610 1,455 Plus: Incremental</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shares from assumed conversions of stock options 2 - --------------------------</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 Weighted average shares</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for diluted EPS 1,736 1,610 1,455</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During June 2001, the Company completed an IPO of 280,000,000 shares of its Class A common stock. Immediately following the IPO, the Company had 1,735,000,000 Class A and B common shares outstanding.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Pre-Tax Earnings and Provision for Income Taxes:</w:t>
      </w:r>
    </w:p>
    <w:p>
      <w:pPr>
        <w:spacing w:after="0" w:line="17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Pre-tax earnings and provision for income taxes consisted of the following for the years ended December 31, 2002, 2001 and 2000:</w:t>
      </w:r>
    </w:p>
    <w:p>
      <w:pPr>
        <w:spacing w:after="0" w:line="176"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 millions)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----------------- 2002 2001 2000 -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Pre-tax earnings: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United States $3,692</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$2,282 $2,188 Outside United States 1,575 1,165 1,227 - -----------------------</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 Total pre-tax</w:t>
      </w:r>
    </w:p>
    <w:p>
      <w:pPr>
        <w:jc w:val="center"/>
        <w:ind w:right="3179"/>
        <w:spacing w:after="0"/>
        <w:rPr>
          <w:sz w:val="20"/>
          <w:szCs w:val="20"/>
          <w:color w:val="auto"/>
        </w:rPr>
      </w:pPr>
      <w:r>
        <w:rPr>
          <w:rFonts w:ascii="Courier New" w:cs="Courier New" w:eastAsia="Courier New" w:hAnsi="Courier New"/>
          <w:sz w:val="15"/>
          <w:szCs w:val="15"/>
          <w:color w:val="auto"/>
        </w:rPr>
        <w:t>earnings $5,267 $3,447 $3,415</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Provision for income taxes: United States federal: Current $ 825 $ 594 $ 572</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Deferred 265 299 218 -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------------------------ 1,090 893 790 State and local 138 112 120 -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Total</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United States 1,228 1,005 910 -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Outside United States: Current 628 445 477</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Deferred 13 115 27 - ----------------------------------------------------------</w:t>
      </w:r>
    </w:p>
    <w:p>
      <w:pPr>
        <w:sectPr>
          <w:pgSz w:w="11900" w:h="16838" w:orient="portrait"/>
          <w:cols w:equalWidth="0" w:num="1">
            <w:col w:w="10219"/>
          </w:cols>
          <w:pgMar w:left="240" w:top="136" w:right="1440" w:bottom="0" w:gutter="0" w:footer="0" w:header="0"/>
        </w:sectPr>
      </w:pPr>
    </w:p>
    <w:bookmarkStart w:id="45" w:name="page46"/>
    <w:bookmarkEnd w:id="45"/>
    <w:p>
      <w:pPr>
        <w:ind w:left="40"/>
        <w:spacing w:after="0"/>
        <w:rPr>
          <w:sz w:val="20"/>
          <w:szCs w:val="20"/>
          <w:color w:val="auto"/>
        </w:rPr>
      </w:pPr>
      <w:r>
        <w:rPr>
          <w:rFonts w:ascii="Courier New" w:cs="Courier New" w:eastAsia="Courier New" w:hAnsi="Courier New"/>
          <w:sz w:val="14"/>
          <w:szCs w:val="14"/>
          <w:color w:val="auto"/>
        </w:rPr>
        <w:t>---------------------- Total outside United States 641 560 504 - --------------</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 Total</w:t>
      </w:r>
    </w:p>
    <w:p>
      <w:pPr>
        <w:jc w:val="center"/>
        <w:ind w:right="3179"/>
        <w:spacing w:after="0"/>
        <w:rPr>
          <w:sz w:val="20"/>
          <w:szCs w:val="20"/>
          <w:color w:val="auto"/>
        </w:rPr>
      </w:pPr>
      <w:r>
        <w:rPr>
          <w:rFonts w:ascii="Courier New" w:cs="Courier New" w:eastAsia="Courier New" w:hAnsi="Courier New"/>
          <w:sz w:val="15"/>
          <w:szCs w:val="15"/>
          <w:color w:val="auto"/>
        </w:rPr>
        <w:t>provision for income taxes $1,869 $1,565 $1,414</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pacing w:after="0" w:line="200" w:lineRule="exact"/>
        <w:rPr>
          <w:sz w:val="20"/>
          <w:szCs w:val="20"/>
          <w:color w:val="auto"/>
        </w:rPr>
      </w:pPr>
    </w:p>
    <w:p>
      <w:pPr>
        <w:spacing w:after="0" w:line="30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Kraft Foods Inc.</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At December 31, 2002, applicable United States federal income taxes and foreign withholding taxes have not been provided on approximately $2.4 billion of accumulated earnings of foreign subsidiaries that are expected to be permanently reinvested. It is not practical to estimate the amount of additional taxes that might be payable on such undistributed earnings.</w:t>
      </w:r>
    </w:p>
    <w:p>
      <w:pPr>
        <w:spacing w:after="0" w:line="17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effective income tax rate on pre-tax earnings differed from the U.S. federal statutory rate for the following reasons for the years ended December 31, 2002, 2001 and 2000:</w:t>
      </w:r>
    </w:p>
    <w:p>
      <w:pPr>
        <w:spacing w:after="0" w:line="175" w:lineRule="exact"/>
        <w:rPr>
          <w:sz w:val="20"/>
          <w:szCs w:val="20"/>
          <w:color w:val="auto"/>
        </w:rPr>
      </w:pPr>
    </w:p>
    <w:p>
      <w:pPr>
        <w:ind w:left="220" w:hanging="186"/>
        <w:spacing w:after="0"/>
        <w:tabs>
          <w:tab w:leader="none" w:pos="2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380" w:hanging="346"/>
        <w:spacing w:after="0"/>
        <w:tabs>
          <w:tab w:leader="none" w:pos="380"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2002 2001 2000 - ----------------------------------------------------------</w:t>
      </w:r>
    </w:p>
    <w:p>
      <w:pPr>
        <w:spacing w:after="0" w:line="11" w:lineRule="exact"/>
        <w:rPr>
          <w:sz w:val="20"/>
          <w:szCs w:val="20"/>
          <w:color w:val="auto"/>
        </w:rPr>
      </w:pPr>
    </w:p>
    <w:p>
      <w:pPr>
        <w:ind w:left="120"/>
        <w:spacing w:after="0"/>
        <w:rPr>
          <w:sz w:val="20"/>
          <w:szCs w:val="20"/>
          <w:color w:val="auto"/>
        </w:rPr>
      </w:pPr>
      <w:r>
        <w:rPr>
          <w:rFonts w:ascii="Courier New" w:cs="Courier New" w:eastAsia="Courier New" w:hAnsi="Courier New"/>
          <w:sz w:val="14"/>
          <w:szCs w:val="14"/>
          <w:color w:val="auto"/>
        </w:rPr>
        <w:t>---------------------- U.S. federal statutory rate 35.0% 35.0% 35.0% Increase</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(decrease) resulting from: State and local income taxes, net of federal tax</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benefit 1.7 2.0 2.2 Goodwill amortization 9.4 5.2 Other (1.2) (1.0) (1.0) - ---</w:t>
      </w:r>
    </w:p>
    <w:p>
      <w:pPr>
        <w:spacing w:after="0" w:line="11" w:lineRule="exact"/>
        <w:rPr>
          <w:sz w:val="20"/>
          <w:szCs w:val="20"/>
          <w:color w:val="auto"/>
        </w:rPr>
      </w:pPr>
    </w:p>
    <w:p>
      <w:pPr>
        <w:ind w:left="1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Effective tax rate 35.5% 45.4% 41.4%</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right="3179"/>
        <w:spacing w:after="0" w:line="265" w:lineRule="auto"/>
        <w:rPr>
          <w:sz w:val="20"/>
          <w:szCs w:val="20"/>
          <w:color w:val="auto"/>
        </w:rPr>
      </w:pPr>
      <w:r>
        <w:rPr>
          <w:rFonts w:ascii="Courier New" w:cs="Courier New" w:eastAsia="Courier New" w:hAnsi="Courier New"/>
          <w:sz w:val="14"/>
          <w:szCs w:val="14"/>
          <w:color w:val="auto"/>
        </w:rPr>
        <w:t>The tax effects of temporary differences that gave rise to deferred income tax assets and liabilities consisted of the following at December 31, 2002 and 2001:</w:t>
      </w:r>
    </w:p>
    <w:p>
      <w:pPr>
        <w:spacing w:after="0" w:line="32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 millions)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----------------- 2002 2001 ---------------------------------------------------</w:t>
      </w:r>
    </w:p>
    <w:p>
      <w:pPr>
        <w:spacing w:after="0" w:line="5"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 Deferred income tax assets: Accrued</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postretirement and postemployment benefits $ 759 $ 774 Other 519 737 - --------</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 Total</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deferred income tax assets 1,278 1,511 - --------------------------------------</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 Deferred income tax liabilities:</w:t>
      </w:r>
    </w:p>
    <w:p>
      <w:pPr>
        <w:jc w:val="center"/>
        <w:ind w:right="3179"/>
        <w:spacing w:after="0"/>
        <w:rPr>
          <w:sz w:val="20"/>
          <w:szCs w:val="20"/>
          <w:color w:val="auto"/>
        </w:rPr>
      </w:pPr>
      <w:r>
        <w:rPr>
          <w:rFonts w:ascii="Courier New" w:cs="Courier New" w:eastAsia="Courier New" w:hAnsi="Courier New"/>
          <w:sz w:val="15"/>
          <w:szCs w:val="15"/>
          <w:color w:val="auto"/>
        </w:rPr>
        <w:t>Trade names (3,839) (3,847) Property, plant and equipment (1,515) (1,379)</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Prepaid pension costs (841) (850) - -------------------------------------------</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 Total deferred income tax liabilities</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(6,195) (6,076) - -------------------------------------------------------------</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 Net deferred income tax liabilities $(4,917) $(4,565)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Segment Reporting:</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Company manufactures and markets packaged retail food products, consisting principally of beverages, cheese, snacks, convenient meals and various packaged grocery products through KFNA and KFI. Reportable segments for KFNA are organized and managed principally by product category. KFNA's segments are Cheese, Meals and Enhancers; Biscuits, Snacks and Confectionery; Beverages, Desserts and Cereals; and Oscar Mayer and Pizza. KFNA's food service business within the United States and its businesses in Canada and Mexico are reported through the Cheese, Meals and Enhancers segment. KFI's operations are organized and managed by geographic location. KFI's segments are Europe, Middle East and Africa; and Latin America and Asia Pacific.</w:t>
      </w:r>
    </w:p>
    <w:p>
      <w:pPr>
        <w:spacing w:after="0" w:line="180" w:lineRule="exact"/>
        <w:rPr>
          <w:sz w:val="20"/>
          <w:szCs w:val="20"/>
          <w:color w:val="auto"/>
        </w:rPr>
      </w:pPr>
    </w:p>
    <w:p>
      <w:pPr>
        <w:jc w:val="both"/>
        <w:ind w:right="3259"/>
        <w:spacing w:after="0" w:line="256" w:lineRule="auto"/>
        <w:rPr>
          <w:sz w:val="20"/>
          <w:szCs w:val="20"/>
          <w:color w:val="auto"/>
        </w:rPr>
      </w:pPr>
      <w:r>
        <w:rPr>
          <w:rFonts w:ascii="Courier New" w:cs="Courier New" w:eastAsia="Courier New" w:hAnsi="Courier New"/>
          <w:sz w:val="14"/>
          <w:szCs w:val="14"/>
          <w:color w:val="auto"/>
        </w:rPr>
        <w:t>The Company's management reviews operating companies income to evaluate segment performance and allocate resources. Operating companies income excludes general corporate expenses and amortization of intangibles. Interest and other</w:t>
      </w:r>
    </w:p>
    <w:p>
      <w:pPr>
        <w:spacing w:after="0" w:line="1"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debt expense, net, and provision for income taxes are centrally managed and, accordingly, such items are not presented by segment since they are excluded from the measure of segment profitability reviewed by management. The Company's assets, which are principally in the United States and Europe, are managed geographically. The accounting policies of the segments are the same as those described in the Summary of Significant Accounting Policies.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Reportable segment data were as follows:</w:t>
      </w:r>
    </w:p>
    <w:p>
      <w:pPr>
        <w:spacing w:after="0" w:line="17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 millions)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For the Years Ended December 31, 2002 2001 2000 - -----------</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 Net</w:t>
      </w:r>
    </w:p>
    <w:p>
      <w:pPr>
        <w:spacing w:after="0" w:line="5" w:lineRule="exact"/>
        <w:rPr>
          <w:sz w:val="20"/>
          <w:szCs w:val="20"/>
          <w:color w:val="auto"/>
        </w:rPr>
      </w:pPr>
    </w:p>
    <w:p>
      <w:pPr>
        <w:jc w:val="center"/>
        <w:ind w:right="3179"/>
        <w:spacing w:after="0" w:line="256" w:lineRule="auto"/>
        <w:rPr>
          <w:sz w:val="20"/>
          <w:szCs w:val="20"/>
          <w:color w:val="auto"/>
        </w:rPr>
      </w:pPr>
      <w:r>
        <w:rPr>
          <w:rFonts w:ascii="Courier New" w:cs="Courier New" w:eastAsia="Courier New" w:hAnsi="Courier New"/>
          <w:sz w:val="14"/>
          <w:szCs w:val="14"/>
          <w:color w:val="auto"/>
        </w:rPr>
        <w:t>revenues: Cheese, Meals and Enhancers $ 8,877 $ 8,732 $ 7,923 Biscuits, Snacks and Confectionery 5,182 5,071 293 Beverages, Desserts and Cereals 4,412 4,237 4,267 Oscar Mayer and Pizza 3,014 2,930 2,829 - -------------------------------</w:t>
      </w:r>
    </w:p>
    <w:p>
      <w:pPr>
        <w:ind w:left="300"/>
        <w:spacing w:after="0" w:line="233" w:lineRule="auto"/>
        <w:rPr>
          <w:sz w:val="20"/>
          <w:szCs w:val="20"/>
          <w:color w:val="auto"/>
        </w:rPr>
      </w:pPr>
      <w:r>
        <w:rPr>
          <w:rFonts w:ascii="Courier New" w:cs="Courier New" w:eastAsia="Courier New" w:hAnsi="Courier New"/>
          <w:sz w:val="15"/>
          <w:szCs w:val="15"/>
          <w:color w:val="auto"/>
        </w:rPr>
        <w:t>------------------------------------------------- Total Kraft Foods North</w:t>
      </w:r>
    </w:p>
    <w:p>
      <w:pPr>
        <w:spacing w:after="0" w:line="6"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America 21,485 20,970 15,312 - ------------------------------------------------</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 Europe, Middle East and Africa 6,203 5,936</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6,398 Latin America and Asia Pacific 2,035 2,328 1,212 -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Total Kraft Foods</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International 8,238 8,264 7,610 - ---------------------------------------------</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 Net revenues $ 29,723 $29,234 $22,922</w:t>
      </w:r>
    </w:p>
    <w:p>
      <w:pPr>
        <w:spacing w:after="0" w:line="5" w:lineRule="exact"/>
        <w:rPr>
          <w:sz w:val="20"/>
          <w:szCs w:val="20"/>
          <w:color w:val="auto"/>
        </w:rPr>
      </w:pPr>
    </w:p>
    <w:p>
      <w:pPr>
        <w:jc w:val="center"/>
        <w:ind w:right="3179"/>
        <w:spacing w:after="0" w:line="256" w:lineRule="auto"/>
        <w:rPr>
          <w:sz w:val="20"/>
          <w:szCs w:val="20"/>
          <w:color w:val="auto"/>
        </w:rPr>
      </w:pPr>
      <w:r>
        <w:rPr>
          <w:rFonts w:ascii="Courier New" w:cs="Courier New" w:eastAsia="Courier New" w:hAnsi="Courier New"/>
          <w:sz w:val="14"/>
          <w:szCs w:val="14"/>
          <w:color w:val="auto"/>
        </w:rPr>
        <w:t>================================================================================ Operating companies income: Cheese, Meals and Enhancers $ 2,168 $ 2,099 $ 1,845 Biscuits, Snacks and Confectionery 1,093 966 100 Beverages, Desserts and</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Cereals 1,136 1,192 1,090 Oscar Mayer and Pizza 556 539 512 - -----------------</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 Total Kraft</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Foods North America 4,953 4,796 3,547 -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Europe, Middle East and Africa 962</w:t>
      </w:r>
    </w:p>
    <w:p>
      <w:pPr>
        <w:sectPr>
          <w:pgSz w:w="11900" w:h="16838" w:orient="portrait"/>
          <w:cols w:equalWidth="0" w:num="1">
            <w:col w:w="10219"/>
          </w:cols>
          <w:pgMar w:left="240" w:top="141" w:right="1440" w:bottom="0" w:gutter="0" w:footer="0" w:header="0"/>
        </w:sectPr>
      </w:pPr>
    </w:p>
    <w:bookmarkStart w:id="46" w:name="page47"/>
    <w:bookmarkEnd w:id="46"/>
    <w:p>
      <w:pPr>
        <w:ind w:left="40"/>
        <w:spacing w:after="0"/>
        <w:rPr>
          <w:sz w:val="20"/>
          <w:szCs w:val="20"/>
          <w:color w:val="auto"/>
        </w:rPr>
      </w:pPr>
      <w:r>
        <w:rPr>
          <w:rFonts w:ascii="Courier New" w:cs="Courier New" w:eastAsia="Courier New" w:hAnsi="Courier New"/>
          <w:sz w:val="14"/>
          <w:szCs w:val="14"/>
          <w:color w:val="auto"/>
        </w:rPr>
        <w:t>861 1,019 Latin America and Asia Pacific 368 378 189 - ------------------------</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 Total Kraft Foods</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International 1,330 1,239 1,208 - ---------------------------------------------</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 Total operating companies income 6,283</w:t>
      </w:r>
    </w:p>
    <w:p>
      <w:pPr>
        <w:jc w:val="center"/>
        <w:ind w:right="3179"/>
        <w:spacing w:after="0"/>
        <w:rPr>
          <w:sz w:val="20"/>
          <w:szCs w:val="20"/>
          <w:color w:val="auto"/>
        </w:rPr>
      </w:pPr>
      <w:r>
        <w:rPr>
          <w:rFonts w:ascii="Courier New" w:cs="Courier New" w:eastAsia="Courier New" w:hAnsi="Courier New"/>
          <w:sz w:val="15"/>
          <w:szCs w:val="15"/>
          <w:color w:val="auto"/>
        </w:rPr>
        <w:t>6,035 4,755 Amortization of intangibles (7) (962) (535) General corporate</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expenses (162) (189) (208) - --------------------------------------------------</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 Operating income 6,114 4,884 4,012 Interest and</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other debt expense, net (847) (1,437) (597) -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Earnings before income taxes</w:t>
      </w:r>
    </w:p>
    <w:p>
      <w:pPr>
        <w:jc w:val="center"/>
        <w:ind w:right="3179"/>
        <w:spacing w:after="0"/>
        <w:rPr>
          <w:sz w:val="20"/>
          <w:szCs w:val="20"/>
          <w:color w:val="auto"/>
        </w:rPr>
      </w:pPr>
      <w:r>
        <w:rPr>
          <w:rFonts w:ascii="Courier New" w:cs="Courier New" w:eastAsia="Courier New" w:hAnsi="Courier New"/>
          <w:sz w:val="15"/>
          <w:szCs w:val="15"/>
          <w:color w:val="auto"/>
        </w:rPr>
        <w:t>and minority interest $ 5,267 $ 3,447 $ 3,415</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pacing w:after="0" w:line="33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Kraft Foods Inc.</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As previously noted, the Company's international operations are managed by geographic location. Within its two geographic regions, KFI's brand portfolio spans five core consumer sectors. Net revenues by consumer sector for KFI were as follows: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Consumer Sector</w:t>
      </w:r>
    </w:p>
    <w:p>
      <w:pPr>
        <w:spacing w:after="0" w:line="17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 millions)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For the Years Ended December 31, 2002 2001 2000 -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Snacks</w:t>
      </w:r>
    </w:p>
    <w:p>
      <w:pPr>
        <w:jc w:val="center"/>
        <w:ind w:right="3179"/>
        <w:spacing w:after="0"/>
        <w:rPr>
          <w:sz w:val="20"/>
          <w:szCs w:val="20"/>
          <w:color w:val="auto"/>
        </w:rPr>
      </w:pPr>
      <w:r>
        <w:rPr>
          <w:rFonts w:ascii="Courier New" w:cs="Courier New" w:eastAsia="Courier New" w:hAnsi="Courier New"/>
          <w:sz w:val="15"/>
          <w:szCs w:val="15"/>
          <w:color w:val="auto"/>
        </w:rPr>
        <w:t>$3,179 $3,077 $2,565 Beverages 2,832 2,900 3,034 Cheese 1,202 1,208 1,193</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Grocery 752 826 544 Convenient Meals 273 253 274 -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Total $8,238 $8,264 $7,610</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During 2002, the Company sold its Latin American yeast and industrial bakery ingredients business at a pre-tax gain of $69 million. This pre-tax gain was included in the operating companies income of the Latin America and Asia Pacific segment.</w:t>
      </w:r>
    </w:p>
    <w:p>
      <w:pPr>
        <w:spacing w:after="0" w:line="17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In addition, during 2002, the Company recorded a pre-tax charge of $142 million related to employee acceptances under a voluntary retirement program. During 2002, the Company also recorded pre-tax integration related charges of $115 million to consolidate production lines in North America, close a Kraft facility and for other consolidation programs. In addition, during 2002, the Company reversed $4 million related to the loss on sale of a food factory. These items were included in the operating companies income of the following segments:</w:t>
      </w:r>
    </w:p>
    <w:p>
      <w:pPr>
        <w:spacing w:after="0" w:line="16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 millions)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Integration costs Separation and a loss on sale Programs of a</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food factory - ----------------------------------------------------------------</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 Cheese, Meals and Enhancers $ 60 $ 30 Biscuits, Snacks and</w:t>
      </w:r>
    </w:p>
    <w:p>
      <w:pPr>
        <w:jc w:val="center"/>
        <w:ind w:right="3179"/>
        <w:spacing w:after="0"/>
        <w:rPr>
          <w:sz w:val="20"/>
          <w:szCs w:val="20"/>
          <w:color w:val="auto"/>
        </w:rPr>
      </w:pPr>
      <w:r>
        <w:rPr>
          <w:rFonts w:ascii="Courier New" w:cs="Courier New" w:eastAsia="Courier New" w:hAnsi="Courier New"/>
          <w:sz w:val="15"/>
          <w:szCs w:val="15"/>
          <w:color w:val="auto"/>
        </w:rPr>
        <w:t>Confectionery 3 1 Beverages, Desserts and Cereals 47 56 Oscar Mayer and Pizza</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25 7 Europe, Middle East and Africa 5 Latin America and Asia Pacific 2 17 - ---</w:t>
      </w:r>
    </w:p>
    <w:p>
      <w:pPr>
        <w:spacing w:after="0" w:line="11" w:lineRule="exact"/>
        <w:rPr>
          <w:sz w:val="20"/>
          <w:szCs w:val="20"/>
          <w:color w:val="auto"/>
        </w:rPr>
      </w:pPr>
    </w:p>
    <w:p>
      <w:pPr>
        <w:ind w:left="1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$142 $111</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During 2001, the Company recorded pre-tax charges of $53 million for site reconfigurations and other consolidation programs in the United States. In addition, the Company recorded a pre-tax charge of $29 million to close a North American food factory. These pre-tax charges, which aggregate $82 million, were included in the operating companies income of the following segments: Cheese, Meals and Enhancers, $63 million; Biscuits, Snacks and Confectionery, $2 million; Beverages, Desserts and Cereals, $12 million; and Oscar Mayer and Pizza, $5 million.</w:t>
      </w:r>
    </w:p>
    <w:p>
      <w:pPr>
        <w:spacing w:after="0" w:line="178"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See Notes 4 and 5 regarding divestitures and acquisitions. The acquisition of Nabisco primarily affected the reported results of the Biscuits, Snacks and Confectionery and the Latin America and Asia Pacific segments.</w:t>
      </w:r>
    </w:p>
    <w:p>
      <w:pPr>
        <w:spacing w:after="0" w:line="17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 millions)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For the Years Ended December 31, 2002 2001 2000 - -----------</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3179"/>
        <w:spacing w:after="0" w:line="256" w:lineRule="auto"/>
        <w:rPr>
          <w:sz w:val="20"/>
          <w:szCs w:val="20"/>
          <w:color w:val="auto"/>
        </w:rPr>
      </w:pPr>
      <w:r>
        <w:rPr>
          <w:rFonts w:ascii="Courier New" w:cs="Courier New" w:eastAsia="Courier New" w:hAnsi="Courier New"/>
          <w:sz w:val="14"/>
          <w:szCs w:val="14"/>
          <w:color w:val="auto"/>
        </w:rPr>
        <w:t>Depreciation expense: Cheese, Meals and Enhancers $ 177 $ 163 $150 Biscuits, Snacks and Confectionery 156 152 Beverages, Desserts and Cereals 115 113 109 Oscar Mayer and Pizza 58 55 51 - ----------------------------------------------</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 Total Kraft Foods North America 506 483 310</w:t>
      </w:r>
    </w:p>
    <w:p>
      <w:pPr>
        <w:spacing w:after="0" w:line="11" w:lineRule="exact"/>
        <w:rPr>
          <w:sz w:val="20"/>
          <w:szCs w:val="20"/>
          <w:color w:val="auto"/>
        </w:rPr>
      </w:pPr>
    </w:p>
    <w:p>
      <w:pPr>
        <w:ind w:left="220" w:hanging="186"/>
        <w:spacing w:after="0"/>
        <w:tabs>
          <w:tab w:leader="none" w:pos="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40" w:right="3219" w:firstLine="82"/>
        <w:spacing w:after="0" w:line="256" w:lineRule="auto"/>
        <w:tabs>
          <w:tab w:leader="none" w:pos="481"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Europe, Middle East and Africa 167 158 163 Latin America and Asia Pacific 36 39 26 - --------------------------------------------------------------------</w:t>
      </w: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Total Kraft Foods International 203 197 189 -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Total depreciation</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expense $ 709 $ 680 $499</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jc w:val="center"/>
        <w:ind w:right="3179"/>
        <w:spacing w:after="0" w:line="256" w:lineRule="auto"/>
        <w:rPr>
          <w:sz w:val="20"/>
          <w:szCs w:val="20"/>
          <w:color w:val="auto"/>
        </w:rPr>
      </w:pPr>
      <w:r>
        <w:rPr>
          <w:rFonts w:ascii="Courier New" w:cs="Courier New" w:eastAsia="Courier New" w:hAnsi="Courier New"/>
          <w:sz w:val="14"/>
          <w:szCs w:val="14"/>
          <w:color w:val="auto"/>
        </w:rPr>
        <w:t>Capital expenditures: Cheese, Meals and Enhancers $ 249 $ 257 $247 Biscuits, Snacks and Confectionery 232 171 Beverages, Desserts and Cereals 194 202 193 Oscar Mayer and Pizza 133 131 148 - -------------------------------------------</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4"/>
          <w:szCs w:val="14"/>
          <w:color w:val="auto"/>
        </w:rPr>
        <w:t>------------------------------------- Total Kraft Foods North America 808 761</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588 - -------------------------------------------------------------------------</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 Europe, Middle East and Africa 265 231 239 Latin America and Asia</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Pacific 111 109 79 -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Total Kraft Foods International 376 340 318 -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Total</w:t>
      </w:r>
    </w:p>
    <w:p>
      <w:pPr>
        <w:jc w:val="center"/>
        <w:ind w:right="3179"/>
        <w:spacing w:after="0"/>
        <w:rPr>
          <w:sz w:val="20"/>
          <w:szCs w:val="20"/>
          <w:color w:val="auto"/>
        </w:rPr>
      </w:pPr>
      <w:r>
        <w:rPr>
          <w:rFonts w:ascii="Courier New" w:cs="Courier New" w:eastAsia="Courier New" w:hAnsi="Courier New"/>
          <w:sz w:val="15"/>
          <w:szCs w:val="15"/>
          <w:color w:val="auto"/>
        </w:rPr>
        <w:t>capital expenditures $1,184 $1,101 $906</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141" w:right="1440" w:bottom="0" w:gutter="0" w:footer="0" w:header="0"/>
        </w:sectPr>
      </w:pPr>
    </w:p>
    <w:bookmarkStart w:id="47" w:name="page48"/>
    <w:bookmarkEnd w:id="47"/>
    <w:p>
      <w:pPr>
        <w:jc w:val="both"/>
        <w:ind w:right="3619"/>
        <w:spacing w:after="0" w:line="237" w:lineRule="auto"/>
        <w:rPr>
          <w:sz w:val="20"/>
          <w:szCs w:val="20"/>
          <w:color w:val="auto"/>
        </w:rPr>
      </w:pPr>
      <w:r>
        <w:rPr>
          <w:rFonts w:ascii="Courier New" w:cs="Courier New" w:eastAsia="Courier New" w:hAnsi="Courier New"/>
          <w:sz w:val="15"/>
          <w:szCs w:val="15"/>
          <w:color w:val="auto"/>
        </w:rPr>
        <w:t>Geographic data for net revenues, total assets and long-lived assets (which consist of all non-current assets, other than goodwill and other intangible assets and prepaid pension assets) were as follows:</w:t>
      </w:r>
    </w:p>
    <w:p>
      <w:pPr>
        <w:spacing w:after="0" w:line="17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 millions)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For the Years Ended December 31, 2002 2001 2000 - -----------</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 Net</w:t>
      </w:r>
    </w:p>
    <w:p>
      <w:pPr>
        <w:spacing w:after="0" w:line="5" w:lineRule="exact"/>
        <w:rPr>
          <w:sz w:val="20"/>
          <w:szCs w:val="20"/>
          <w:color w:val="auto"/>
        </w:rPr>
      </w:pPr>
    </w:p>
    <w:p>
      <w:pPr>
        <w:ind w:left="40" w:right="3219" w:firstLine="45"/>
        <w:spacing w:after="0" w:line="256" w:lineRule="auto"/>
        <w:rPr>
          <w:sz w:val="20"/>
          <w:szCs w:val="20"/>
          <w:color w:val="auto"/>
        </w:rPr>
      </w:pPr>
      <w:r>
        <w:rPr>
          <w:rFonts w:ascii="Courier New" w:cs="Courier New" w:eastAsia="Courier New" w:hAnsi="Courier New"/>
          <w:sz w:val="14"/>
          <w:szCs w:val="14"/>
          <w:color w:val="auto"/>
        </w:rPr>
        <w:t>revenues: United States $19,395 $19,193 $13,947 Europe 5,908 5,667 6,222 Other 4,420 4,374 2,753 - -----------------------------------------------------------</w:t>
      </w:r>
    </w:p>
    <w:p>
      <w:pPr>
        <w:ind w:left="700"/>
        <w:spacing w:after="0" w:line="233" w:lineRule="auto"/>
        <w:rPr>
          <w:sz w:val="20"/>
          <w:szCs w:val="20"/>
          <w:color w:val="auto"/>
        </w:rPr>
      </w:pPr>
      <w:r>
        <w:rPr>
          <w:rFonts w:ascii="Courier New" w:cs="Courier New" w:eastAsia="Courier New" w:hAnsi="Courier New"/>
          <w:sz w:val="15"/>
          <w:szCs w:val="15"/>
          <w:color w:val="auto"/>
        </w:rPr>
        <w:t>--------------------- Total net revenues $29,723 $29,234 $22,922</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Total assets: United States $44,406 $44,420 $40,454 Europe 8,738 7,362 7,630</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Other 3,956 4,016 3,987 - -----------------------------------------------------</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 Total assets $57,100 $55,798 $52,071</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Long-lived assets: United States $ 6,382 $ 6,360 $ 6,684 Europe 2,432 2,132</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2,116 Other 1,596 1,668 1,912 - -----------------------------------------------</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 Total long-lived assets $10,410 $10,160</w:t>
      </w:r>
    </w:p>
    <w:p>
      <w:pPr>
        <w:jc w:val="center"/>
        <w:ind w:right="3179"/>
        <w:spacing w:after="0"/>
        <w:rPr>
          <w:sz w:val="20"/>
          <w:szCs w:val="20"/>
          <w:color w:val="auto"/>
        </w:rPr>
      </w:pPr>
      <w:r>
        <w:rPr>
          <w:rFonts w:ascii="Courier New" w:cs="Courier New" w:eastAsia="Courier New" w:hAnsi="Courier New"/>
          <w:sz w:val="15"/>
          <w:szCs w:val="15"/>
          <w:color w:val="auto"/>
        </w:rPr>
        <w:t>$10,712</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pacing w:after="0" w:line="33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Kraft Foods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Benefit Plans:</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Company sponsors noncontributory defined benefit pension plans covering substantially all U.S. employees. Pension coverage for employees of Kraft's non-U.S. subsidiaries is provided, to the extent deemed appropriate, through separate plans, many of which are governed by local statutory requirements. In addition, Kraft's U.S. and Canadian subsidiaries provide health care and other benefits to substantially all retired employees. Health care benefits for retirees outside the United States and Canada are generally covered through local government plans.</w:t>
      </w:r>
    </w:p>
    <w:p>
      <w:pPr>
        <w:spacing w:after="0" w:line="178"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PENSION PLANS: Net pension (income) cost consisted of the following for the years ended December 31, 2002, 2001 and 2000:</w:t>
      </w:r>
    </w:p>
    <w:p>
      <w:pPr>
        <w:spacing w:after="0" w:line="176"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 Millions) U.S. Plans Non-U.S. Plans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------------------------------------------- 2002 2001 2000 2002 2001 2000 - ---</w:t>
      </w:r>
    </w:p>
    <w:p>
      <w:pPr>
        <w:spacing w:after="0" w:line="11" w:lineRule="exact"/>
        <w:rPr>
          <w:sz w:val="20"/>
          <w:szCs w:val="20"/>
          <w:color w:val="auto"/>
        </w:rPr>
      </w:pPr>
    </w:p>
    <w:p>
      <w:pPr>
        <w:ind w:left="1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Service cost $ 120 $ 107 $ 69 $ 49 $ 45 $ 37 Interest cost 339 339 213 120 112</w:t>
      </w:r>
    </w:p>
    <w:p>
      <w:pPr>
        <w:jc w:val="center"/>
        <w:ind w:right="3179"/>
        <w:spacing w:after="0"/>
        <w:rPr>
          <w:sz w:val="20"/>
          <w:szCs w:val="20"/>
          <w:color w:val="auto"/>
        </w:rPr>
      </w:pPr>
      <w:r>
        <w:rPr>
          <w:rFonts w:ascii="Courier New" w:cs="Courier New" w:eastAsia="Courier New" w:hAnsi="Courier New"/>
          <w:sz w:val="15"/>
          <w:szCs w:val="15"/>
          <w:color w:val="auto"/>
        </w:rPr>
        <w:t>98 Expected return on plan assets (631) (648) (523) (134) (126) (103)</w:t>
      </w:r>
    </w:p>
    <w:p>
      <w:pPr>
        <w:spacing w:after="0" w:line="5" w:lineRule="exact"/>
        <w:rPr>
          <w:sz w:val="20"/>
          <w:szCs w:val="20"/>
          <w:color w:val="auto"/>
        </w:rPr>
      </w:pPr>
    </w:p>
    <w:p>
      <w:pPr>
        <w:jc w:val="center"/>
        <w:ind w:right="3179"/>
        <w:spacing w:after="0" w:line="256" w:lineRule="auto"/>
        <w:rPr>
          <w:sz w:val="20"/>
          <w:szCs w:val="20"/>
          <w:color w:val="auto"/>
        </w:rPr>
      </w:pPr>
      <w:r>
        <w:rPr>
          <w:rFonts w:ascii="Courier New" w:cs="Courier New" w:eastAsia="Courier New" w:hAnsi="Courier New"/>
          <w:sz w:val="14"/>
          <w:szCs w:val="14"/>
          <w:color w:val="auto"/>
        </w:rPr>
        <w:t>Amortization: Net gain on adoption of SFAS No. 87 (11) (1) Unrecognized net loss (gain) from experience differences 8 (21) (36) 5 (1) (1) Prior service cost 1 8 7 7 5 4 Other expense (income) 130 (12) (34) - -----------------------</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 Net pension (income)</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cost $ (33) $(227) $(315) $ 47 $ 35 $ 34</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During 2002, certain salaried employees in the United States left the Company under a voluntary early retirement program instituted in 2001. This resulted in special termination benefits and curtailment and settlement losses of $109 million in 2002. In addition, retiring employees elected lump-sum payments, resulting in settlement losses of $21 million in 2002 and settlement gains of $12 million and $34 million in 2001 and 2000, respectively.</w:t>
      </w:r>
    </w:p>
    <w:p>
      <w:pPr>
        <w:spacing w:after="0" w:line="176" w:lineRule="exact"/>
        <w:rPr>
          <w:sz w:val="20"/>
          <w:szCs w:val="20"/>
          <w:color w:val="auto"/>
        </w:rPr>
      </w:pPr>
    </w:p>
    <w:p>
      <w:pPr>
        <w:ind w:right="3179"/>
        <w:spacing w:after="0" w:line="265" w:lineRule="auto"/>
        <w:rPr>
          <w:sz w:val="20"/>
          <w:szCs w:val="20"/>
          <w:color w:val="auto"/>
        </w:rPr>
      </w:pPr>
      <w:r>
        <w:rPr>
          <w:rFonts w:ascii="Courier New" w:cs="Courier New" w:eastAsia="Courier New" w:hAnsi="Courier New"/>
          <w:sz w:val="14"/>
          <w:szCs w:val="14"/>
          <w:color w:val="auto"/>
        </w:rPr>
        <w:t>The changes in benefit obligations and plan assets, as well as the funded status of the Company's pension plans at December 31, 2002 and 2001, were as follows:</w:t>
      </w:r>
    </w:p>
    <w:p>
      <w:pPr>
        <w:spacing w:after="0" w:line="15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 Millions) U.S. Plans Non-U.S. Plans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------------------------------------------- 2002 2001 2002 2001 - -------------</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 Benefit</w:t>
      </w:r>
    </w:p>
    <w:p>
      <w:pPr>
        <w:jc w:val="center"/>
        <w:ind w:right="3179"/>
        <w:spacing w:after="0"/>
        <w:rPr>
          <w:sz w:val="20"/>
          <w:szCs w:val="20"/>
          <w:color w:val="auto"/>
        </w:rPr>
      </w:pPr>
      <w:r>
        <w:rPr>
          <w:rFonts w:ascii="Courier New" w:cs="Courier New" w:eastAsia="Courier New" w:hAnsi="Courier New"/>
          <w:sz w:val="15"/>
          <w:szCs w:val="15"/>
          <w:color w:val="auto"/>
        </w:rPr>
        <w:t>obligation at January 1 $4,964 $4,327 $2,021 $1,915 Service cost 120 107 49 45</w:t>
      </w:r>
    </w:p>
    <w:p>
      <w:pPr>
        <w:jc w:val="center"/>
        <w:ind w:right="3179"/>
        <w:spacing w:after="0"/>
        <w:rPr>
          <w:sz w:val="20"/>
          <w:szCs w:val="20"/>
          <w:color w:val="auto"/>
        </w:rPr>
      </w:pPr>
      <w:r>
        <w:rPr>
          <w:rFonts w:ascii="Courier New" w:cs="Courier New" w:eastAsia="Courier New" w:hAnsi="Courier New"/>
          <w:sz w:val="15"/>
          <w:szCs w:val="15"/>
          <w:color w:val="auto"/>
        </w:rPr>
        <w:t>Interest cost 339 339 120 112 Benefits paid (624) (403) (115) (108)</w:t>
      </w:r>
    </w:p>
    <w:p>
      <w:pPr>
        <w:spacing w:after="0" w:line="4" w:lineRule="exact"/>
        <w:rPr>
          <w:sz w:val="20"/>
          <w:szCs w:val="20"/>
          <w:color w:val="auto"/>
        </w:rPr>
      </w:pPr>
    </w:p>
    <w:p>
      <w:pPr>
        <w:ind w:left="40" w:right="3219"/>
        <w:spacing w:after="0" w:line="256" w:lineRule="auto"/>
        <w:rPr>
          <w:sz w:val="20"/>
          <w:szCs w:val="20"/>
          <w:color w:val="auto"/>
        </w:rPr>
      </w:pPr>
      <w:r>
        <w:rPr>
          <w:rFonts w:ascii="Courier New" w:cs="Courier New" w:eastAsia="Courier New" w:hAnsi="Courier New"/>
          <w:sz w:val="14"/>
          <w:szCs w:val="14"/>
          <w:color w:val="auto"/>
        </w:rPr>
        <w:t>Acquisitions 71 (22) Settlements 127 14 Actuarial losses 367 500 85 22 Currency 144 18 Other (48) 9 13 39 - ---------------------------------------------------</w:t>
      </w:r>
    </w:p>
    <w:p>
      <w:pPr>
        <w:ind w:left="220"/>
        <w:spacing w:after="0" w:line="233" w:lineRule="auto"/>
        <w:rPr>
          <w:sz w:val="20"/>
          <w:szCs w:val="20"/>
          <w:color w:val="auto"/>
        </w:rPr>
      </w:pPr>
      <w:r>
        <w:rPr>
          <w:rFonts w:ascii="Courier New" w:cs="Courier New" w:eastAsia="Courier New" w:hAnsi="Courier New"/>
          <w:sz w:val="15"/>
          <w:szCs w:val="15"/>
          <w:color w:val="auto"/>
        </w:rPr>
        <w:t>----------------------------- Benefit obligation at December 31 5,245 4,964</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2,317 2,021 - -----------------------------------------------------------------</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 Fair value of plan assets at January 1 6,359 7,039 1,329 1,589</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Actual return on plan assets (914) (386) (56) (227) Contributions 26 37 81 63</w:t>
      </w:r>
    </w:p>
    <w:p>
      <w:pPr>
        <w:jc w:val="center"/>
        <w:ind w:right="3179"/>
        <w:spacing w:after="0"/>
        <w:rPr>
          <w:sz w:val="20"/>
          <w:szCs w:val="20"/>
          <w:color w:val="auto"/>
        </w:rPr>
      </w:pPr>
      <w:r>
        <w:rPr>
          <w:rFonts w:ascii="Courier New" w:cs="Courier New" w:eastAsia="Courier New" w:hAnsi="Courier New"/>
          <w:sz w:val="15"/>
          <w:szCs w:val="15"/>
          <w:color w:val="auto"/>
        </w:rPr>
        <w:t>Benefits paid (636) (394) (87) (76) Acquisitions (45) (41) Currency 70 18</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Actuarial gains 130 108 3 -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Fair value of plan assets at December 31 4,965</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6,359 1,337 1,329 - -----------------------------------------------------------</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 (Deficit) excess of plan assets versus benefit</w:t>
      </w:r>
    </w:p>
    <w:p>
      <w:pPr>
        <w:jc w:val="center"/>
        <w:ind w:right="3179"/>
        <w:spacing w:after="0"/>
        <w:rPr>
          <w:sz w:val="20"/>
          <w:szCs w:val="20"/>
          <w:color w:val="auto"/>
        </w:rPr>
      </w:pPr>
      <w:r>
        <w:rPr>
          <w:rFonts w:ascii="Courier New" w:cs="Courier New" w:eastAsia="Courier New" w:hAnsi="Courier New"/>
          <w:sz w:val="15"/>
          <w:szCs w:val="15"/>
          <w:color w:val="auto"/>
        </w:rPr>
        <w:t>obligations at December 31 (280) 1,395 (980) (692) Unrecognized actuarial</w:t>
      </w:r>
    </w:p>
    <w:p>
      <w:pPr>
        <w:jc w:val="center"/>
        <w:ind w:right="3179"/>
        <w:spacing w:after="0"/>
        <w:rPr>
          <w:sz w:val="20"/>
          <w:szCs w:val="20"/>
          <w:color w:val="auto"/>
        </w:rPr>
      </w:pPr>
      <w:r>
        <w:rPr>
          <w:rFonts w:ascii="Courier New" w:cs="Courier New" w:eastAsia="Courier New" w:hAnsi="Courier New"/>
          <w:sz w:val="15"/>
          <w:szCs w:val="15"/>
          <w:color w:val="auto"/>
        </w:rPr>
        <w:t>losses 2,487 756 394 226 Unrecognized prior service cost 13 56 50 49</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Unrecognized net transition obligation (1) 7 7 -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Net prepaid pension asset</w:t>
      </w:r>
    </w:p>
    <w:p>
      <w:pPr>
        <w:jc w:val="center"/>
        <w:ind w:right="3179"/>
        <w:spacing w:after="0"/>
        <w:rPr>
          <w:sz w:val="20"/>
          <w:szCs w:val="20"/>
          <w:color w:val="auto"/>
        </w:rPr>
      </w:pPr>
      <w:r>
        <w:rPr>
          <w:rFonts w:ascii="Courier New" w:cs="Courier New" w:eastAsia="Courier New" w:hAnsi="Courier New"/>
          <w:sz w:val="15"/>
          <w:szCs w:val="15"/>
          <w:color w:val="auto"/>
        </w:rPr>
        <w:t>(liability) $2,220 $2,206 $ (529) $ (410)</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The combined U.S. and non-U.S. pension plans resulted in a net prepaid asset of $1,691 million and $1,796 million at December 31, 2002 and 2001, respectively. These amounts were recognized in the Company's consolidated balance sheets at December 31, 2002 and 2001, as prepaid pension assets of $2,814 million and $2,675 million, respectively, for those plans in which plan assets exceeded their accumulated benefit obligations and as other liabilities of $1,123 million</w:t>
      </w:r>
    </w:p>
    <w:p>
      <w:pPr>
        <w:sectPr>
          <w:pgSz w:w="11900" w:h="16838" w:orient="portrait"/>
          <w:cols w:equalWidth="0" w:num="1">
            <w:col w:w="10219"/>
          </w:cols>
          <w:pgMar w:left="240" w:top="481" w:right="1440" w:bottom="0" w:gutter="0" w:footer="0" w:header="0"/>
        </w:sectPr>
      </w:pPr>
    </w:p>
    <w:bookmarkStart w:id="48" w:name="page49"/>
    <w:bookmarkEnd w:id="48"/>
    <w:p>
      <w:pPr>
        <w:ind w:right="3179"/>
        <w:spacing w:after="0" w:line="235" w:lineRule="auto"/>
        <w:rPr>
          <w:sz w:val="20"/>
          <w:szCs w:val="20"/>
          <w:color w:val="auto"/>
        </w:rPr>
      </w:pPr>
      <w:r>
        <w:rPr>
          <w:rFonts w:ascii="Courier New" w:cs="Courier New" w:eastAsia="Courier New" w:hAnsi="Courier New"/>
          <w:sz w:val="15"/>
          <w:szCs w:val="15"/>
          <w:color w:val="auto"/>
        </w:rPr>
        <w:t>and $879 million at December 31, 2002 and 2001, respectively, for plans in which the accumulated benefit obligations exceeded their plan assets.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pacing w:after="0" w:line="33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Kraft Foods Inc.</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At December 31, 2002 and 2001, certain of the Company's U.S. plans were underfunded, with projected benefit obligations, accumulated benefit obligations and the fair value of plan assets of $269 million, $217 million and $45 million, respectively, in 2002 and $213 million, $164 million and $15 million, respectively, in 2001. For certain non-U.S. plans, which have accumulated benefit obligations in excess of plan assets, the projected benefit obligation, accumulated benefit obligation and fair value of plan assets were $1,375 million, $1,250 million and $424 million, respectively, as of December 31, 2002 and $1,165 million, $1,073 million and $416 million, respectively, as of December 31, 2001.</w:t>
      </w:r>
    </w:p>
    <w:p>
      <w:pPr>
        <w:spacing w:after="0" w:line="180"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The following weighted-average assumptions were used to determine the Company's obligations under the plans:</w:t>
      </w:r>
    </w:p>
    <w:p>
      <w:pPr>
        <w:spacing w:after="0" w:line="170"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U.S. Plans</w:t>
      </w:r>
    </w:p>
    <w:p>
      <w:pPr>
        <w:jc w:val="center"/>
        <w:ind w:right="9179"/>
        <w:spacing w:after="0"/>
        <w:rPr>
          <w:sz w:val="20"/>
          <w:szCs w:val="20"/>
          <w:color w:val="auto"/>
        </w:rPr>
      </w:pPr>
      <w:r>
        <w:rPr>
          <w:rFonts w:ascii="Courier New" w:cs="Courier New" w:eastAsia="Courier New" w:hAnsi="Courier New"/>
          <w:sz w:val="15"/>
          <w:szCs w:val="15"/>
          <w:color w:val="auto"/>
        </w:rPr>
        <w:t>Non-U.S.</w:t>
      </w:r>
    </w:p>
    <w:p>
      <w:pPr>
        <w:jc w:val="center"/>
        <w:ind w:right="9179"/>
        <w:spacing w:after="0"/>
        <w:rPr>
          <w:sz w:val="20"/>
          <w:szCs w:val="20"/>
          <w:color w:val="auto"/>
        </w:rPr>
      </w:pPr>
      <w:r>
        <w:rPr>
          <w:rFonts w:ascii="Courier New" w:cs="Courier New" w:eastAsia="Courier New" w:hAnsi="Courier New"/>
          <w:sz w:val="15"/>
          <w:szCs w:val="15"/>
          <w:color w:val="auto"/>
        </w:rPr>
        <w:t>Plans - ---</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jc w:val="center"/>
        <w:ind w:right="9179"/>
        <w:spacing w:after="0" w:line="238" w:lineRule="auto"/>
        <w:rPr>
          <w:sz w:val="20"/>
          <w:szCs w:val="20"/>
          <w:color w:val="auto"/>
        </w:rPr>
      </w:pPr>
      <w:r>
        <w:rPr>
          <w:rFonts w:ascii="Courier New" w:cs="Courier New" w:eastAsia="Courier New" w:hAnsi="Courier New"/>
          <w:sz w:val="15"/>
          <w:szCs w:val="15"/>
          <w:color w:val="auto"/>
        </w:rPr>
        <w:t>2002 2001</w:t>
      </w:r>
    </w:p>
    <w:p>
      <w:pPr>
        <w:jc w:val="center"/>
        <w:ind w:right="9179"/>
        <w:spacing w:after="0"/>
        <w:rPr>
          <w:sz w:val="20"/>
          <w:szCs w:val="20"/>
          <w:color w:val="auto"/>
        </w:rPr>
      </w:pPr>
      <w:r>
        <w:rPr>
          <w:rFonts w:ascii="Courier New" w:cs="Courier New" w:eastAsia="Courier New" w:hAnsi="Courier New"/>
          <w:sz w:val="15"/>
          <w:szCs w:val="15"/>
          <w:color w:val="auto"/>
        </w:rPr>
        <w:t>2002 2001 -</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jc w:val="center"/>
        <w:ind w:right="9179"/>
        <w:spacing w:after="0"/>
        <w:rPr>
          <w:sz w:val="20"/>
          <w:szCs w:val="20"/>
          <w:color w:val="auto"/>
        </w:rPr>
      </w:pPr>
      <w:r>
        <w:rPr>
          <w:rFonts w:ascii="Courier New" w:cs="Courier New" w:eastAsia="Courier New" w:hAnsi="Courier New"/>
          <w:sz w:val="15"/>
          <w:szCs w:val="15"/>
          <w:color w:val="auto"/>
        </w:rPr>
        <w:t>---</w:t>
      </w:r>
    </w:p>
    <w:p>
      <w:pPr>
        <w:jc w:val="center"/>
        <w:ind w:right="9179"/>
        <w:spacing w:after="0" w:line="238" w:lineRule="auto"/>
        <w:rPr>
          <w:sz w:val="20"/>
          <w:szCs w:val="20"/>
          <w:color w:val="auto"/>
        </w:rPr>
      </w:pPr>
      <w:r>
        <w:rPr>
          <w:rFonts w:ascii="Courier New" w:cs="Courier New" w:eastAsia="Courier New" w:hAnsi="Courier New"/>
          <w:sz w:val="15"/>
          <w:szCs w:val="15"/>
          <w:color w:val="auto"/>
        </w:rPr>
        <w:t>Discount</w:t>
      </w:r>
    </w:p>
    <w:p>
      <w:pPr>
        <w:jc w:val="center"/>
        <w:ind w:right="9179"/>
        <w:spacing w:after="0"/>
        <w:rPr>
          <w:sz w:val="20"/>
          <w:szCs w:val="20"/>
          <w:color w:val="auto"/>
        </w:rPr>
      </w:pPr>
      <w:r>
        <w:rPr>
          <w:rFonts w:ascii="Courier New" w:cs="Courier New" w:eastAsia="Courier New" w:hAnsi="Courier New"/>
          <w:sz w:val="15"/>
          <w:szCs w:val="15"/>
          <w:color w:val="auto"/>
        </w:rPr>
        <w:t>rate 6.50%</w:t>
      </w:r>
    </w:p>
    <w:p>
      <w:pPr>
        <w:jc w:val="center"/>
        <w:ind w:right="9179"/>
        <w:spacing w:after="0"/>
        <w:rPr>
          <w:sz w:val="20"/>
          <w:szCs w:val="20"/>
          <w:color w:val="auto"/>
        </w:rPr>
      </w:pPr>
      <w:r>
        <w:rPr>
          <w:rFonts w:ascii="Courier New" w:cs="Courier New" w:eastAsia="Courier New" w:hAnsi="Courier New"/>
          <w:sz w:val="15"/>
          <w:szCs w:val="15"/>
          <w:color w:val="auto"/>
        </w:rPr>
        <w:t>7.00% 5.56%</w:t>
      </w:r>
    </w:p>
    <w:p>
      <w:pPr>
        <w:jc w:val="center"/>
        <w:ind w:right="9179"/>
        <w:spacing w:after="0"/>
        <w:rPr>
          <w:sz w:val="20"/>
          <w:szCs w:val="20"/>
          <w:color w:val="auto"/>
        </w:rPr>
      </w:pPr>
      <w:r>
        <w:rPr>
          <w:rFonts w:ascii="Courier New" w:cs="Courier New" w:eastAsia="Courier New" w:hAnsi="Courier New"/>
          <w:sz w:val="15"/>
          <w:szCs w:val="15"/>
          <w:color w:val="auto"/>
        </w:rPr>
        <w:t>5.80%</w:t>
      </w:r>
    </w:p>
    <w:p>
      <w:pPr>
        <w:jc w:val="center"/>
        <w:ind w:right="9179"/>
        <w:spacing w:after="0" w:line="238" w:lineRule="auto"/>
        <w:rPr>
          <w:sz w:val="20"/>
          <w:szCs w:val="20"/>
          <w:color w:val="auto"/>
        </w:rPr>
      </w:pPr>
      <w:r>
        <w:rPr>
          <w:rFonts w:ascii="Courier New" w:cs="Courier New" w:eastAsia="Courier New" w:hAnsi="Courier New"/>
          <w:sz w:val="15"/>
          <w:szCs w:val="15"/>
          <w:color w:val="auto"/>
        </w:rPr>
        <w:t>Expected</w:t>
      </w:r>
    </w:p>
    <w:p>
      <w:pPr>
        <w:jc w:val="center"/>
        <w:ind w:right="9179"/>
        <w:spacing w:after="0"/>
        <w:rPr>
          <w:sz w:val="20"/>
          <w:szCs w:val="20"/>
          <w:color w:val="auto"/>
        </w:rPr>
      </w:pPr>
      <w:r>
        <w:rPr>
          <w:rFonts w:ascii="Courier New" w:cs="Courier New" w:eastAsia="Courier New" w:hAnsi="Courier New"/>
          <w:sz w:val="15"/>
          <w:szCs w:val="15"/>
          <w:color w:val="auto"/>
        </w:rPr>
        <w:t>rate of</w:t>
      </w:r>
    </w:p>
    <w:p>
      <w:pPr>
        <w:jc w:val="center"/>
        <w:ind w:right="9179"/>
        <w:spacing w:after="0"/>
        <w:rPr>
          <w:sz w:val="20"/>
          <w:szCs w:val="20"/>
          <w:color w:val="auto"/>
        </w:rPr>
      </w:pPr>
      <w:r>
        <w:rPr>
          <w:rFonts w:ascii="Courier New" w:cs="Courier New" w:eastAsia="Courier New" w:hAnsi="Courier New"/>
          <w:sz w:val="15"/>
          <w:szCs w:val="15"/>
          <w:color w:val="auto"/>
        </w:rPr>
        <w:t>return on</w:t>
      </w:r>
    </w:p>
    <w:p>
      <w:pPr>
        <w:jc w:val="center"/>
        <w:ind w:right="9179"/>
        <w:spacing w:after="0" w:line="238" w:lineRule="auto"/>
        <w:rPr>
          <w:sz w:val="20"/>
          <w:szCs w:val="20"/>
          <w:color w:val="auto"/>
        </w:rPr>
      </w:pPr>
      <w:r>
        <w:rPr>
          <w:rFonts w:ascii="Courier New" w:cs="Courier New" w:eastAsia="Courier New" w:hAnsi="Courier New"/>
          <w:sz w:val="15"/>
          <w:szCs w:val="15"/>
          <w:color w:val="auto"/>
        </w:rPr>
        <w:t>plan assets</w:t>
      </w:r>
    </w:p>
    <w:tbl>
      <w:tblPr>
        <w:tblLayout w:type="fixed"/>
        <w:tblInd w:w="120" w:type="dxa"/>
        <w:tblCellMar>
          <w:top w:w="0" w:type="dxa"/>
          <w:left w:w="0" w:type="dxa"/>
          <w:bottom w:w="0" w:type="dxa"/>
          <w:right w:w="0" w:type="dxa"/>
        </w:tblCellMar>
      </w:tblP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9.00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9.00</w:t>
            </w:r>
          </w:p>
        </w:tc>
      </w:t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8.41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8.49</w:t>
            </w:r>
          </w:p>
        </w:tc>
      </w:tr>
    </w:tbl>
    <w:p>
      <w:pPr>
        <w:jc w:val="center"/>
        <w:ind w:right="9179"/>
        <w:spacing w:after="0"/>
        <w:rPr>
          <w:sz w:val="20"/>
          <w:szCs w:val="20"/>
          <w:color w:val="auto"/>
        </w:rPr>
      </w:pPr>
      <w:r>
        <w:rPr>
          <w:rFonts w:ascii="Courier New" w:cs="Courier New" w:eastAsia="Courier New" w:hAnsi="Courier New"/>
          <w:sz w:val="15"/>
          <w:szCs w:val="15"/>
          <w:color w:val="auto"/>
        </w:rPr>
        <w:t>Rate of</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compensation</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increase</w:t>
      </w:r>
    </w:p>
    <w:p>
      <w:pPr>
        <w:jc w:val="center"/>
        <w:ind w:right="9179"/>
        <w:spacing w:after="0"/>
        <w:rPr>
          <w:sz w:val="20"/>
          <w:szCs w:val="20"/>
          <w:color w:val="auto"/>
        </w:rPr>
      </w:pPr>
      <w:r>
        <w:rPr>
          <w:rFonts w:ascii="Courier New" w:cs="Courier New" w:eastAsia="Courier New" w:hAnsi="Courier New"/>
          <w:sz w:val="15"/>
          <w:szCs w:val="15"/>
          <w:color w:val="auto"/>
        </w:rPr>
        <w:t>4.00 4.50</w:t>
      </w:r>
    </w:p>
    <w:p>
      <w:pPr>
        <w:jc w:val="center"/>
        <w:ind w:right="9179"/>
        <w:spacing w:after="0"/>
        <w:rPr>
          <w:sz w:val="20"/>
          <w:szCs w:val="20"/>
          <w:color w:val="auto"/>
        </w:rPr>
      </w:pPr>
      <w:r>
        <w:rPr>
          <w:rFonts w:ascii="Courier New" w:cs="Courier New" w:eastAsia="Courier New" w:hAnsi="Courier New"/>
          <w:sz w:val="15"/>
          <w:szCs w:val="15"/>
          <w:color w:val="auto"/>
        </w:rPr>
        <w:t>3.12 3.36 -</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380"/>
        <w:spacing w:after="0" w:line="238" w:lineRule="auto"/>
        <w:rPr>
          <w:sz w:val="20"/>
          <w:szCs w:val="20"/>
          <w:color w:val="auto"/>
        </w:rPr>
      </w:pPr>
      <w:r>
        <w:rPr>
          <w:rFonts w:ascii="Courier New" w:cs="Courier New" w:eastAsia="Courier New" w:hAnsi="Courier New"/>
          <w:sz w:val="15"/>
          <w:szCs w:val="15"/>
          <w:color w:val="auto"/>
        </w:rPr>
        <w:t>---</w:t>
      </w:r>
    </w:p>
    <w:p>
      <w:pPr>
        <w:spacing w:after="0" w:line="34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SFAS No. 87, "Employers' Accounting for Pensions," permits the delayed recognition of pension fund gains and losses in ratable periods of up to five years. The Company uses a four-year period wherein pension fund gains and losses are reflected in the pension calculation at 25% per year, beginning the year after the gains or losses occur. Recent stock market declines have resulted in deferred losses. The amortization of these deferred losses will result in higher pension cost in future periods.</w:t>
      </w:r>
    </w:p>
    <w:p>
      <w:pPr>
        <w:spacing w:after="0" w:line="17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Kraft and certain of its subsidiaries sponsor employee savings plans, to which the Company contributes. These plans cover certain salaried, non-union and union employees. The Company's contributions and costs are determined by the matching of employee contributions, as defined by the plans. Amounts charged to expense for defined contribution plans totaled $64 million, $63 million and $43 million in 2002, 2001 and 2000, respectively.</w:t>
      </w:r>
    </w:p>
    <w:p>
      <w:pPr>
        <w:spacing w:after="0" w:line="176"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Postretirement Benefit Plans: Net postretirement health care costs consisted of the following for the years ended December 31, 2002, 2001 and 2000:</w:t>
      </w:r>
    </w:p>
    <w:p>
      <w:pPr>
        <w:spacing w:after="0" w:line="176"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 millions)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----------------- 2002 2001 2002 - --------------------------------------------</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 Service cost $ 32 $ 34 $ 23 Interest cost</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168 168 109 Amortization: Unrecognized net loss from experience differences 21</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5 2 Unrecognized prior service cost (20) (8) (8) Other expense 16 - -----------</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 Net</w:t>
      </w:r>
    </w:p>
    <w:p>
      <w:pPr>
        <w:jc w:val="center"/>
        <w:ind w:right="3179"/>
        <w:spacing w:after="0"/>
        <w:rPr>
          <w:sz w:val="20"/>
          <w:szCs w:val="20"/>
          <w:color w:val="auto"/>
        </w:rPr>
      </w:pPr>
      <w:r>
        <w:rPr>
          <w:rFonts w:ascii="Courier New" w:cs="Courier New" w:eastAsia="Courier New" w:hAnsi="Courier New"/>
          <w:sz w:val="15"/>
          <w:szCs w:val="15"/>
          <w:color w:val="auto"/>
        </w:rPr>
        <w:t>postretirement health care cost $217 $199 $126</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141" w:right="1440" w:bottom="0" w:gutter="0" w:footer="0" w:header="0"/>
        </w:sect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2002, certain salaried employees in the United States left the Company</w:t>
      </w:r>
    </w:p>
    <w:p>
      <w:pPr>
        <w:sectPr>
          <w:pgSz w:w="11900" w:h="16838" w:orient="portrait"/>
          <w:cols w:equalWidth="0" w:num="1">
            <w:col w:w="10219"/>
          </w:cols>
          <w:pgMar w:left="240" w:top="141" w:right="1440" w:bottom="0" w:gutter="0" w:footer="0" w:header="0"/>
          <w:type w:val="continuous"/>
        </w:sectPr>
      </w:pPr>
    </w:p>
    <w:bookmarkStart w:id="49" w:name="page50"/>
    <w:bookmarkEnd w:id="49"/>
    <w:p>
      <w:pPr>
        <w:ind w:right="3259"/>
        <w:spacing w:after="0" w:line="265" w:lineRule="auto"/>
        <w:rPr>
          <w:sz w:val="20"/>
          <w:szCs w:val="20"/>
          <w:color w:val="auto"/>
        </w:rPr>
      </w:pPr>
      <w:r>
        <w:rPr>
          <w:rFonts w:ascii="Courier New" w:cs="Courier New" w:eastAsia="Courier New" w:hAnsi="Courier New"/>
          <w:sz w:val="14"/>
          <w:szCs w:val="14"/>
          <w:color w:val="auto"/>
        </w:rPr>
        <w:t>under a voluntary early retirement program instituted in 2001. This resulted in curtailment losses of $16 million, which are included in other expense above.</w:t>
      </w:r>
    </w:p>
    <w:p>
      <w:pPr>
        <w:spacing w:after="0" w:line="158"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Company's postretirement health care plans are not funded. The changes in the benefit obligations of the plans at December 31, 2002 and 2001 were as follows:</w:t>
      </w:r>
    </w:p>
    <w:p>
      <w:pPr>
        <w:spacing w:after="0" w:line="17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 millions)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----------------- 2002 2001 - -------------------------------------------------</w:t>
      </w:r>
    </w:p>
    <w:p>
      <w:pPr>
        <w:spacing w:after="0" w:line="11" w:lineRule="exact"/>
        <w:rPr>
          <w:sz w:val="20"/>
          <w:szCs w:val="20"/>
          <w:color w:val="auto"/>
        </w:rPr>
      </w:pPr>
    </w:p>
    <w:p>
      <w:pPr>
        <w:ind w:left="120"/>
        <w:spacing w:after="0"/>
        <w:rPr>
          <w:sz w:val="20"/>
          <w:szCs w:val="20"/>
          <w:color w:val="auto"/>
        </w:rPr>
      </w:pPr>
      <w:r>
        <w:rPr>
          <w:rFonts w:ascii="Courier New" w:cs="Courier New" w:eastAsia="Courier New" w:hAnsi="Courier New"/>
          <w:sz w:val="14"/>
          <w:szCs w:val="14"/>
          <w:color w:val="auto"/>
        </w:rPr>
        <w:t>------------------------------- Accumulated postretirement benefit obligation</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at January 1 $2,436 $2,102 Service cost 32 34 Interest cost 168 168 Benefits</w:t>
      </w:r>
    </w:p>
    <w:p>
      <w:pPr>
        <w:jc w:val="center"/>
        <w:ind w:right="3179"/>
        <w:spacing w:after="0"/>
        <w:rPr>
          <w:sz w:val="20"/>
          <w:szCs w:val="20"/>
          <w:color w:val="auto"/>
        </w:rPr>
      </w:pPr>
      <w:r>
        <w:rPr>
          <w:rFonts w:ascii="Courier New" w:cs="Courier New" w:eastAsia="Courier New" w:hAnsi="Courier New"/>
          <w:sz w:val="15"/>
          <w:szCs w:val="15"/>
          <w:color w:val="auto"/>
        </w:rPr>
        <w:t>paid (199) (172) Curtailments 21 Acquisitions 8 Plan amendments (164) 1</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Assumption changes 193 180 Actuarial losses 225 115 - -------------------------</w:t>
      </w:r>
    </w:p>
    <w:p>
      <w:pPr>
        <w:spacing w:after="0" w:line="5"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 Accumulated</w:t>
      </w:r>
    </w:p>
    <w:p>
      <w:pPr>
        <w:jc w:val="center"/>
        <w:ind w:right="3179"/>
        <w:spacing w:after="0"/>
        <w:rPr>
          <w:sz w:val="20"/>
          <w:szCs w:val="20"/>
          <w:color w:val="auto"/>
        </w:rPr>
      </w:pPr>
      <w:r>
        <w:rPr>
          <w:rFonts w:ascii="Courier New" w:cs="Courier New" w:eastAsia="Courier New" w:hAnsi="Courier New"/>
          <w:sz w:val="15"/>
          <w:szCs w:val="15"/>
          <w:color w:val="auto"/>
        </w:rPr>
        <w:t>postretirement benefit obligation at December 31 2,712 2,436 Unrecognized</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actuarial losses (848) (464) Unrecognized prior service cost 197 53 -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Accrued</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postretirement health care costs $2,061 $2,025</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current portion of the Company's accrued postretirement health care costs of $172 million and $175 million at December 31, 2002 and 2001, respectively, are included in other accrued liabilities on the consolidated balance sheets.</w:t>
      </w:r>
    </w:p>
    <w:p>
      <w:pPr>
        <w:spacing w:after="0" w:line="175" w:lineRule="exact"/>
        <w:rPr>
          <w:sz w:val="20"/>
          <w:szCs w:val="20"/>
          <w:color w:val="auto"/>
        </w:rPr>
      </w:pPr>
    </w:p>
    <w:p>
      <w:pPr>
        <w:ind w:right="3259"/>
        <w:spacing w:after="0" w:line="256" w:lineRule="auto"/>
        <w:rPr>
          <w:sz w:val="20"/>
          <w:szCs w:val="20"/>
          <w:color w:val="auto"/>
        </w:rPr>
      </w:pPr>
      <w:r>
        <w:rPr>
          <w:rFonts w:ascii="Courier New" w:cs="Courier New" w:eastAsia="Courier New" w:hAnsi="Courier New"/>
          <w:sz w:val="14"/>
          <w:szCs w:val="14"/>
          <w:color w:val="auto"/>
        </w:rPr>
        <w:t>The assumed health care cost trend rate used in measuring the accumulated postretirement benefit obligation for U.S. plans was 6.8% in 2001, 6.2% in 2002 and 8.0% in 2003, gradually declining to 5.0% by the year 2006 and remaining at that level thereafter. For Canadian plans, the assumed health care cost trend rate was 9.0% in 2001, 8.0% in 2002 and 7.0% in 2003, gradually declining to 4.0% by the year 2006 and remaining at that level thereafter.</w:t>
      </w:r>
    </w:p>
    <w:p>
      <w:pPr>
        <w:spacing w:after="0" w:line="2"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 one-percentage-point increase in the assumed health care cost trend rates for each year would increase the accumulated postretirement benefit obligation as of December 31, 2002, and postretirement health care cost (service cost and interest cost) for the year then ended by approximately 8.8% and 11.9%, respectively. A one-percentage-point decrease in the assumed health care cost trend rates for each year would decrease the accumulated postretirement benefit obligation as of December 31, 2002, and postretirement health care cost (service cost and interest cost) for the year then ended by approximately 7.3% and 10.0%, respectively.</w:t>
      </w:r>
    </w:p>
    <w:p>
      <w:pPr>
        <w:spacing w:after="0" w:line="179"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accumulated postretirement benefit obligations for U.S. plans at December 31, 2002 and 2001 were determined using an assumed discount rate of 6.5% and 7.0%, respectively. The accumulated postretirement benefit obligations for Canadian plans at December 31, 2002 and 2001 were determined using an assumed discount rate of 6.75%.</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pacing w:after="0" w:line="33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Kraft Foods Inc.</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Assumption changes of $193 million at December 31, 2002 relate primarily to lowering the discount rate from 7.0% to 6.5% and to increasing the medical trend rate for the years 2003 through 2005 in consideration of current medical inflation trends. Assumption changes of $180 million at December 31, 2001 relate primarily to lowering the discount rate from 7.75% to 7.0%.</w:t>
      </w:r>
    </w:p>
    <w:p>
      <w:pPr>
        <w:spacing w:after="0" w:line="17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Postemployment Benefit Plans: Kraft and certain of its affiliates sponsor postemployment benefit plans covering substantially all salaried and certain hourly employees. The cost of these plans is charged to expense over the working lives of the covered employees. Net postemployment costs consisted of the following for the years ended December 31, 2002, 2001 and 2000:</w:t>
      </w:r>
    </w:p>
    <w:p>
      <w:pPr>
        <w:spacing w:after="0" w:line="17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 millions)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----------------- 2002 2001 2000 - --------------------------------------------</w:t>
      </w:r>
    </w:p>
    <w:p>
      <w:pPr>
        <w:spacing w:after="0" w:line="11" w:lineRule="exact"/>
        <w:rPr>
          <w:sz w:val="20"/>
          <w:szCs w:val="20"/>
          <w:color w:val="auto"/>
        </w:rPr>
      </w:pPr>
    </w:p>
    <w:p>
      <w:pPr>
        <w:ind w:left="120"/>
        <w:spacing w:after="0"/>
        <w:rPr>
          <w:sz w:val="20"/>
          <w:szCs w:val="20"/>
          <w:color w:val="auto"/>
        </w:rPr>
      </w:pPr>
      <w:r>
        <w:rPr>
          <w:rFonts w:ascii="Courier New" w:cs="Courier New" w:eastAsia="Courier New" w:hAnsi="Courier New"/>
          <w:sz w:val="14"/>
          <w:szCs w:val="14"/>
          <w:color w:val="auto"/>
        </w:rPr>
        <w:t>------------------------------------ Service cost $19 $20 $13 Amortization of</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unrecognized net gains (7) (8) (4) Other expense 23 - -------------------------</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 Net postemployment</w:t>
      </w:r>
    </w:p>
    <w:p>
      <w:pPr>
        <w:jc w:val="center"/>
        <w:ind w:right="3179"/>
        <w:spacing w:after="0"/>
        <w:rPr>
          <w:sz w:val="20"/>
          <w:szCs w:val="20"/>
          <w:color w:val="auto"/>
        </w:rPr>
      </w:pPr>
      <w:r>
        <w:rPr>
          <w:rFonts w:ascii="Courier New" w:cs="Courier New" w:eastAsia="Courier New" w:hAnsi="Courier New"/>
          <w:sz w:val="15"/>
          <w:szCs w:val="15"/>
          <w:color w:val="auto"/>
        </w:rPr>
        <w:t>costs $35 $12 $ 9</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During 2002, certain salaried employees in the United States left the Company under voluntary early retirement and integration programs. These programs resulted in incremental postemployment costs of $23 million, which are included in other expense above.</w:t>
      </w:r>
    </w:p>
    <w:p>
      <w:pPr>
        <w:spacing w:after="0" w:line="176" w:lineRule="exact"/>
        <w:rPr>
          <w:sz w:val="20"/>
          <w:szCs w:val="20"/>
          <w:color w:val="auto"/>
        </w:rPr>
      </w:pPr>
    </w:p>
    <w:p>
      <w:pPr>
        <w:ind w:right="3439"/>
        <w:spacing w:after="0" w:line="265" w:lineRule="auto"/>
        <w:rPr>
          <w:sz w:val="20"/>
          <w:szCs w:val="20"/>
          <w:color w:val="auto"/>
        </w:rPr>
      </w:pPr>
      <w:r>
        <w:rPr>
          <w:rFonts w:ascii="Courier New" w:cs="Courier New" w:eastAsia="Courier New" w:hAnsi="Courier New"/>
          <w:sz w:val="14"/>
          <w:szCs w:val="14"/>
          <w:color w:val="auto"/>
        </w:rPr>
        <w:t>The Company's postemployment plans are not funded. The changes in the benefit obligations of the plans at December 31, 2002 and 2001 were as follows:</w:t>
      </w:r>
    </w:p>
    <w:p>
      <w:pPr>
        <w:spacing w:after="0" w:line="15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 millions)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----------------- 2002 2001 - -------------------------------------------------</w:t>
      </w:r>
    </w:p>
    <w:p>
      <w:pPr>
        <w:spacing w:after="0" w:line="11" w:lineRule="exact"/>
        <w:rPr>
          <w:sz w:val="20"/>
          <w:szCs w:val="20"/>
          <w:color w:val="auto"/>
        </w:rPr>
      </w:pPr>
    </w:p>
    <w:p>
      <w:pPr>
        <w:ind w:left="120"/>
        <w:spacing w:after="0"/>
        <w:rPr>
          <w:sz w:val="20"/>
          <w:szCs w:val="20"/>
          <w:color w:val="auto"/>
        </w:rPr>
      </w:pPr>
      <w:r>
        <w:rPr>
          <w:rFonts w:ascii="Courier New" w:cs="Courier New" w:eastAsia="Courier New" w:hAnsi="Courier New"/>
          <w:sz w:val="14"/>
          <w:szCs w:val="14"/>
          <w:color w:val="auto"/>
        </w:rPr>
        <w:t>------------------------------- Accumulated benefit obligation at January 1 $</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520 $ 373 Service cost 19 20 Benefits paid (141) (156) Acquisitions 269</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Actuarial (gains) losses (103) 14 - -------------------------------------------</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 Accumulated benefit obligation at</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December 31 295 520 Unrecognized experience gains 112 52 - --------------------</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 Accrued</w:t>
      </w:r>
    </w:p>
    <w:p>
      <w:pPr>
        <w:jc w:val="center"/>
        <w:ind w:right="3179"/>
        <w:spacing w:after="0"/>
        <w:rPr>
          <w:sz w:val="20"/>
          <w:szCs w:val="20"/>
          <w:color w:val="auto"/>
        </w:rPr>
      </w:pPr>
      <w:r>
        <w:rPr>
          <w:rFonts w:ascii="Courier New" w:cs="Courier New" w:eastAsia="Courier New" w:hAnsi="Courier New"/>
          <w:sz w:val="15"/>
          <w:szCs w:val="15"/>
          <w:color w:val="auto"/>
        </w:rPr>
        <w:t>postemployment costs $ 407 $ 572</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right="3359"/>
        <w:spacing w:after="0" w:line="260" w:lineRule="auto"/>
        <w:rPr>
          <w:sz w:val="20"/>
          <w:szCs w:val="20"/>
          <w:color w:val="auto"/>
        </w:rPr>
      </w:pPr>
      <w:r>
        <w:rPr>
          <w:rFonts w:ascii="Courier New" w:cs="Courier New" w:eastAsia="Courier New" w:hAnsi="Courier New"/>
          <w:sz w:val="14"/>
          <w:szCs w:val="14"/>
          <w:color w:val="auto"/>
        </w:rPr>
        <w:t>The accumulated benefit obligation was determined using an assumed ultimate annual turnover rate of 0.3% in 2002 and 2001, assumed compensation cost increases of 4.0% in 2002 and 4.5% in 2001, and assumed benefits as defined in</w:t>
      </w:r>
    </w:p>
    <w:p>
      <w:pPr>
        <w:sectPr>
          <w:pgSz w:w="11900" w:h="16838" w:orient="portrait"/>
          <w:cols w:equalWidth="0" w:num="1">
            <w:col w:w="10219"/>
          </w:cols>
          <w:pgMar w:left="240" w:top="141" w:right="1440" w:bottom="0" w:gutter="0" w:footer="0" w:header="0"/>
        </w:sectPr>
      </w:pPr>
    </w:p>
    <w:bookmarkStart w:id="50" w:name="page51"/>
    <w:bookmarkEnd w:id="50"/>
    <w:p>
      <w:pPr>
        <w:jc w:val="both"/>
        <w:ind w:right="3619"/>
        <w:spacing w:after="0" w:line="237" w:lineRule="auto"/>
        <w:rPr>
          <w:sz w:val="20"/>
          <w:szCs w:val="20"/>
          <w:color w:val="auto"/>
        </w:rPr>
      </w:pPr>
      <w:r>
        <w:rPr>
          <w:rFonts w:ascii="Courier New" w:cs="Courier New" w:eastAsia="Courier New" w:hAnsi="Courier New"/>
          <w:sz w:val="15"/>
          <w:szCs w:val="15"/>
          <w:color w:val="auto"/>
        </w:rPr>
        <w:t>the respective plans. Postemployment costs arising from actions that offer employees benefits in excess of those specified in the respective plans are charged to expense when incurred.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15. Additional Information:</w:t>
      </w:r>
    </w:p>
    <w:p>
      <w:pPr>
        <w:spacing w:after="0" w:line="17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 millions)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For the Years Ended December 31, 2002 2001 2000 - -----------</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 Research</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and development expense $ 360 $ 358 $ 270 - -----------------------------------</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Advertising expense $1,145 $1,190</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$1,198</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Interest and other debt expense, net: Interest expense, Altria Group, Inc. and</w:t>
      </w:r>
    </w:p>
    <w:p>
      <w:pPr>
        <w:jc w:val="center"/>
        <w:ind w:right="3179"/>
        <w:spacing w:after="0"/>
        <w:rPr>
          <w:sz w:val="20"/>
          <w:szCs w:val="20"/>
          <w:color w:val="auto"/>
        </w:rPr>
      </w:pPr>
      <w:r>
        <w:rPr>
          <w:rFonts w:ascii="Courier New" w:cs="Courier New" w:eastAsia="Courier New" w:hAnsi="Courier New"/>
          <w:sz w:val="15"/>
          <w:szCs w:val="15"/>
          <w:color w:val="auto"/>
        </w:rPr>
        <w:t>affiliates $ 243 $1,103 $ 531 Interest expense, external debt 611 349 84</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Interest income (7) (15) (18) - -----------------------------------------------</w:t>
      </w:r>
    </w:p>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 $ 847 $1,437 $ 597</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Rent expense $ 437 $ 372 $ 277</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Minimum rental commitments under non-cancelable operating leases in effect at</w:t>
      </w:r>
    </w:p>
    <w:p>
      <w:pPr>
        <w:spacing w:after="0"/>
        <w:rPr>
          <w:sz w:val="20"/>
          <w:szCs w:val="20"/>
          <w:color w:val="auto"/>
        </w:rPr>
      </w:pPr>
      <w:r>
        <w:rPr>
          <w:rFonts w:ascii="Courier New" w:cs="Courier New" w:eastAsia="Courier New" w:hAnsi="Courier New"/>
          <w:sz w:val="15"/>
          <w:szCs w:val="15"/>
          <w:color w:val="auto"/>
        </w:rPr>
        <w:t>December 31, 2002 were as follows:</w:t>
      </w:r>
    </w:p>
    <w:p>
      <w:pPr>
        <w:spacing w:after="0" w:line="17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 millions) - ---------------------------------------------------------------</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----------------- 2003 $ 245 2004 197 2005 156 2006 111 2007 95 Thereafter 200</w:t>
      </w:r>
    </w:p>
    <w:p>
      <w:pPr>
        <w:spacing w:after="0" w:line="11" w:lineRule="exact"/>
        <w:rPr>
          <w:sz w:val="20"/>
          <w:szCs w:val="20"/>
          <w:color w:val="auto"/>
        </w:rPr>
      </w:pPr>
    </w:p>
    <w:p>
      <w:pPr>
        <w:ind w:left="220" w:hanging="186"/>
        <w:spacing w:after="0"/>
        <w:tabs>
          <w:tab w:leader="none" w:pos="2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3420" w:hanging="345"/>
        <w:spacing w:after="0"/>
        <w:tabs>
          <w:tab w:leader="none" w:pos="342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$1,004</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16. Financial Instruments:</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Derivative Financial Instruments: The Company operates globally, with manufacturing and sales facilities in various locations around the world, and utilizes certain financial instruments to manage its foreign currency and commodity exposures, which primarily relate to forecasted transactions. Derivative financial instruments are used by the Company, principally to reduce exposures to market risks resulting from fluctuations in foreign exchange rates and commodity prices by creating offsetting exposures. The Company is not a party to leveraged derivatives and, by policy, does not use financial instruments for speculative purposes. Financial instruments qualifying for hedge accounting must maintain a specified level of effectiveness between the hedging instrument and the item being hedged, both at inception and throughout the hedged period. The Company formally documents the nature of and relationships between the hedging instruments and hedged items, as well as its risk-management objectives, strategies for undertaking the various hedge transactions and method of assessing hedge effectiveness. Additionally, for hedges of forecasted transactions, the significant characteristics and expected terms of a forecasted transaction must be specifically identified, and it must be probable that each forecasted transaction will occur. If it were deemed probable that the forecasted transaction will not occur, the gain or loss would be recognized in earnings currently.</w:t>
      </w:r>
    </w:p>
    <w:p>
      <w:pPr>
        <w:spacing w:after="0" w:line="200" w:lineRule="exact"/>
        <w:rPr>
          <w:sz w:val="20"/>
          <w:szCs w:val="20"/>
          <w:color w:val="auto"/>
        </w:rPr>
      </w:pPr>
    </w:p>
    <w:p>
      <w:pPr>
        <w:spacing w:after="0" w:line="29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pacing w:after="0" w:line="33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Kraft Foods Inc.</w:t>
      </w:r>
    </w:p>
    <w:p>
      <w:pPr>
        <w:spacing w:after="0" w:line="175" w:lineRule="exact"/>
        <w:rPr>
          <w:sz w:val="20"/>
          <w:szCs w:val="20"/>
          <w:color w:val="auto"/>
        </w:rPr>
      </w:pPr>
    </w:p>
    <w:p>
      <w:pPr>
        <w:jc w:val="both"/>
        <w:ind w:right="3879"/>
        <w:spacing w:after="0" w:line="260" w:lineRule="auto"/>
        <w:rPr>
          <w:sz w:val="20"/>
          <w:szCs w:val="20"/>
          <w:color w:val="auto"/>
        </w:rPr>
      </w:pPr>
      <w:r>
        <w:rPr>
          <w:rFonts w:ascii="Courier New" w:cs="Courier New" w:eastAsia="Courier New" w:hAnsi="Courier New"/>
          <w:sz w:val="14"/>
          <w:szCs w:val="14"/>
          <w:color w:val="auto"/>
        </w:rPr>
        <w:t>Substantially all of the Company's derivative financial instruments are effective as hedges under SFAS No. 133. The fair value of all derivative financial instruments has been calculated based on market quotes.</w:t>
      </w:r>
    </w:p>
    <w:p>
      <w:pPr>
        <w:spacing w:after="0" w:line="163"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Company uses forward foreign exchange contracts and foreign currency options to mitigate its exposure to changes in foreign currency exchange rates from third-party and intercompany forecasted transactions. The primary currencies to which the Company is exposed include the Euro, British pound and Canadian dollar. At December 31, 2002 and 2001, the Company had option and forward foreign exchange contracts with aggregate notional amounts of $575 million and $431 million, respectively, which are comprised of contracts for the purchase and sale of foreign currencies. The effective portion of unrealized gains and losses associated with forward contracts is deferred as a component of accumulated other comprehensive earnings (losses) until the underlying hedged transactions are reported on the Company's consolidated statement of earnings.</w:t>
      </w:r>
    </w:p>
    <w:p>
      <w:pPr>
        <w:spacing w:after="0" w:line="16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Company is exposed to price risk related to forecasted purchases of certain commodities used as raw materials by the Company's businesses. Accordingly, the Company uses commodity forward contracts, as cash flow hedges, primarily for coffee, cocoa, milk and cheese. Commodity futures and options are also used to hedge the price of certain commodities, including milk, coffee, cocoa, wheat, corn, sugar and soybean oil. In general, commodity forward contracts qualify for the normal purchase exception under SFAS No. 133 and are, therefore, not subject to the provisions of SFAS No. 133. At December 31, 2002 and 2001, the Company had net long commodity positions of $544 million and $589 million, respectively. Unrealized gains or losses on net commodity positions were immaterial at December 31, 2002 and 2001. The effective portion of unrealized gains and losses on commodity futures and option contracts is deferred as a component of accumulated other comprehensive earnings (losses) and is recognized as a component of cost of sales in the Company's consolidated statement of earnings when the related inventory is sold.</w:t>
      </w:r>
    </w:p>
    <w:p>
      <w:pPr>
        <w:spacing w:after="0" w:line="334"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4"/>
          <w:szCs w:val="14"/>
          <w:color w:val="auto"/>
        </w:rPr>
        <w:t>Derivative gains or losses reported in accumulated other comprehensive earnings (losses) are a result of qualifying hedging activity. Transfers of these gains or losses from accumulated other comprehensive earnings (losses) to earnings are offset by corresponding gains or losses on the underlying hedged items. During</w:t>
      </w:r>
    </w:p>
    <w:p>
      <w:pPr>
        <w:sectPr>
          <w:pgSz w:w="11900" w:h="16838" w:orient="portrait"/>
          <w:cols w:equalWidth="0" w:num="1">
            <w:col w:w="10219"/>
          </w:cols>
          <w:pgMar w:left="240" w:top="142" w:right="1440" w:bottom="0" w:gutter="0" w:footer="0" w:header="0"/>
        </w:sectPr>
      </w:pPr>
    </w:p>
    <w:bookmarkStart w:id="51" w:name="page52"/>
    <w:bookmarkEnd w:id="51"/>
    <w:p>
      <w:pPr>
        <w:ind w:right="3179"/>
        <w:spacing w:after="0" w:line="238" w:lineRule="auto"/>
        <w:rPr>
          <w:sz w:val="20"/>
          <w:szCs w:val="20"/>
          <w:color w:val="auto"/>
        </w:rPr>
      </w:pPr>
      <w:r>
        <w:rPr>
          <w:rFonts w:ascii="Courier New" w:cs="Courier New" w:eastAsia="Courier New" w:hAnsi="Courier New"/>
          <w:sz w:val="15"/>
          <w:szCs w:val="15"/>
          <w:color w:val="auto"/>
        </w:rPr>
        <w:t>the years ended December 31, 2002 and 2001, ineffectiveness related to cash flow hedges was not material. At December 31, 2002, the Company is hedging forecasted transactions for periods not exceeding fifteen months and expects substantially all amounts reported in accumulated other comprehensive earnings (losses) to be reclassified to the consolidated statement of earnings within the next twelve months.</w:t>
      </w:r>
    </w:p>
    <w:p>
      <w:pPr>
        <w:spacing w:after="0" w:line="176" w:lineRule="exact"/>
        <w:rPr>
          <w:sz w:val="20"/>
          <w:szCs w:val="20"/>
          <w:color w:val="auto"/>
        </w:rPr>
      </w:pPr>
    </w:p>
    <w:p>
      <w:pPr>
        <w:ind w:right="3179"/>
        <w:spacing w:after="0" w:line="265" w:lineRule="auto"/>
        <w:rPr>
          <w:sz w:val="20"/>
          <w:szCs w:val="20"/>
          <w:color w:val="auto"/>
        </w:rPr>
      </w:pPr>
      <w:r>
        <w:rPr>
          <w:rFonts w:ascii="Courier New" w:cs="Courier New" w:eastAsia="Courier New" w:hAnsi="Courier New"/>
          <w:sz w:val="14"/>
          <w:szCs w:val="14"/>
          <w:color w:val="auto"/>
        </w:rPr>
        <w:t>Hedging activity affected accumulated other comprehensive earnings (losses), net of income taxes, during the years ended December 31, 2002 and 2001, as follows:</w:t>
      </w:r>
    </w:p>
    <w:p>
      <w:pPr>
        <w:spacing w:after="0" w:line="158" w:lineRule="exact"/>
        <w:rPr>
          <w:sz w:val="20"/>
          <w:szCs w:val="20"/>
          <w:color w:val="auto"/>
        </w:rPr>
      </w:pPr>
    </w:p>
    <w:p>
      <w:pPr>
        <w:jc w:val="center"/>
        <w:ind w:right="3179"/>
        <w:spacing w:after="0" w:line="257" w:lineRule="auto"/>
        <w:rPr>
          <w:sz w:val="20"/>
          <w:szCs w:val="20"/>
          <w:color w:val="auto"/>
        </w:rPr>
      </w:pPr>
      <w:r>
        <w:rPr>
          <w:rFonts w:ascii="Courier New" w:cs="Courier New" w:eastAsia="Courier New" w:hAnsi="Courier New"/>
          <w:sz w:val="14"/>
          <w:szCs w:val="14"/>
          <w:color w:val="auto"/>
        </w:rPr>
        <w:t>(in millions) - --------------------------------------------------------------- ----------------- Balance as of January 1, 2001 $ -- Derivative losses transferred to earnings 15 Change in fair value (33) - ------------------------ -------------------------------------------------------- Balance as of December 31, 2001 (18) Derivative losses transferred to earnings 21 Change in fair value 10 - -------------------------------------------------------------------------- ------ Balance as of December 31, 2002 $ 13 ================================================================================</w:t>
      </w:r>
    </w:p>
    <w:p>
      <w:pPr>
        <w:spacing w:after="0" w:line="336"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Credit Exposure and Credit Risk: The Company is exposed to credit loss in the event of nonperformance by counterparties. However, the Company does not anticipate nonperformance, and such exposure was not material at December 31, 2002.</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Fair Value: The aggregate fair value, based on market quotes, of the Company's third-party debt at December 31, 2002 was $11,764 million as compared with its carrying value of $10,988 million. The aggregate fair value of the Company's third-party debt at December 31, 2001 was $9,360 million as compared with its carrying value of $9,355 million. Based on interest rates available to the Company for issuances of debt with similar terms and remaining maturities, the aggregate fair value and carrying value of the Company's long-term notes payable to Altria Group, Inc. and its affiliates were $2,764 million and $2,560 million, respectively, at December 31, 2002 and $5,325 million and $5,000 million, respectively, at December 31, 2001.</w:t>
      </w:r>
    </w:p>
    <w:p>
      <w:pPr>
        <w:spacing w:after="0" w:line="180"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See Notes 3, 7 and 8 for additional disclosures of fair value for short-term borrowings and long-term debt.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17. Contingencies:</w:t>
      </w:r>
    </w:p>
    <w:p>
      <w:pPr>
        <w:spacing w:after="0" w:line="175"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The Company and its subsidiaries are parties to a variety of legal proceedings arising out of the normal course of business, including a few cases in which substantial amounts of damages are sought. While the results of litigation cannot be predicted with certainty, management believes that the final outcome of these proceedings will not have a material adverse effect on the Company's consolidated financial position or results of operations.</w:t>
      </w:r>
    </w:p>
    <w:p>
      <w:pPr>
        <w:spacing w:after="0" w:line="16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Guarantees: At December 31, 2002, the Company's third-party guarantees, which are primarily derived from acquisition and divestiture activities, approximated $36 million. Substantially all of these guarantees expire through 2012, with $12 million expiring in 2003. The Company is required to perform under these guarantees in the event that a third-party fails to make contractual payments or achieve performance measures. The Company has recorded a liability of $21 million at December 31, 2002 relating to these guarantees.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pacing w:after="0" w:line="33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Kraft Foods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18. Quarterly Financial Data (Unaudited):</w:t>
      </w:r>
    </w:p>
    <w:p>
      <w:pPr>
        <w:spacing w:after="0" w:line="169"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(in</w:t>
      </w:r>
    </w:p>
    <w:p>
      <w:pPr>
        <w:spacing w:after="0" w:line="5"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4"/>
          <w:szCs w:val="14"/>
          <w:color w:val="auto"/>
        </w:rPr>
        <w:t>millions,</w:t>
      </w:r>
    </w:p>
    <w:p>
      <w:pPr>
        <w:spacing w:after="0" w:line="5"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except</w:t>
      </w:r>
    </w:p>
    <w:p>
      <w:pPr>
        <w:jc w:val="center"/>
        <w:ind w:right="9439"/>
        <w:spacing w:after="0"/>
        <w:rPr>
          <w:sz w:val="20"/>
          <w:szCs w:val="20"/>
          <w:color w:val="auto"/>
        </w:rPr>
      </w:pPr>
      <w:r>
        <w:rPr>
          <w:rFonts w:ascii="Courier New" w:cs="Courier New" w:eastAsia="Courier New" w:hAnsi="Courier New"/>
          <w:sz w:val="15"/>
          <w:szCs w:val="15"/>
          <w:color w:val="auto"/>
        </w:rPr>
        <w:t>per</w:t>
      </w:r>
    </w:p>
    <w:p>
      <w:pPr>
        <w:jc w:val="center"/>
        <w:ind w:right="9439"/>
        <w:spacing w:after="0"/>
        <w:rPr>
          <w:sz w:val="20"/>
          <w:szCs w:val="20"/>
          <w:color w:val="auto"/>
        </w:rPr>
      </w:pPr>
      <w:r>
        <w:rPr>
          <w:rFonts w:ascii="Courier New" w:cs="Courier New" w:eastAsia="Courier New" w:hAnsi="Courier New"/>
          <w:sz w:val="15"/>
          <w:szCs w:val="15"/>
          <w:color w:val="auto"/>
        </w:rPr>
        <w:t>share</w:t>
      </w:r>
    </w:p>
    <w:p>
      <w:pPr>
        <w:jc w:val="center"/>
        <w:ind w:right="9439"/>
        <w:spacing w:after="0" w:line="238" w:lineRule="auto"/>
        <w:rPr>
          <w:sz w:val="20"/>
          <w:szCs w:val="20"/>
          <w:color w:val="auto"/>
        </w:rPr>
      </w:pPr>
      <w:r>
        <w:rPr>
          <w:rFonts w:ascii="Courier New" w:cs="Courier New" w:eastAsia="Courier New" w:hAnsi="Courier New"/>
          <w:sz w:val="15"/>
          <w:szCs w:val="15"/>
          <w:color w:val="auto"/>
        </w:rPr>
        <w:t>data)</w:t>
      </w:r>
    </w:p>
    <w:p>
      <w:pPr>
        <w:jc w:val="center"/>
        <w:ind w:right="9439"/>
        <w:spacing w:after="0"/>
        <w:rPr>
          <w:sz w:val="20"/>
          <w:szCs w:val="20"/>
          <w:color w:val="auto"/>
        </w:rPr>
      </w:pPr>
      <w:r>
        <w:rPr>
          <w:rFonts w:ascii="Courier New" w:cs="Courier New" w:eastAsia="Courier New" w:hAnsi="Courier New"/>
          <w:sz w:val="15"/>
          <w:szCs w:val="15"/>
          <w:color w:val="auto"/>
        </w:rPr>
        <w:t>2002</w:t>
      </w:r>
    </w:p>
    <w:p>
      <w:pPr>
        <w:jc w:val="center"/>
        <w:ind w:right="9439"/>
        <w:spacing w:after="0"/>
        <w:rPr>
          <w:sz w:val="20"/>
          <w:szCs w:val="20"/>
          <w:color w:val="auto"/>
        </w:rPr>
      </w:pPr>
      <w:r>
        <w:rPr>
          <w:rFonts w:ascii="Courier New" w:cs="Courier New" w:eastAsia="Courier New" w:hAnsi="Courier New"/>
          <w:sz w:val="15"/>
          <w:szCs w:val="15"/>
          <w:color w:val="auto"/>
        </w:rPr>
        <w:t>Quarters</w:t>
      </w:r>
    </w:p>
    <w:p>
      <w:pPr>
        <w:ind w:left="200" w:hanging="167"/>
        <w:spacing w:after="0" w:line="238" w:lineRule="auto"/>
        <w:tabs>
          <w:tab w:leader="none" w:pos="2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First</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Second</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Third</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Fourth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w:t>
      </w:r>
    </w:p>
    <w:p>
      <w:pPr>
        <w:sectPr>
          <w:pgSz w:w="11900" w:h="16838" w:orient="portrait"/>
          <w:cols w:equalWidth="0" w:num="1">
            <w:col w:w="10219"/>
          </w:cols>
          <w:pgMar w:left="240" w:top="141" w:right="1440" w:bottom="0" w:gutter="0" w:footer="0" w:header="0"/>
        </w:sectPr>
      </w:pPr>
    </w:p>
    <w:bookmarkStart w:id="52" w:name="page53"/>
    <w:bookmarkEnd w:id="52"/>
    <w:p>
      <w:pPr>
        <w:ind w:left="7"/>
        <w:spacing w:after="0"/>
        <w:rPr>
          <w:sz w:val="20"/>
          <w:szCs w:val="20"/>
          <w:color w:val="auto"/>
        </w:rPr>
      </w:pPr>
      <w:r>
        <w:rPr>
          <w:rFonts w:ascii="Courier New" w:cs="Courier New" w:eastAsia="Courier New" w:hAnsi="Courier New"/>
          <w:sz w:val="14"/>
          <w:szCs w:val="14"/>
          <w:color w:val="auto"/>
        </w:rPr>
        <w:t>revenues</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2"/>
              </w:rPr>
              <w:t>$7,147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7,513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7,216</w:t>
            </w:r>
          </w:p>
        </w:tc>
        <w:tc>
          <w:tcPr>
            <w:tcW w:w="140" w:type="dxa"/>
            <w:vAlign w:val="bottom"/>
          </w:tcPr>
          <w:p>
            <w:pPr>
              <w:spacing w:after="0"/>
              <w:rPr>
                <w:sz w:val="14"/>
                <w:szCs w:val="14"/>
                <w:color w:val="auto"/>
              </w:rPr>
            </w:pP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$7,847 -</w:t>
      </w:r>
    </w:p>
    <w:p>
      <w:pPr>
        <w:spacing w:after="0" w:line="11"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27"/>
        <w:spacing w:after="0"/>
        <w:rPr>
          <w:sz w:val="20"/>
          <w:szCs w:val="20"/>
          <w:color w:val="auto"/>
        </w:rPr>
      </w:pPr>
      <w:r>
        <w:rPr>
          <w:rFonts w:ascii="Courier New" w:cs="Courier New" w:eastAsia="Courier New" w:hAnsi="Courier New"/>
          <w:sz w:val="15"/>
          <w:szCs w:val="15"/>
          <w:color w:val="auto"/>
        </w:rPr>
        <w:t>Gross</w:t>
      </w:r>
    </w:p>
    <w:p>
      <w:pPr>
        <w:ind w:left="87"/>
        <w:spacing w:after="0"/>
        <w:rPr>
          <w:sz w:val="20"/>
          <w:szCs w:val="20"/>
          <w:color w:val="auto"/>
        </w:rPr>
      </w:pPr>
      <w:r>
        <w:rPr>
          <w:rFonts w:ascii="Courier New" w:cs="Courier New" w:eastAsia="Courier New" w:hAnsi="Courier New"/>
          <w:sz w:val="15"/>
          <w:szCs w:val="15"/>
          <w:color w:val="auto"/>
        </w:rPr>
        <w:t>profit</w:t>
      </w:r>
    </w:p>
    <w:tbl>
      <w:tblPr>
        <w:tblLayout w:type="fixed"/>
        <w:tblInd w:w="7" w:type="dxa"/>
        <w:tblCellMar>
          <w:top w:w="0" w:type="dxa"/>
          <w:left w:w="0" w:type="dxa"/>
          <w:bottom w:w="0" w:type="dxa"/>
          <w:right w:w="0" w:type="dxa"/>
        </w:tblCellMar>
      </w:tblPr>
      <w:tr>
        <w:trPr>
          <w:trHeight w:val="169"/>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2"/>
              </w:rPr>
              <w:t>$2,864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3,127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2,971</w:t>
            </w:r>
          </w:p>
        </w:tc>
        <w:tc>
          <w:tcPr>
            <w:tcW w:w="140" w:type="dxa"/>
            <w:vAlign w:val="bottom"/>
          </w:tcPr>
          <w:p>
            <w:pPr>
              <w:spacing w:after="0"/>
              <w:rPr>
                <w:sz w:val="14"/>
                <w:szCs w:val="14"/>
                <w:color w:val="auto"/>
              </w:rPr>
            </w:pP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$3,041 -</w:t>
      </w:r>
    </w:p>
    <w:p>
      <w:pPr>
        <w:spacing w:after="0" w:line="11"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9473"/>
        <w:spacing w:after="0"/>
        <w:rPr>
          <w:sz w:val="20"/>
          <w:szCs w:val="20"/>
          <w:color w:val="auto"/>
        </w:rPr>
      </w:pPr>
      <w:r>
        <w:rPr>
          <w:rFonts w:ascii="Courier New" w:cs="Courier New" w:eastAsia="Courier New" w:hAnsi="Courier New"/>
          <w:sz w:val="15"/>
          <w:szCs w:val="15"/>
          <w:color w:val="auto"/>
        </w:rPr>
        <w:t>Net</w:t>
      </w:r>
    </w:p>
    <w:p>
      <w:pPr>
        <w:spacing w:after="0" w:line="5" w:lineRule="exact"/>
        <w:rPr>
          <w:sz w:val="20"/>
          <w:szCs w:val="20"/>
          <w:color w:val="auto"/>
        </w:rPr>
      </w:pPr>
    </w:p>
    <w:p>
      <w:pPr>
        <w:jc w:val="center"/>
        <w:ind w:right="9473"/>
        <w:spacing w:after="0"/>
        <w:rPr>
          <w:sz w:val="20"/>
          <w:szCs w:val="20"/>
          <w:color w:val="auto"/>
        </w:rPr>
      </w:pPr>
      <w:r>
        <w:rPr>
          <w:rFonts w:ascii="Courier New" w:cs="Courier New" w:eastAsia="Courier New" w:hAnsi="Courier New"/>
          <w:sz w:val="14"/>
          <w:szCs w:val="14"/>
          <w:color w:val="auto"/>
        </w:rPr>
        <w:t>earnings</w:t>
      </w:r>
    </w:p>
    <w:p>
      <w:pPr>
        <w:spacing w:after="0" w:line="5" w:lineRule="exact"/>
        <w:rPr>
          <w:sz w:val="20"/>
          <w:szCs w:val="20"/>
          <w:color w:val="auto"/>
        </w:rPr>
      </w:pPr>
    </w:p>
    <w:p>
      <w:pPr>
        <w:jc w:val="center"/>
        <w:ind w:right="9473"/>
        <w:spacing w:after="0"/>
        <w:rPr>
          <w:sz w:val="20"/>
          <w:szCs w:val="20"/>
          <w:color w:val="auto"/>
        </w:rPr>
      </w:pPr>
      <w:r>
        <w:rPr>
          <w:rFonts w:ascii="Courier New" w:cs="Courier New" w:eastAsia="Courier New" w:hAnsi="Courier New"/>
          <w:sz w:val="15"/>
          <w:szCs w:val="15"/>
          <w:color w:val="auto"/>
        </w:rPr>
        <w:t>$ 693 $</w:t>
      </w:r>
    </w:p>
    <w:p>
      <w:pPr>
        <w:ind w:left="487" w:hanging="354"/>
        <w:spacing w:after="0"/>
        <w:tabs>
          <w:tab w:leader="none" w:pos="487"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869 931</w:t>
      </w:r>
    </w:p>
    <w:p>
      <w:pPr>
        <w:spacing w:after="0" w:line="4" w:lineRule="exact"/>
        <w:rPr>
          <w:rFonts w:ascii="Courier New" w:cs="Courier New" w:eastAsia="Courier New" w:hAnsi="Courier New"/>
          <w:sz w:val="15"/>
          <w:szCs w:val="15"/>
          <w:color w:val="auto"/>
        </w:rPr>
      </w:pPr>
    </w:p>
    <w:p>
      <w:pPr>
        <w:ind w:left="167" w:hanging="167"/>
        <w:spacing w:after="0"/>
        <w:tabs>
          <w:tab w:leader="none" w:pos="167"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267"/>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Weighted</w:t>
      </w:r>
    </w:p>
    <w:p>
      <w:pPr>
        <w:spacing w:after="0" w:line="5" w:lineRule="exact"/>
        <w:rPr>
          <w:rFonts w:ascii="Courier New" w:cs="Courier New" w:eastAsia="Courier New" w:hAnsi="Courier New"/>
          <w:sz w:val="14"/>
          <w:szCs w:val="14"/>
          <w:color w:val="auto"/>
        </w:rPr>
      </w:pPr>
    </w:p>
    <w:p>
      <w:pPr>
        <w:ind w:left="47"/>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average</w:t>
      </w:r>
    </w:p>
    <w:p>
      <w:pPr>
        <w:ind w:left="87"/>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shares</w:t>
      </w:r>
    </w:p>
    <w:p>
      <w:pPr>
        <w:ind w:left="227"/>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for</w:t>
      </w:r>
    </w:p>
    <w:p>
      <w:pPr>
        <w:ind w:left="47"/>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diluted</w:t>
      </w:r>
    </w:p>
    <w:p>
      <w:pPr>
        <w:ind w:left="227"/>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EPS</w:t>
      </w:r>
    </w:p>
    <w:p>
      <w:pPr>
        <w:ind w:left="127"/>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1,737</w:t>
      </w:r>
    </w:p>
    <w:p>
      <w:pPr>
        <w:ind w:left="127"/>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1,738</w:t>
      </w:r>
    </w:p>
    <w:p>
      <w:pPr>
        <w:ind w:left="127"/>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1,737</w:t>
      </w:r>
    </w:p>
    <w:p>
      <w:pPr>
        <w:ind w:left="47"/>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1,734 -</w:t>
      </w:r>
    </w:p>
    <w:p>
      <w:pPr>
        <w:spacing w:after="0" w:line="4"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227"/>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Per</w:t>
      </w:r>
    </w:p>
    <w:p>
      <w:pPr>
        <w:spacing w:after="0" w:line="4" w:lineRule="exact"/>
        <w:rPr>
          <w:rFonts w:ascii="Courier New" w:cs="Courier New" w:eastAsia="Courier New" w:hAnsi="Courier New"/>
          <w:sz w:val="14"/>
          <w:szCs w:val="14"/>
          <w:color w:val="auto"/>
        </w:rPr>
      </w:pPr>
    </w:p>
    <w:p>
      <w:pPr>
        <w:jc w:val="both"/>
        <w:ind w:left="87" w:right="9559" w:firstLine="44"/>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share data: Basic EPS $ 0.40 $</w:t>
      </w:r>
    </w:p>
    <w:p>
      <w:pPr>
        <w:ind w:left="87"/>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0.52 $</w:t>
      </w:r>
    </w:p>
    <w:p>
      <w:pPr>
        <w:ind w:left="87"/>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0.50 $</w:t>
      </w:r>
    </w:p>
    <w:p>
      <w:pPr>
        <w:spacing w:after="0" w:line="4"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0.54 - -</w:t>
      </w:r>
    </w:p>
    <w:p>
      <w:pPr>
        <w:spacing w:after="0" w:line="10"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47"/>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7"/>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Diluted</w:t>
      </w:r>
    </w:p>
    <w:p>
      <w:pPr>
        <w:ind w:left="127"/>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EPS $</w:t>
      </w:r>
    </w:p>
    <w:p>
      <w:pPr>
        <w:ind w:left="87"/>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0.40 $</w:t>
      </w:r>
    </w:p>
    <w:p>
      <w:pPr>
        <w:ind w:left="87"/>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0.52 $</w:t>
      </w:r>
    </w:p>
    <w:p>
      <w:pPr>
        <w:ind w:left="87"/>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0.50 $</w:t>
      </w:r>
    </w:p>
    <w:p>
      <w:pPr>
        <w:spacing w:after="0" w:line="4"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0.54 - -</w:t>
      </w:r>
    </w:p>
    <w:p>
      <w:pPr>
        <w:spacing w:after="0" w:line="10"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186"/>
          </w:cols>
          <w:pgMar w:left="273" w:top="141" w:right="1440" w:bottom="0" w:gutter="0" w:footer="0" w:header="0"/>
        </w:sectPr>
      </w:pPr>
    </w:p>
    <w:bookmarkStart w:id="53" w:name="page54"/>
    <w:bookmarkEnd w:id="53"/>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declared</w:t>
      </w:r>
    </w:p>
    <w:tbl>
      <w:tblPr>
        <w:tblLayout w:type="fixed"/>
        <w:tblInd w:w="40" w:type="dxa"/>
        <w:tblCellMar>
          <w:top w:w="0" w:type="dxa"/>
          <w:left w:w="0" w:type="dxa"/>
          <w:bottom w:w="0" w:type="dxa"/>
          <w:right w:w="0" w:type="dxa"/>
        </w:tblCellMar>
      </w:tblPr>
      <w:tr>
        <w:trPr>
          <w:trHeight w:val="170"/>
        </w:trPr>
        <w:tc>
          <w:tcPr>
            <w:tcW w:w="520" w:type="dxa"/>
            <w:vAlign w:val="bottom"/>
          </w:tcPr>
          <w:p>
            <w:pPr>
              <w:jc w:val="center"/>
              <w:spacing w:after="0"/>
              <w:rPr>
                <w:sz w:val="20"/>
                <w:szCs w:val="20"/>
                <w:color w:val="auto"/>
              </w:rPr>
            </w:pPr>
            <w:r>
              <w:rPr>
                <w:rFonts w:ascii="Courier New" w:cs="Courier New" w:eastAsia="Courier New" w:hAnsi="Courier New"/>
                <w:sz w:val="15"/>
                <w:szCs w:val="15"/>
                <w:color w:val="auto"/>
                <w:w w:val="96"/>
              </w:rPr>
              <w:t>$ 0.13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0" w:type="dxa"/>
            <w:vAlign w:val="bottom"/>
          </w:tcPr>
          <w:p>
            <w:pPr>
              <w:jc w:val="center"/>
              <w:spacing w:after="0"/>
              <w:rPr>
                <w:sz w:val="20"/>
                <w:szCs w:val="20"/>
                <w:color w:val="auto"/>
              </w:rPr>
            </w:pPr>
            <w:r>
              <w:rPr>
                <w:rFonts w:ascii="Courier New" w:cs="Courier New" w:eastAsia="Courier New" w:hAnsi="Courier New"/>
                <w:sz w:val="15"/>
                <w:szCs w:val="15"/>
                <w:color w:val="auto"/>
                <w:w w:val="99"/>
              </w:rPr>
              <w:t>0.13</w:t>
            </w:r>
          </w:p>
        </w:tc>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520" w:type="dxa"/>
            <w:vAlign w:val="bottom"/>
          </w:tcPr>
          <w:p>
            <w:pPr>
              <w:jc w:val="center"/>
              <w:spacing w:after="0"/>
              <w:rPr>
                <w:sz w:val="20"/>
                <w:szCs w:val="20"/>
                <w:color w:val="auto"/>
              </w:rPr>
            </w:pPr>
            <w:r>
              <w:rPr>
                <w:rFonts w:ascii="Courier New" w:cs="Courier New" w:eastAsia="Courier New" w:hAnsi="Courier New"/>
                <w:sz w:val="15"/>
                <w:szCs w:val="15"/>
                <w:color w:val="auto"/>
                <w:w w:val="99"/>
              </w:rPr>
              <w:t>0.15</w:t>
            </w:r>
          </w:p>
        </w:tc>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520" w:type="dxa"/>
            <w:vAlign w:val="bottom"/>
          </w:tcPr>
          <w:p>
            <w:pPr>
              <w:jc w:val="center"/>
              <w:spacing w:after="0"/>
              <w:rPr>
                <w:sz w:val="20"/>
                <w:szCs w:val="20"/>
                <w:color w:val="auto"/>
              </w:rPr>
            </w:pPr>
            <w:r>
              <w:rPr>
                <w:rFonts w:ascii="Courier New" w:cs="Courier New" w:eastAsia="Courier New" w:hAnsi="Courier New"/>
                <w:sz w:val="15"/>
                <w:szCs w:val="15"/>
                <w:color w:val="auto"/>
                <w:w w:val="96"/>
              </w:rPr>
              <w:t>0.15 -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Market</w:t>
            </w:r>
          </w:p>
        </w:tc>
      </w:tr>
      <w:tr>
        <w:trPr>
          <w:trHeight w:val="170"/>
        </w:trPr>
        <w:tc>
          <w:tcPr>
            <w:tcW w:w="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price--</w:t>
            </w:r>
          </w:p>
        </w:tc>
      </w:tr>
      <w:tr>
        <w:trPr>
          <w:trHeight w:val="170"/>
        </w:trPr>
        <w:tc>
          <w:tcPr>
            <w:tcW w:w="52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high</w:t>
            </w:r>
          </w:p>
        </w:tc>
        <w:tc>
          <w:tcPr>
            <w:tcW w:w="180" w:type="dxa"/>
            <w:vAlign w:val="bottom"/>
          </w:tcPr>
          <w:p>
            <w:pPr>
              <w:spacing w:after="0"/>
              <w:rPr>
                <w:sz w:val="14"/>
                <w:szCs w:val="14"/>
                <w:color w:val="auto"/>
              </w:rPr>
            </w:pPr>
          </w:p>
        </w:tc>
      </w:tr>
      <w:tr>
        <w:trPr>
          <w:trHeight w:val="170"/>
        </w:trPr>
        <w:tc>
          <w:tcPr>
            <w:tcW w:w="520" w:type="dxa"/>
            <w:vAlign w:val="bottom"/>
          </w:tcPr>
          <w:p>
            <w:pPr>
              <w:jc w:val="center"/>
              <w:spacing w:after="0"/>
              <w:rPr>
                <w:sz w:val="20"/>
                <w:szCs w:val="20"/>
                <w:color w:val="auto"/>
              </w:rPr>
            </w:pPr>
            <w:r>
              <w:rPr>
                <w:rFonts w:ascii="Courier New" w:cs="Courier New" w:eastAsia="Courier New" w:hAnsi="Courier New"/>
                <w:sz w:val="15"/>
                <w:szCs w:val="15"/>
                <w:color w:val="auto"/>
                <w:w w:val="96"/>
              </w:rPr>
              <w:t>$39.70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0" w:type="dxa"/>
            <w:vAlign w:val="bottom"/>
          </w:tcPr>
          <w:p>
            <w:pPr>
              <w:jc w:val="center"/>
              <w:spacing w:after="0"/>
              <w:rPr>
                <w:sz w:val="20"/>
                <w:szCs w:val="20"/>
                <w:color w:val="auto"/>
              </w:rPr>
            </w:pPr>
            <w:r>
              <w:rPr>
                <w:rFonts w:ascii="Courier New" w:cs="Courier New" w:eastAsia="Courier New" w:hAnsi="Courier New"/>
                <w:sz w:val="15"/>
                <w:szCs w:val="15"/>
                <w:color w:val="auto"/>
                <w:w w:val="97"/>
              </w:rPr>
              <w:t>43.95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41.70</w:t>
            </w:r>
          </w:p>
        </w:tc>
      </w:tr>
      <w:tr>
        <w:trPr>
          <w:trHeight w:val="170"/>
        </w:trPr>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$41.30 -</w:t>
            </w:r>
          </w:p>
        </w:tc>
      </w:tr>
      <w:tr>
        <w:trPr>
          <w:trHeight w:val="170"/>
        </w:trPr>
        <w:tc>
          <w:tcPr>
            <w:tcW w:w="52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-low</w:t>
            </w:r>
          </w:p>
        </w:tc>
        <w:tc>
          <w:tcPr>
            <w:tcW w:w="180" w:type="dxa"/>
            <w:vAlign w:val="bottom"/>
          </w:tcPr>
          <w:p>
            <w:pPr>
              <w:spacing w:after="0"/>
              <w:rPr>
                <w:sz w:val="14"/>
                <w:szCs w:val="14"/>
                <w:color w:val="auto"/>
              </w:rPr>
            </w:pPr>
          </w:p>
        </w:tc>
      </w:tr>
      <w:tr>
        <w:trPr>
          <w:trHeight w:val="170"/>
        </w:trPr>
        <w:tc>
          <w:tcPr>
            <w:tcW w:w="520" w:type="dxa"/>
            <w:vAlign w:val="bottom"/>
          </w:tcPr>
          <w:p>
            <w:pPr>
              <w:jc w:val="center"/>
              <w:spacing w:after="0"/>
              <w:rPr>
                <w:sz w:val="20"/>
                <w:szCs w:val="20"/>
                <w:color w:val="auto"/>
              </w:rPr>
            </w:pPr>
            <w:r>
              <w:rPr>
                <w:rFonts w:ascii="Courier New" w:cs="Courier New" w:eastAsia="Courier New" w:hAnsi="Courier New"/>
                <w:sz w:val="15"/>
                <w:szCs w:val="15"/>
                <w:color w:val="auto"/>
                <w:w w:val="96"/>
              </w:rPr>
              <w:t>$32.50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0" w:type="dxa"/>
            <w:vAlign w:val="bottom"/>
          </w:tcPr>
          <w:p>
            <w:pPr>
              <w:jc w:val="center"/>
              <w:spacing w:after="0"/>
              <w:rPr>
                <w:sz w:val="20"/>
                <w:szCs w:val="20"/>
                <w:color w:val="auto"/>
              </w:rPr>
            </w:pPr>
            <w:r>
              <w:rPr>
                <w:rFonts w:ascii="Courier New" w:cs="Courier New" w:eastAsia="Courier New" w:hAnsi="Courier New"/>
                <w:sz w:val="15"/>
                <w:szCs w:val="15"/>
                <w:color w:val="auto"/>
                <w:w w:val="97"/>
              </w:rPr>
              <w:t>38.32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jc w:val="center"/>
        <w:ind w:right="9439"/>
        <w:spacing w:after="0"/>
        <w:rPr>
          <w:sz w:val="20"/>
          <w:szCs w:val="20"/>
          <w:color w:val="auto"/>
        </w:rPr>
      </w:pPr>
      <w:r>
        <w:rPr>
          <w:rFonts w:ascii="Courier New" w:cs="Courier New" w:eastAsia="Courier New" w:hAnsi="Courier New"/>
          <w:sz w:val="15"/>
          <w:szCs w:val="15"/>
          <w:color w:val="auto"/>
        </w:rPr>
        <w:t>33.87</w:t>
      </w:r>
    </w:p>
    <w:p>
      <w:pPr>
        <w:jc w:val="center"/>
        <w:ind w:right="9439"/>
        <w:spacing w:after="0"/>
        <w:rPr>
          <w:sz w:val="20"/>
          <w:szCs w:val="20"/>
          <w:color w:val="auto"/>
        </w:rPr>
      </w:pPr>
      <w:r>
        <w:rPr>
          <w:rFonts w:ascii="Courier New" w:cs="Courier New" w:eastAsia="Courier New" w:hAnsi="Courier New"/>
          <w:sz w:val="15"/>
          <w:szCs w:val="15"/>
          <w:color w:val="auto"/>
        </w:rPr>
        <w:t>$36.12 -</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jc w:val="center"/>
        <w:ind w:right="9439"/>
        <w:spacing w:after="0" w:line="238" w:lineRule="auto"/>
        <w:rPr>
          <w:sz w:val="20"/>
          <w:szCs w:val="20"/>
          <w:color w:val="auto"/>
        </w:rPr>
      </w:pPr>
      <w:r>
        <w:rPr>
          <w:rFonts w:ascii="Courier New" w:cs="Courier New" w:eastAsia="Courier New" w:hAnsi="Courier New"/>
          <w:sz w:val="15"/>
          <w:szCs w:val="15"/>
          <w:color w:val="auto"/>
        </w:rPr>
        <w:t>(in</w:t>
      </w:r>
    </w:p>
    <w:p>
      <w:pPr>
        <w:spacing w:after="0" w:line="5"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4"/>
          <w:szCs w:val="14"/>
          <w:color w:val="auto"/>
        </w:rPr>
        <w:t>millions,</w:t>
      </w:r>
    </w:p>
    <w:p>
      <w:pPr>
        <w:spacing w:after="0" w:line="5"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except</w:t>
      </w:r>
    </w:p>
    <w:p>
      <w:pPr>
        <w:jc w:val="center"/>
        <w:ind w:right="9439"/>
        <w:spacing w:after="0"/>
        <w:rPr>
          <w:sz w:val="20"/>
          <w:szCs w:val="20"/>
          <w:color w:val="auto"/>
        </w:rPr>
      </w:pPr>
      <w:r>
        <w:rPr>
          <w:rFonts w:ascii="Courier New" w:cs="Courier New" w:eastAsia="Courier New" w:hAnsi="Courier New"/>
          <w:sz w:val="15"/>
          <w:szCs w:val="15"/>
          <w:color w:val="auto"/>
        </w:rPr>
        <w:t>per</w:t>
      </w:r>
    </w:p>
    <w:p>
      <w:pPr>
        <w:jc w:val="center"/>
        <w:ind w:right="9439"/>
        <w:spacing w:after="0"/>
        <w:rPr>
          <w:sz w:val="20"/>
          <w:szCs w:val="20"/>
          <w:color w:val="auto"/>
        </w:rPr>
      </w:pPr>
      <w:r>
        <w:rPr>
          <w:rFonts w:ascii="Courier New" w:cs="Courier New" w:eastAsia="Courier New" w:hAnsi="Courier New"/>
          <w:sz w:val="15"/>
          <w:szCs w:val="15"/>
          <w:color w:val="auto"/>
        </w:rPr>
        <w:t>share</w:t>
      </w:r>
    </w:p>
    <w:p>
      <w:pPr>
        <w:jc w:val="center"/>
        <w:ind w:right="9439"/>
        <w:spacing w:after="0" w:line="238" w:lineRule="auto"/>
        <w:rPr>
          <w:sz w:val="20"/>
          <w:szCs w:val="20"/>
          <w:color w:val="auto"/>
        </w:rPr>
      </w:pPr>
      <w:r>
        <w:rPr>
          <w:rFonts w:ascii="Courier New" w:cs="Courier New" w:eastAsia="Courier New" w:hAnsi="Courier New"/>
          <w:sz w:val="15"/>
          <w:szCs w:val="15"/>
          <w:color w:val="auto"/>
        </w:rPr>
        <w:t>data)</w:t>
      </w:r>
    </w:p>
    <w:p>
      <w:pPr>
        <w:jc w:val="center"/>
        <w:ind w:right="9439"/>
        <w:spacing w:after="0"/>
        <w:rPr>
          <w:sz w:val="20"/>
          <w:szCs w:val="20"/>
          <w:color w:val="auto"/>
        </w:rPr>
      </w:pPr>
      <w:r>
        <w:rPr>
          <w:rFonts w:ascii="Courier New" w:cs="Courier New" w:eastAsia="Courier New" w:hAnsi="Courier New"/>
          <w:sz w:val="15"/>
          <w:szCs w:val="15"/>
          <w:color w:val="auto"/>
        </w:rPr>
        <w:t>2001</w:t>
      </w:r>
    </w:p>
    <w:p>
      <w:pPr>
        <w:jc w:val="center"/>
        <w:ind w:right="9439"/>
        <w:spacing w:after="0"/>
        <w:rPr>
          <w:sz w:val="20"/>
          <w:szCs w:val="20"/>
          <w:color w:val="auto"/>
        </w:rPr>
      </w:pPr>
      <w:r>
        <w:rPr>
          <w:rFonts w:ascii="Courier New" w:cs="Courier New" w:eastAsia="Courier New" w:hAnsi="Courier New"/>
          <w:sz w:val="15"/>
          <w:szCs w:val="15"/>
          <w:color w:val="auto"/>
        </w:rPr>
        <w:t>Quarters</w:t>
      </w:r>
    </w:p>
    <w:p>
      <w:pPr>
        <w:ind w:left="200" w:hanging="167"/>
        <w:spacing w:after="0" w:line="238" w:lineRule="auto"/>
        <w:tabs>
          <w:tab w:leader="none" w:pos="2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First</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Second</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Third</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Fourth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w:t>
      </w:r>
    </w:p>
    <w:p>
      <w:pPr>
        <w:spacing w:after="0" w:line="4" w:lineRule="exact"/>
        <w:rPr>
          <w:rFonts w:ascii="Courier New" w:cs="Courier New" w:eastAsia="Courier New" w:hAnsi="Courier New"/>
          <w:sz w:val="15"/>
          <w:szCs w:val="15"/>
          <w:color w:val="auto"/>
        </w:rPr>
      </w:pPr>
    </w:p>
    <w:p>
      <w:pPr>
        <w:jc w:val="center"/>
        <w:ind w:left="40" w:right="94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revenues $7,197 $ 7,473 $ 7,018 $7,546 -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Gross</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profit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$2,922 $</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3,071 $</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2,785</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$2,890 -</w:t>
      </w:r>
    </w:p>
    <w:p>
      <w:pPr>
        <w:sectPr>
          <w:pgSz w:w="11900" w:h="16838" w:orient="portrait"/>
          <w:cols w:equalWidth="0" w:num="1">
            <w:col w:w="10219"/>
          </w:cols>
          <w:pgMar w:left="240" w:top="136" w:right="1440" w:bottom="0" w:gutter="0" w:footer="0" w:header="0"/>
        </w:sectPr>
      </w:pPr>
    </w:p>
    <w:bookmarkStart w:id="54" w:name="page55"/>
    <w:bookmarkEnd w:id="54"/>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jc w:val="center"/>
        <w:ind w:right="9439"/>
        <w:spacing w:after="0" w:line="238" w:lineRule="auto"/>
        <w:rPr>
          <w:sz w:val="20"/>
          <w:szCs w:val="20"/>
          <w:color w:val="auto"/>
        </w:rPr>
      </w:pPr>
      <w:r>
        <w:rPr>
          <w:rFonts w:ascii="Courier New" w:cs="Courier New" w:eastAsia="Courier New" w:hAnsi="Courier New"/>
          <w:sz w:val="15"/>
          <w:szCs w:val="15"/>
          <w:color w:val="auto"/>
        </w:rPr>
        <w:t>Net</w:t>
      </w:r>
    </w:p>
    <w:p>
      <w:pPr>
        <w:jc w:val="center"/>
        <w:ind w:right="9439"/>
        <w:spacing w:after="0"/>
        <w:rPr>
          <w:sz w:val="20"/>
          <w:szCs w:val="20"/>
          <w:color w:val="auto"/>
        </w:rPr>
      </w:pPr>
      <w:r>
        <w:rPr>
          <w:rFonts w:ascii="Courier New" w:cs="Courier New" w:eastAsia="Courier New" w:hAnsi="Courier New"/>
          <w:sz w:val="15"/>
          <w:szCs w:val="15"/>
          <w:color w:val="auto"/>
        </w:rPr>
        <w:t>earnings</w:t>
      </w:r>
    </w:p>
    <w:tbl>
      <w:tblPr>
        <w:tblLayout w:type="fixed"/>
        <w:tblInd w:w="40" w:type="dxa"/>
        <w:tblCellMar>
          <w:top w:w="0" w:type="dxa"/>
          <w:left w:w="0" w:type="dxa"/>
          <w:bottom w:w="0" w:type="dxa"/>
          <w:right w:w="0" w:type="dxa"/>
        </w:tblCellMar>
      </w:tblPr>
      <w:tr>
        <w:trPr>
          <w:trHeight w:val="169"/>
        </w:trPr>
        <w:tc>
          <w:tcPr>
            <w:tcW w:w="480" w:type="dxa"/>
            <w:vAlign w:val="bottom"/>
          </w:tcPr>
          <w:p>
            <w:pPr>
              <w:jc w:val="center"/>
              <w:spacing w:after="0"/>
              <w:rPr>
                <w:sz w:val="20"/>
                <w:szCs w:val="20"/>
                <w:color w:val="auto"/>
              </w:rPr>
            </w:pPr>
            <w:r>
              <w:rPr>
                <w:rFonts w:ascii="Courier New" w:cs="Courier New" w:eastAsia="Courier New" w:hAnsi="Courier New"/>
                <w:sz w:val="15"/>
                <w:szCs w:val="15"/>
                <w:color w:val="auto"/>
                <w:w w:val="97"/>
              </w:rPr>
              <w:t>$ 326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0" w:type="dxa"/>
            <w:vAlign w:val="bottom"/>
          </w:tcPr>
          <w:p>
            <w:pPr>
              <w:jc w:val="center"/>
              <w:spacing w:after="0"/>
              <w:rPr>
                <w:sz w:val="20"/>
                <w:szCs w:val="20"/>
                <w:color w:val="auto"/>
              </w:rPr>
            </w:pPr>
            <w:r>
              <w:rPr>
                <w:rFonts w:ascii="Courier New" w:cs="Courier New" w:eastAsia="Courier New" w:hAnsi="Courier New"/>
                <w:sz w:val="15"/>
                <w:szCs w:val="15"/>
                <w:color w:val="auto"/>
              </w:rPr>
              <w:t>505</w:t>
            </w:r>
          </w:p>
        </w:tc>
        <w:tc>
          <w:tcPr>
            <w:tcW w:w="2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70"/>
              </w:rPr>
              <w:t>$</w:t>
            </w:r>
          </w:p>
        </w:tc>
      </w:tr>
      <w:tr>
        <w:trPr>
          <w:trHeight w:val="170"/>
        </w:trPr>
        <w:tc>
          <w:tcPr>
            <w:tcW w:w="480" w:type="dxa"/>
            <w:vAlign w:val="bottom"/>
          </w:tcPr>
          <w:p>
            <w:pPr>
              <w:jc w:val="center"/>
              <w:spacing w:after="0"/>
              <w:rPr>
                <w:sz w:val="20"/>
                <w:szCs w:val="20"/>
                <w:color w:val="auto"/>
              </w:rPr>
            </w:pPr>
            <w:r>
              <w:rPr>
                <w:rFonts w:ascii="Courier New" w:cs="Courier New" w:eastAsia="Courier New" w:hAnsi="Courier New"/>
                <w:sz w:val="15"/>
                <w:szCs w:val="15"/>
                <w:color w:val="auto"/>
              </w:rPr>
              <w:t>503</w:t>
            </w:r>
          </w:p>
        </w:tc>
        <w:tc>
          <w:tcPr>
            <w:tcW w:w="2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70"/>
              </w:rPr>
              <w:t>$</w:t>
            </w:r>
          </w:p>
        </w:tc>
      </w:tr>
      <w:tr>
        <w:trPr>
          <w:trHeight w:val="170"/>
        </w:trPr>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548 -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Weighted</w:t>
            </w:r>
          </w:p>
        </w:tc>
      </w:tr>
      <w:tr>
        <w:trPr>
          <w:trHeight w:val="170"/>
        </w:trPr>
        <w:tc>
          <w:tcPr>
            <w:tcW w:w="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average</w:t>
            </w:r>
          </w:p>
        </w:tc>
      </w:tr>
      <w:tr>
        <w:trPr>
          <w:trHeight w:val="170"/>
        </w:trPr>
        <w:tc>
          <w:tcPr>
            <w:tcW w:w="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shares</w:t>
            </w:r>
          </w:p>
        </w:tc>
      </w:tr>
      <w:tr>
        <w:trPr>
          <w:trHeight w:val="170"/>
        </w:trPr>
        <w:tc>
          <w:tcPr>
            <w:tcW w:w="48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6"/>
              </w:rPr>
              <w:t>for</w:t>
            </w:r>
          </w:p>
        </w:tc>
        <w:tc>
          <w:tcPr>
            <w:tcW w:w="220" w:type="dxa"/>
            <w:vAlign w:val="bottom"/>
          </w:tcPr>
          <w:p>
            <w:pPr>
              <w:spacing w:after="0"/>
              <w:rPr>
                <w:sz w:val="14"/>
                <w:szCs w:val="14"/>
                <w:color w:val="auto"/>
              </w:rPr>
            </w:pPr>
          </w:p>
        </w:tc>
      </w:tr>
      <w:tr>
        <w:trPr>
          <w:trHeight w:val="170"/>
        </w:trPr>
        <w:tc>
          <w:tcPr>
            <w:tcW w:w="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diluted</w:t>
            </w:r>
          </w:p>
        </w:tc>
      </w:tr>
      <w:tr>
        <w:trPr>
          <w:trHeight w:val="170"/>
        </w:trPr>
        <w:tc>
          <w:tcPr>
            <w:tcW w:w="48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6"/>
              </w:rPr>
              <w:t>EPS</w:t>
            </w:r>
          </w:p>
        </w:tc>
        <w:tc>
          <w:tcPr>
            <w:tcW w:w="220" w:type="dxa"/>
            <w:vAlign w:val="bottom"/>
          </w:tcPr>
          <w:p>
            <w:pPr>
              <w:spacing w:after="0"/>
              <w:rPr>
                <w:sz w:val="14"/>
                <w:szCs w:val="14"/>
                <w:color w:val="auto"/>
              </w:rPr>
            </w:pPr>
          </w:p>
        </w:tc>
      </w:tr>
      <w:tr>
        <w:trPr>
          <w:trHeight w:val="170"/>
        </w:trPr>
        <w:tc>
          <w:tcPr>
            <w:tcW w:w="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1,455</w:t>
            </w:r>
          </w:p>
        </w:tc>
      </w:tr>
      <w:tr>
        <w:trPr>
          <w:trHeight w:val="170"/>
        </w:trPr>
        <w:tc>
          <w:tcPr>
            <w:tcW w:w="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1,510</w:t>
            </w:r>
          </w:p>
        </w:tc>
      </w:tr>
      <w:tr>
        <w:trPr>
          <w:trHeight w:val="170"/>
        </w:trPr>
        <w:tc>
          <w:tcPr>
            <w:tcW w:w="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1,735</w:t>
            </w:r>
          </w:p>
        </w:tc>
      </w:tr>
      <w:tr>
        <w:trPr>
          <w:trHeight w:val="170"/>
        </w:trPr>
        <w:tc>
          <w:tcPr>
            <w:tcW w:w="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1,736 -</w:t>
            </w:r>
          </w:p>
        </w:tc>
      </w:tr>
      <w:tr>
        <w:trPr>
          <w:trHeight w:val="170"/>
        </w:trPr>
        <w:tc>
          <w:tcPr>
            <w:tcW w:w="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r>
    </w:tbl>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jc w:val="center"/>
        <w:ind w:right="9439"/>
        <w:spacing w:after="0" w:line="238" w:lineRule="auto"/>
        <w:rPr>
          <w:sz w:val="20"/>
          <w:szCs w:val="20"/>
          <w:color w:val="auto"/>
        </w:rPr>
      </w:pPr>
      <w:r>
        <w:rPr>
          <w:rFonts w:ascii="Courier New" w:cs="Courier New" w:eastAsia="Courier New" w:hAnsi="Courier New"/>
          <w:sz w:val="15"/>
          <w:szCs w:val="15"/>
          <w:color w:val="auto"/>
        </w:rPr>
        <w:t>Per</w:t>
      </w:r>
    </w:p>
    <w:p>
      <w:pPr>
        <w:ind w:left="160"/>
        <w:spacing w:after="0"/>
        <w:rPr>
          <w:sz w:val="20"/>
          <w:szCs w:val="20"/>
          <w:color w:val="auto"/>
        </w:rPr>
      </w:pPr>
      <w:r>
        <w:rPr>
          <w:rFonts w:ascii="Courier New" w:cs="Courier New" w:eastAsia="Courier New" w:hAnsi="Courier New"/>
          <w:sz w:val="15"/>
          <w:szCs w:val="15"/>
          <w:color w:val="auto"/>
        </w:rPr>
        <w:t>share</w:t>
      </w:r>
    </w:p>
    <w:p>
      <w:pPr>
        <w:ind w:left="160"/>
        <w:spacing w:after="0"/>
        <w:rPr>
          <w:sz w:val="20"/>
          <w:szCs w:val="20"/>
          <w:color w:val="auto"/>
        </w:rPr>
      </w:pPr>
      <w:r>
        <w:rPr>
          <w:rFonts w:ascii="Courier New" w:cs="Courier New" w:eastAsia="Courier New" w:hAnsi="Courier New"/>
          <w:sz w:val="15"/>
          <w:szCs w:val="15"/>
          <w:color w:val="auto"/>
        </w:rPr>
        <w:t>data:</w:t>
      </w:r>
    </w:p>
    <w:p>
      <w:pPr>
        <w:ind w:left="160"/>
        <w:spacing w:after="0" w:line="238" w:lineRule="auto"/>
        <w:rPr>
          <w:sz w:val="20"/>
          <w:szCs w:val="20"/>
          <w:color w:val="auto"/>
        </w:rPr>
      </w:pPr>
      <w:r>
        <w:rPr>
          <w:rFonts w:ascii="Courier New" w:cs="Courier New" w:eastAsia="Courier New" w:hAnsi="Courier New"/>
          <w:sz w:val="15"/>
          <w:szCs w:val="15"/>
          <w:color w:val="auto"/>
        </w:rPr>
        <w:t>Basic</w:t>
      </w:r>
    </w:p>
    <w:p>
      <w:pPr>
        <w:ind w:left="160"/>
        <w:spacing w:after="0"/>
        <w:rPr>
          <w:sz w:val="20"/>
          <w:szCs w:val="20"/>
          <w:color w:val="auto"/>
        </w:rPr>
      </w:pPr>
      <w:r>
        <w:rPr>
          <w:rFonts w:ascii="Courier New" w:cs="Courier New" w:eastAsia="Courier New" w:hAnsi="Courier New"/>
          <w:sz w:val="15"/>
          <w:szCs w:val="15"/>
          <w:color w:val="auto"/>
        </w:rPr>
        <w:t>EPS $</w:t>
      </w:r>
    </w:p>
    <w:tbl>
      <w:tblPr>
        <w:tblLayout w:type="fixed"/>
        <w:tblInd w:w="40" w:type="dxa"/>
        <w:tblCellMar>
          <w:top w:w="0" w:type="dxa"/>
          <w:left w:w="0" w:type="dxa"/>
          <w:bottom w:w="0" w:type="dxa"/>
          <w:right w:w="0" w:type="dxa"/>
        </w:tblCellMar>
      </w:tblPr>
      <w:tr>
        <w:trPr>
          <w:trHeight w:val="169"/>
        </w:trPr>
        <w:tc>
          <w:tcPr>
            <w:tcW w:w="520" w:type="dxa"/>
            <w:vAlign w:val="bottom"/>
          </w:tcPr>
          <w:p>
            <w:pPr>
              <w:jc w:val="center"/>
              <w:spacing w:after="0"/>
              <w:rPr>
                <w:sz w:val="20"/>
                <w:szCs w:val="20"/>
                <w:color w:val="auto"/>
              </w:rPr>
            </w:pPr>
            <w:r>
              <w:rPr>
                <w:rFonts w:ascii="Courier New" w:cs="Courier New" w:eastAsia="Courier New" w:hAnsi="Courier New"/>
                <w:sz w:val="15"/>
                <w:szCs w:val="15"/>
                <w:color w:val="auto"/>
                <w:w w:val="99"/>
              </w:rPr>
              <w:t>0.22</w:t>
            </w:r>
          </w:p>
        </w:tc>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520" w:type="dxa"/>
            <w:vAlign w:val="bottom"/>
          </w:tcPr>
          <w:p>
            <w:pPr>
              <w:jc w:val="center"/>
              <w:spacing w:after="0"/>
              <w:rPr>
                <w:sz w:val="20"/>
                <w:szCs w:val="20"/>
                <w:color w:val="auto"/>
              </w:rPr>
            </w:pPr>
            <w:r>
              <w:rPr>
                <w:rFonts w:ascii="Courier New" w:cs="Courier New" w:eastAsia="Courier New" w:hAnsi="Courier New"/>
                <w:sz w:val="15"/>
                <w:szCs w:val="15"/>
                <w:color w:val="auto"/>
                <w:w w:val="99"/>
              </w:rPr>
              <w:t>0.33</w:t>
            </w:r>
          </w:p>
        </w:tc>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520" w:type="dxa"/>
            <w:vAlign w:val="bottom"/>
          </w:tcPr>
          <w:p>
            <w:pPr>
              <w:jc w:val="center"/>
              <w:spacing w:after="0"/>
              <w:rPr>
                <w:sz w:val="20"/>
                <w:szCs w:val="20"/>
                <w:color w:val="auto"/>
              </w:rPr>
            </w:pPr>
            <w:r>
              <w:rPr>
                <w:rFonts w:ascii="Courier New" w:cs="Courier New" w:eastAsia="Courier New" w:hAnsi="Courier New"/>
                <w:sz w:val="15"/>
                <w:szCs w:val="15"/>
                <w:color w:val="auto"/>
                <w:w w:val="99"/>
              </w:rPr>
              <w:t>0.29</w:t>
            </w:r>
          </w:p>
        </w:tc>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520" w:type="dxa"/>
            <w:vAlign w:val="bottom"/>
          </w:tcPr>
          <w:p>
            <w:pPr>
              <w:jc w:val="center"/>
              <w:spacing w:after="0"/>
              <w:rPr>
                <w:sz w:val="20"/>
                <w:szCs w:val="20"/>
                <w:color w:val="auto"/>
              </w:rPr>
            </w:pPr>
            <w:r>
              <w:rPr>
                <w:rFonts w:ascii="Courier New" w:cs="Courier New" w:eastAsia="Courier New" w:hAnsi="Courier New"/>
                <w:sz w:val="15"/>
                <w:szCs w:val="15"/>
                <w:color w:val="auto"/>
                <w:w w:val="96"/>
              </w:rPr>
              <w:t>0.32 -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Diluted</w:t>
            </w:r>
          </w:p>
        </w:tc>
      </w:tr>
      <w:tr>
        <w:trPr>
          <w:trHeight w:val="170"/>
        </w:trPr>
        <w:tc>
          <w:tcPr>
            <w:tcW w:w="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EPS $</w:t>
            </w:r>
          </w:p>
        </w:tc>
      </w:tr>
      <w:tr>
        <w:trPr>
          <w:trHeight w:val="170"/>
        </w:trPr>
        <w:tc>
          <w:tcPr>
            <w:tcW w:w="520" w:type="dxa"/>
            <w:vAlign w:val="bottom"/>
          </w:tcPr>
          <w:p>
            <w:pPr>
              <w:jc w:val="center"/>
              <w:spacing w:after="0"/>
              <w:rPr>
                <w:sz w:val="20"/>
                <w:szCs w:val="20"/>
                <w:color w:val="auto"/>
              </w:rPr>
            </w:pPr>
            <w:r>
              <w:rPr>
                <w:rFonts w:ascii="Courier New" w:cs="Courier New" w:eastAsia="Courier New" w:hAnsi="Courier New"/>
                <w:sz w:val="15"/>
                <w:szCs w:val="15"/>
                <w:color w:val="auto"/>
                <w:w w:val="99"/>
              </w:rPr>
              <w:t>0.22</w:t>
            </w:r>
          </w:p>
        </w:tc>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520" w:type="dxa"/>
            <w:vAlign w:val="bottom"/>
          </w:tcPr>
          <w:p>
            <w:pPr>
              <w:jc w:val="center"/>
              <w:spacing w:after="0"/>
              <w:rPr>
                <w:sz w:val="20"/>
                <w:szCs w:val="20"/>
                <w:color w:val="auto"/>
              </w:rPr>
            </w:pPr>
            <w:r>
              <w:rPr>
                <w:rFonts w:ascii="Courier New" w:cs="Courier New" w:eastAsia="Courier New" w:hAnsi="Courier New"/>
                <w:sz w:val="15"/>
                <w:szCs w:val="15"/>
                <w:color w:val="auto"/>
                <w:w w:val="99"/>
              </w:rPr>
              <w:t>0.33</w:t>
            </w:r>
          </w:p>
        </w:tc>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520" w:type="dxa"/>
            <w:vAlign w:val="bottom"/>
          </w:tcPr>
          <w:p>
            <w:pPr>
              <w:jc w:val="center"/>
              <w:spacing w:after="0"/>
              <w:rPr>
                <w:sz w:val="20"/>
                <w:szCs w:val="20"/>
                <w:color w:val="auto"/>
              </w:rPr>
            </w:pPr>
            <w:r>
              <w:rPr>
                <w:rFonts w:ascii="Courier New" w:cs="Courier New" w:eastAsia="Courier New" w:hAnsi="Courier New"/>
                <w:sz w:val="15"/>
                <w:szCs w:val="15"/>
                <w:color w:val="auto"/>
                <w:w w:val="99"/>
              </w:rPr>
              <w:t>0.29</w:t>
            </w:r>
          </w:p>
        </w:tc>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520" w:type="dxa"/>
            <w:vAlign w:val="bottom"/>
          </w:tcPr>
          <w:p>
            <w:pPr>
              <w:jc w:val="center"/>
              <w:spacing w:after="0"/>
              <w:rPr>
                <w:sz w:val="20"/>
                <w:szCs w:val="20"/>
                <w:color w:val="auto"/>
              </w:rPr>
            </w:pPr>
            <w:r>
              <w:rPr>
                <w:rFonts w:ascii="Courier New" w:cs="Courier New" w:eastAsia="Courier New" w:hAnsi="Courier New"/>
                <w:sz w:val="15"/>
                <w:szCs w:val="15"/>
                <w:color w:val="auto"/>
                <w:w w:val="96"/>
              </w:rPr>
              <w:t>0.32 -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r>
    </w:tbl>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declared</w:t>
      </w:r>
    </w:p>
    <w:p>
      <w:pPr>
        <w:ind w:left="40"/>
        <w:spacing w:after="0"/>
        <w:rPr>
          <w:sz w:val="20"/>
          <w:szCs w:val="20"/>
          <w:color w:val="auto"/>
        </w:rPr>
      </w:pPr>
      <w:r>
        <w:rPr>
          <w:rFonts w:ascii="Courier New" w:cs="Courier New" w:eastAsia="Courier New" w:hAnsi="Courier New"/>
          <w:sz w:val="15"/>
          <w:szCs w:val="15"/>
          <w:color w:val="auto"/>
        </w:rPr>
        <w:t>$ 0.13 $</w:t>
      </w:r>
    </w:p>
    <w:p>
      <w:pPr>
        <w:ind w:left="40"/>
        <w:spacing w:after="0"/>
        <w:rPr>
          <w:sz w:val="20"/>
          <w:szCs w:val="20"/>
          <w:color w:val="auto"/>
        </w:rPr>
      </w:pPr>
      <w:r>
        <w:rPr>
          <w:rFonts w:ascii="Courier New" w:cs="Courier New" w:eastAsia="Courier New" w:hAnsi="Courier New"/>
          <w:sz w:val="15"/>
          <w:szCs w:val="15"/>
          <w:color w:val="auto"/>
        </w:rPr>
        <w:t>0.13 - -</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80"/>
        <w:spacing w:after="0"/>
        <w:rPr>
          <w:sz w:val="20"/>
          <w:szCs w:val="20"/>
          <w:color w:val="auto"/>
        </w:rPr>
      </w:pPr>
      <w:r>
        <w:rPr>
          <w:rFonts w:ascii="Courier New" w:cs="Courier New" w:eastAsia="Courier New" w:hAnsi="Courier New"/>
          <w:sz w:val="15"/>
          <w:szCs w:val="15"/>
          <w:color w:val="auto"/>
        </w:rPr>
        <w:t>-------</w:t>
      </w:r>
    </w:p>
    <w:p>
      <w:pPr>
        <w:ind w:left="120"/>
        <w:spacing w:after="0" w:line="238" w:lineRule="auto"/>
        <w:rPr>
          <w:sz w:val="20"/>
          <w:szCs w:val="20"/>
          <w:color w:val="auto"/>
        </w:rPr>
      </w:pPr>
      <w:r>
        <w:rPr>
          <w:rFonts w:ascii="Courier New" w:cs="Courier New" w:eastAsia="Courier New" w:hAnsi="Courier New"/>
          <w:sz w:val="15"/>
          <w:szCs w:val="15"/>
          <w:color w:val="auto"/>
        </w:rPr>
        <w:t>Market</w:t>
      </w:r>
    </w:p>
    <w:p>
      <w:pPr>
        <w:ind w:left="80"/>
        <w:spacing w:after="0"/>
        <w:rPr>
          <w:sz w:val="20"/>
          <w:szCs w:val="20"/>
          <w:color w:val="auto"/>
        </w:rPr>
      </w:pPr>
      <w:r>
        <w:rPr>
          <w:rFonts w:ascii="Courier New" w:cs="Courier New" w:eastAsia="Courier New" w:hAnsi="Courier New"/>
          <w:sz w:val="15"/>
          <w:szCs w:val="15"/>
          <w:color w:val="auto"/>
        </w:rPr>
        <w:t>price--</w:t>
      </w:r>
    </w:p>
    <w:p>
      <w:pPr>
        <w:sectPr>
          <w:pgSz w:w="11900" w:h="16838" w:orient="portrait"/>
          <w:cols w:equalWidth="0" w:num="1">
            <w:col w:w="10219"/>
          </w:cols>
          <w:pgMar w:left="240" w:top="136" w:right="1440" w:bottom="0" w:gutter="0" w:footer="0" w:header="0"/>
        </w:sectPr>
      </w:pPr>
    </w:p>
    <w:bookmarkStart w:id="55" w:name="page56"/>
    <w:bookmarkEnd w:id="55"/>
    <w:p>
      <w:pPr>
        <w:jc w:val="center"/>
        <w:ind w:right="9439"/>
        <w:spacing w:after="0"/>
        <w:rPr>
          <w:sz w:val="20"/>
          <w:szCs w:val="20"/>
          <w:color w:val="auto"/>
        </w:rPr>
      </w:pPr>
      <w:r>
        <w:rPr>
          <w:rFonts w:ascii="Courier New" w:cs="Courier New" w:eastAsia="Courier New" w:hAnsi="Courier New"/>
          <w:sz w:val="15"/>
          <w:szCs w:val="15"/>
          <w:color w:val="auto"/>
        </w:rPr>
        <w:t>high $</w:t>
      </w:r>
    </w:p>
    <w:p>
      <w:pPr>
        <w:jc w:val="center"/>
        <w:ind w:right="9439"/>
        <w:spacing w:after="0"/>
        <w:rPr>
          <w:sz w:val="20"/>
          <w:szCs w:val="20"/>
          <w:color w:val="auto"/>
        </w:rPr>
      </w:pPr>
      <w:r>
        <w:rPr>
          <w:rFonts w:ascii="Courier New" w:cs="Courier New" w:eastAsia="Courier New" w:hAnsi="Courier New"/>
          <w:sz w:val="15"/>
          <w:szCs w:val="15"/>
          <w:color w:val="auto"/>
        </w:rPr>
        <w:t>32.00 $</w:t>
      </w:r>
    </w:p>
    <w:p>
      <w:pPr>
        <w:jc w:val="center"/>
        <w:ind w:right="9439"/>
        <w:spacing w:after="0"/>
        <w:rPr>
          <w:sz w:val="20"/>
          <w:szCs w:val="20"/>
          <w:color w:val="auto"/>
        </w:rPr>
      </w:pPr>
      <w:r>
        <w:rPr>
          <w:rFonts w:ascii="Courier New" w:cs="Courier New" w:eastAsia="Courier New" w:hAnsi="Courier New"/>
          <w:sz w:val="15"/>
          <w:szCs w:val="15"/>
          <w:color w:val="auto"/>
        </w:rPr>
        <w:t>34.81</w:t>
      </w:r>
    </w:p>
    <w:p>
      <w:pPr>
        <w:jc w:val="center"/>
        <w:ind w:right="9439"/>
        <w:spacing w:after="0" w:line="238" w:lineRule="auto"/>
        <w:rPr>
          <w:sz w:val="20"/>
          <w:szCs w:val="20"/>
          <w:color w:val="auto"/>
        </w:rPr>
      </w:pPr>
      <w:r>
        <w:rPr>
          <w:rFonts w:ascii="Courier New" w:cs="Courier New" w:eastAsia="Courier New" w:hAnsi="Courier New"/>
          <w:sz w:val="15"/>
          <w:szCs w:val="15"/>
          <w:color w:val="auto"/>
        </w:rPr>
        <w:t>$35.57 -</w:t>
      </w:r>
    </w:p>
    <w:p>
      <w:pPr>
        <w:jc w:val="center"/>
        <w:ind w:right="9439"/>
        <w:spacing w:after="0"/>
        <w:rPr>
          <w:sz w:val="20"/>
          <w:szCs w:val="20"/>
          <w:color w:val="auto"/>
        </w:rPr>
      </w:pPr>
      <w:r>
        <w:rPr>
          <w:rFonts w:ascii="Courier New" w:cs="Courier New" w:eastAsia="Courier New" w:hAnsi="Courier New"/>
          <w:sz w:val="15"/>
          <w:szCs w:val="15"/>
          <w:color w:val="auto"/>
        </w:rPr>
        <w:t>-low $</w:t>
      </w:r>
    </w:p>
    <w:p>
      <w:pPr>
        <w:jc w:val="center"/>
        <w:ind w:right="9439"/>
        <w:spacing w:after="0"/>
        <w:rPr>
          <w:sz w:val="20"/>
          <w:szCs w:val="20"/>
          <w:color w:val="auto"/>
        </w:rPr>
      </w:pPr>
      <w:r>
        <w:rPr>
          <w:rFonts w:ascii="Courier New" w:cs="Courier New" w:eastAsia="Courier New" w:hAnsi="Courier New"/>
          <w:sz w:val="15"/>
          <w:szCs w:val="15"/>
          <w:color w:val="auto"/>
        </w:rPr>
        <w:t>29.50 $</w:t>
      </w:r>
    </w:p>
    <w:p>
      <w:pPr>
        <w:jc w:val="center"/>
        <w:ind w:right="9439"/>
        <w:spacing w:after="0" w:line="238" w:lineRule="auto"/>
        <w:rPr>
          <w:sz w:val="20"/>
          <w:szCs w:val="20"/>
          <w:color w:val="auto"/>
        </w:rPr>
      </w:pPr>
      <w:r>
        <w:rPr>
          <w:rFonts w:ascii="Courier New" w:cs="Courier New" w:eastAsia="Courier New" w:hAnsi="Courier New"/>
          <w:sz w:val="15"/>
          <w:szCs w:val="15"/>
          <w:color w:val="auto"/>
        </w:rPr>
        <w:t>30.00</w:t>
      </w:r>
    </w:p>
    <w:p>
      <w:pPr>
        <w:jc w:val="center"/>
        <w:ind w:right="9439"/>
        <w:spacing w:after="0"/>
        <w:rPr>
          <w:sz w:val="20"/>
          <w:szCs w:val="20"/>
          <w:color w:val="auto"/>
        </w:rPr>
      </w:pPr>
      <w:r>
        <w:rPr>
          <w:rFonts w:ascii="Courier New" w:cs="Courier New" w:eastAsia="Courier New" w:hAnsi="Courier New"/>
          <w:sz w:val="15"/>
          <w:szCs w:val="15"/>
          <w:color w:val="auto"/>
        </w:rPr>
        <w:t>$31.50 -</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spacing w:after="0" w:line="344"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Basic and diluted EPS are computed independently for each of the periods presented. Accordingly, the sum of the quarterly EPS amounts may not agree to the total year.</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During the first quarter of 2002, the Company recorded a pre-tax charge of $142 million related to employee acceptances of a voluntary retirement program and a pretax integration related charge of $27 million to consolidate production lines in North America.</w:t>
      </w:r>
    </w:p>
    <w:p>
      <w:pPr>
        <w:spacing w:after="0" w:line="176"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During the second quarter of 2002, the Company recorded a pre-tax integration related charge of $92 million to close a facility and for other consolidation programs. Also, during the second quarter of 2002, the Company sold a small business at a pre-tax gain of $3 million.</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During the fourth quarter of 2002, the Company sold two small businesses at an aggregate pre-tax gain of $77 million. Also, during the fourth quarter of 2002, the Company reversed $4 million of previously recorded integration related liabilities and $4 million related to the loss on sale of a food factory to the consolidated statement of earnings.</w:t>
      </w:r>
    </w:p>
    <w:p>
      <w:pPr>
        <w:spacing w:after="0" w:line="178"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During the first quarter of 2001, the Company recorded a pre-tax loss of $29 million for the sale of a North American food factory.</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On June 13, 2001, the Company completed an IPO by issuing 280 million shares of its Class A common stock. Also, during the second quarter of 2001, the Company sold a small business at a pre-tax gain of $8 million.</w:t>
      </w:r>
    </w:p>
    <w:p>
      <w:pPr>
        <w:spacing w:after="0" w:line="17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During the third quarter of 2001, the Company recorded a pre-tax integration related charge of $37 million to consolidate production lines in the United States.</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During the fourth quarter of 2001, the Company recorded a pre-tax integration related charge of $16 million for site reconfigurations and other consolidation programs in the United States.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pacing w:after="0" w:line="33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Kraft Foods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 Kraft Foods Inc.:</w:t>
      </w:r>
    </w:p>
    <w:p>
      <w:pPr>
        <w:spacing w:after="0" w:line="175"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In our opinion, the accompanying consolidated balance sheets and the related consolidated statements of earnings, shareholders' equity and cash flows present fairly, in all material respects, the consolidated financial position of Kraft Foods Inc. and its subsidiaries (the "Company") at December 31, 2002 and 2001, and the consolidated results of their operations and their cash flows for each of the three years in the period ended December 31, 2002,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5"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As discussed in Note 2 to the consolidated financial statements, on January 1, 2002, the Company adopted Statement of Financial Accounting Standards No. 142, "Goodwill and Other Intangible Assets."</w:t>
      </w:r>
    </w:p>
    <w:p>
      <w:pPr>
        <w:spacing w:after="0" w:line="169"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/s/ PricewaterhouseCoopers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Chicago, Illinois</w:t>
      </w:r>
    </w:p>
    <w:p>
      <w:pPr>
        <w:spacing w:after="0"/>
        <w:rPr>
          <w:sz w:val="20"/>
          <w:szCs w:val="20"/>
          <w:color w:val="auto"/>
        </w:rPr>
      </w:pPr>
      <w:r>
        <w:rPr>
          <w:rFonts w:ascii="Courier New" w:cs="Courier New" w:eastAsia="Courier New" w:hAnsi="Courier New"/>
          <w:sz w:val="15"/>
          <w:szCs w:val="15"/>
          <w:color w:val="auto"/>
        </w:rPr>
        <w:t>January 27, 2003</w:t>
      </w:r>
    </w:p>
    <w:p>
      <w:pPr>
        <w:sectPr>
          <w:pgSz w:w="11900" w:h="16838" w:orient="portrait"/>
          <w:cols w:equalWidth="0" w:num="1">
            <w:col w:w="10219"/>
          </w:cols>
          <w:pgMar w:left="240" w:top="136" w:right="1440" w:bottom="542"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Company Report on Financial Statements</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consolidated financial statements and all related financial information herein are the responsibility of the Company. The financial statements, which include amounts based on judgments, have been prepared in accordance with generally accepted accounting principles. Other financial information in the annual report is consistent with that in the financial statements.</w:t>
      </w:r>
    </w:p>
    <w:p>
      <w:pPr>
        <w:spacing w:after="0" w:line="178"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The Company maintains a system of internal controls that it believes provides reasonable assurance that transactions are executed in accordance with management's authorization and properly recorded, that assets are safeguarded, and that accountability for assets is maintained. The system of internal controls is characterized by a control-oriented environment within the Company, which includes written policies and procedures, careful selection and training of personnel, and audits by a professional staff of internal auditors.</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PricewaterhouseCoopers LLP, independent accountants, have audited and reported on the Company's consolidated financial statements. Their audits were performed in accordance with generally accepted auditing standards.</w:t>
      </w:r>
    </w:p>
    <w:p>
      <w:pPr>
        <w:spacing w:after="0" w:line="175"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The Audit Committee of the Board of Directors, composed of four non-employee directors, meets periodically with PricewaterhouseCoopers LLP, the Company's internal auditors and management representatives to review internal accounting control, auditing and financial reporting matters. Both PricewaterhouseCoopers LLP and the internal auditors have unrestricted access to the Audit Committee and may meet with it without management representatives being present.</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136" w:right="1440" w:bottom="1440" w:gutter="0" w:footer="0" w:header="0"/>
        </w:sectPr>
      </w:pPr>
    </w:p>
    <w:bookmarkStart w:id="57" w:name="page58"/>
    <w:bookmarkEnd w:id="57"/>
    <w:p>
      <w:pPr>
        <w:jc w:val="right"/>
        <w:ind w:right="3179"/>
        <w:spacing w:after="0"/>
        <w:rPr>
          <w:sz w:val="20"/>
          <w:szCs w:val="20"/>
          <w:color w:val="auto"/>
        </w:rPr>
      </w:pPr>
      <w:r>
        <w:rPr>
          <w:rFonts w:ascii="Courier New" w:cs="Courier New" w:eastAsia="Courier New" w:hAnsi="Courier New"/>
          <w:sz w:val="15"/>
          <w:szCs w:val="15"/>
          <w:color w:val="auto"/>
        </w:rPr>
        <w:t>Exhibit 21</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SUBSIDIARIES OF THE COMPANY</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Certain active subsidiaries of the Company and their subsidiaries as of December 31, 2002, are listed below. The names of certain subsidiaries, which considered in the aggregate would not constitute a significant subsidiary, have been omitted.</w:t>
      </w:r>
    </w:p>
    <w:p>
      <w:pPr>
        <w:spacing w:after="0" w:line="171" w:lineRule="exact"/>
        <w:rPr>
          <w:sz w:val="20"/>
          <w:szCs w:val="20"/>
          <w:color w:val="auto"/>
        </w:rPr>
      </w:pPr>
    </w:p>
    <w:p>
      <w:pPr>
        <w:ind w:left="20"/>
        <w:spacing w:after="0"/>
        <w:rPr>
          <w:sz w:val="20"/>
          <w:szCs w:val="20"/>
          <w:color w:val="auto"/>
        </w:rPr>
      </w:pPr>
      <w:r>
        <w:rPr>
          <w:rFonts w:ascii="Courier New" w:cs="Courier New" w:eastAsia="Courier New" w:hAnsi="Courier New"/>
          <w:sz w:val="15"/>
          <w:szCs w:val="15"/>
          <w:color w:val="auto"/>
        </w:rPr>
        <w:t>State or Country of Name Organization ---- ------------ KRAFT FOODS INC ---</w:t>
      </w:r>
    </w:p>
    <w:p>
      <w:pPr>
        <w:ind w:left="2020"/>
        <w:spacing w:after="0"/>
        <w:rPr>
          <w:sz w:val="20"/>
          <w:szCs w:val="20"/>
          <w:color w:val="auto"/>
        </w:rPr>
      </w:pPr>
      <w:r>
        <w:rPr>
          <w:rFonts w:ascii="Courier New" w:cs="Courier New" w:eastAsia="Courier New" w:hAnsi="Courier New"/>
          <w:sz w:val="15"/>
          <w:szCs w:val="15"/>
          <w:color w:val="auto"/>
        </w:rPr>
        <w:t>------------ 152999 Canada Inc</w:t>
      </w:r>
    </w:p>
    <w:p>
      <w:pPr>
        <w:ind w:left="20"/>
        <w:spacing w:after="0"/>
        <w:rPr>
          <w:sz w:val="20"/>
          <w:szCs w:val="20"/>
          <w:color w:val="auto"/>
        </w:rPr>
      </w:pPr>
      <w:r>
        <w:rPr>
          <w:rFonts w:ascii="Courier New" w:cs="Courier New" w:eastAsia="Courier New" w:hAnsi="Courier New"/>
          <w:sz w:val="15"/>
          <w:szCs w:val="15"/>
          <w:color w:val="auto"/>
        </w:rPr>
        <w:t>.................................................................... Canada</w:t>
      </w:r>
    </w:p>
    <w:p>
      <w:pPr>
        <w:jc w:val="center"/>
        <w:ind w:right="3539"/>
        <w:spacing w:after="0" w:line="238" w:lineRule="auto"/>
        <w:rPr>
          <w:sz w:val="20"/>
          <w:szCs w:val="20"/>
          <w:color w:val="auto"/>
        </w:rPr>
      </w:pPr>
      <w:r>
        <w:rPr>
          <w:rFonts w:ascii="Courier New" w:cs="Courier New" w:eastAsia="Courier New" w:hAnsi="Courier New"/>
          <w:sz w:val="15"/>
          <w:szCs w:val="15"/>
          <w:color w:val="auto"/>
        </w:rPr>
        <w:t>AB Kraft Foods Lietuva</w:t>
      </w:r>
    </w:p>
    <w:p>
      <w:pPr>
        <w:ind w:left="120"/>
        <w:spacing w:after="0"/>
        <w:rPr>
          <w:sz w:val="20"/>
          <w:szCs w:val="20"/>
          <w:color w:val="auto"/>
        </w:rPr>
      </w:pPr>
      <w:r>
        <w:rPr>
          <w:rFonts w:ascii="Courier New" w:cs="Courier New" w:eastAsia="Courier New" w:hAnsi="Courier New"/>
          <w:sz w:val="15"/>
          <w:szCs w:val="15"/>
          <w:color w:val="auto"/>
        </w:rPr>
        <w:t>............................................................... Lithuania</w:t>
      </w:r>
    </w:p>
    <w:p>
      <w:pPr>
        <w:jc w:val="center"/>
        <w:ind w:right="3539"/>
        <w:spacing w:after="0"/>
        <w:rPr>
          <w:sz w:val="20"/>
          <w:szCs w:val="20"/>
          <w:color w:val="auto"/>
        </w:rPr>
      </w:pPr>
      <w:r>
        <w:rPr>
          <w:rFonts w:ascii="Courier New" w:cs="Courier New" w:eastAsia="Courier New" w:hAnsi="Courier New"/>
          <w:sz w:val="15"/>
          <w:szCs w:val="15"/>
          <w:color w:val="auto"/>
        </w:rPr>
        <w:t>Aberdare Developments Ltd</w:t>
      </w:r>
    </w:p>
    <w:p>
      <w:pPr>
        <w:ind w:left="20"/>
        <w:spacing w:after="0" w:line="238" w:lineRule="auto"/>
        <w:rPr>
          <w:sz w:val="20"/>
          <w:szCs w:val="20"/>
          <w:color w:val="auto"/>
        </w:rPr>
      </w:pPr>
      <w:r>
        <w:rPr>
          <w:rFonts w:ascii="Courier New" w:cs="Courier New" w:eastAsia="Courier New" w:hAnsi="Courier New"/>
          <w:sz w:val="15"/>
          <w:szCs w:val="15"/>
          <w:color w:val="auto"/>
        </w:rPr>
        <w:t>............................................................ Virgin Islands</w:t>
      </w:r>
    </w:p>
    <w:p>
      <w:pPr>
        <w:jc w:val="center"/>
        <w:ind w:right="3539"/>
        <w:spacing w:after="0"/>
        <w:rPr>
          <w:sz w:val="20"/>
          <w:szCs w:val="20"/>
          <w:color w:val="auto"/>
        </w:rPr>
      </w:pPr>
      <w:r>
        <w:rPr>
          <w:rFonts w:ascii="Courier New" w:cs="Courier New" w:eastAsia="Courier New" w:hAnsi="Courier New"/>
          <w:sz w:val="15"/>
          <w:szCs w:val="15"/>
          <w:color w:val="auto"/>
        </w:rPr>
        <w:t>(British) AGF Pack, Inc.</w:t>
      </w:r>
    </w:p>
    <w:p>
      <w:pPr>
        <w:ind w:left="200"/>
        <w:spacing w:after="0"/>
        <w:rPr>
          <w:sz w:val="20"/>
          <w:szCs w:val="20"/>
          <w:color w:val="auto"/>
        </w:rPr>
      </w:pPr>
      <w:r>
        <w:rPr>
          <w:rFonts w:ascii="Courier New" w:cs="Courier New" w:eastAsia="Courier New" w:hAnsi="Courier New"/>
          <w:sz w:val="15"/>
          <w:szCs w:val="15"/>
          <w:color w:val="auto"/>
        </w:rPr>
        <w:t>.......................................................................</w:t>
      </w:r>
    </w:p>
    <w:p>
      <w:pPr>
        <w:jc w:val="center"/>
        <w:ind w:right="3539"/>
        <w:spacing w:after="0"/>
        <w:rPr>
          <w:sz w:val="20"/>
          <w:szCs w:val="20"/>
          <w:color w:val="auto"/>
        </w:rPr>
      </w:pPr>
      <w:r>
        <w:rPr>
          <w:rFonts w:ascii="Courier New" w:cs="Courier New" w:eastAsia="Courier New" w:hAnsi="Courier New"/>
          <w:sz w:val="15"/>
          <w:szCs w:val="15"/>
          <w:color w:val="auto"/>
        </w:rPr>
        <w:t>Japan AGF SP, Inc.</w:t>
      </w:r>
    </w:p>
    <w:p>
      <w:pPr>
        <w:ind w:left="120"/>
        <w:spacing w:after="0" w:line="238" w:lineRule="auto"/>
        <w:rPr>
          <w:sz w:val="20"/>
          <w:szCs w:val="20"/>
          <w:color w:val="auto"/>
        </w:rPr>
      </w:pPr>
      <w:r>
        <w:rPr>
          <w:rFonts w:ascii="Courier New" w:cs="Courier New" w:eastAsia="Courier New" w:hAnsi="Courier New"/>
          <w:sz w:val="15"/>
          <w:szCs w:val="15"/>
          <w:color w:val="auto"/>
        </w:rPr>
        <w:t>.........................................................................</w:t>
      </w:r>
    </w:p>
    <w:p>
      <w:pPr>
        <w:jc w:val="center"/>
        <w:ind w:right="3539"/>
        <w:spacing w:after="0"/>
        <w:rPr>
          <w:sz w:val="20"/>
          <w:szCs w:val="20"/>
          <w:color w:val="auto"/>
        </w:rPr>
      </w:pPr>
      <w:r>
        <w:rPr>
          <w:rFonts w:ascii="Courier New" w:cs="Courier New" w:eastAsia="Courier New" w:hAnsi="Courier New"/>
          <w:sz w:val="15"/>
          <w:szCs w:val="15"/>
          <w:color w:val="auto"/>
        </w:rPr>
        <w:t>Japan Airco IHC, Inc.</w:t>
      </w:r>
    </w:p>
    <w:p>
      <w:pPr>
        <w:ind w:left="240"/>
        <w:spacing w:after="0"/>
        <w:rPr>
          <w:sz w:val="20"/>
          <w:szCs w:val="20"/>
          <w:color w:val="auto"/>
        </w:rPr>
      </w:pPr>
      <w:r>
        <w:rPr>
          <w:rFonts w:ascii="Courier New" w:cs="Courier New" w:eastAsia="Courier New" w:hAnsi="Courier New"/>
          <w:sz w:val="15"/>
          <w:szCs w:val="15"/>
          <w:color w:val="auto"/>
        </w:rPr>
        <w:t>......................................................................</w:t>
      </w:r>
    </w:p>
    <w:p>
      <w:pPr>
        <w:jc w:val="center"/>
        <w:ind w:right="3539"/>
        <w:spacing w:after="0" w:line="238" w:lineRule="auto"/>
        <w:rPr>
          <w:sz w:val="20"/>
          <w:szCs w:val="20"/>
          <w:color w:val="auto"/>
        </w:rPr>
      </w:pPr>
      <w:r>
        <w:rPr>
          <w:rFonts w:ascii="Courier New" w:cs="Courier New" w:eastAsia="Courier New" w:hAnsi="Courier New"/>
          <w:sz w:val="15"/>
          <w:szCs w:val="15"/>
          <w:color w:val="auto"/>
        </w:rPr>
        <w:t>Delaware Ajinomoto General Foods, Inc.</w:t>
      </w:r>
    </w:p>
    <w:p>
      <w:pPr>
        <w:ind w:left="160"/>
        <w:spacing w:after="0"/>
        <w:rPr>
          <w:sz w:val="20"/>
          <w:szCs w:val="20"/>
          <w:color w:val="auto"/>
        </w:rPr>
      </w:pPr>
      <w:r>
        <w:rPr>
          <w:rFonts w:ascii="Courier New" w:cs="Courier New" w:eastAsia="Courier New" w:hAnsi="Courier New"/>
          <w:sz w:val="15"/>
          <w:szCs w:val="15"/>
          <w:color w:val="auto"/>
        </w:rPr>
        <w:t>........................................................ Japan Alimentos</w:t>
      </w:r>
    </w:p>
    <w:p>
      <w:pPr>
        <w:jc w:val="center"/>
        <w:ind w:right="3539"/>
        <w:spacing w:after="0"/>
        <w:rPr>
          <w:sz w:val="20"/>
          <w:szCs w:val="20"/>
          <w:color w:val="auto"/>
        </w:rPr>
      </w:pPr>
      <w:r>
        <w:rPr>
          <w:rFonts w:ascii="Courier New" w:cs="Courier New" w:eastAsia="Courier New" w:hAnsi="Courier New"/>
          <w:sz w:val="15"/>
          <w:szCs w:val="15"/>
          <w:color w:val="auto"/>
        </w:rPr>
        <w:t>Especiales, Sociedad Anonima</w:t>
      </w:r>
    </w:p>
    <w:p>
      <w:pPr>
        <w:ind w:left="300"/>
        <w:spacing w:after="0"/>
        <w:rPr>
          <w:sz w:val="20"/>
          <w:szCs w:val="20"/>
          <w:color w:val="auto"/>
        </w:rPr>
      </w:pPr>
      <w:r>
        <w:rPr>
          <w:rFonts w:ascii="Courier New" w:cs="Courier New" w:eastAsia="Courier New" w:hAnsi="Courier New"/>
          <w:sz w:val="15"/>
          <w:szCs w:val="15"/>
          <w:color w:val="auto"/>
        </w:rPr>
        <w:t>............................................... Guatemala Balance Bar</w:t>
      </w:r>
    </w:p>
    <w:p>
      <w:pPr>
        <w:ind w:left="80"/>
        <w:spacing w:after="0" w:line="238" w:lineRule="auto"/>
        <w:rPr>
          <w:sz w:val="20"/>
          <w:szCs w:val="20"/>
          <w:color w:val="auto"/>
        </w:rPr>
      </w:pPr>
      <w:r>
        <w:rPr>
          <w:rFonts w:ascii="Courier New" w:cs="Courier New" w:eastAsia="Courier New" w:hAnsi="Courier New"/>
          <w:sz w:val="15"/>
          <w:szCs w:val="15"/>
          <w:color w:val="auto"/>
        </w:rPr>
        <w:t>Company ..................................................................</w:t>
      </w:r>
    </w:p>
    <w:p>
      <w:pPr>
        <w:jc w:val="center"/>
        <w:ind w:right="3539"/>
        <w:spacing w:after="0"/>
        <w:rPr>
          <w:sz w:val="20"/>
          <w:szCs w:val="20"/>
          <w:color w:val="auto"/>
        </w:rPr>
      </w:pPr>
      <w:r>
        <w:rPr>
          <w:rFonts w:ascii="Courier New" w:cs="Courier New" w:eastAsia="Courier New" w:hAnsi="Courier New"/>
          <w:sz w:val="15"/>
          <w:szCs w:val="15"/>
          <w:color w:val="auto"/>
        </w:rPr>
        <w:t>Delaware Beijing Nabisco Food Company Ltd</w:t>
      </w:r>
    </w:p>
    <w:p>
      <w:pPr>
        <w:ind w:left="340"/>
        <w:spacing w:after="0"/>
        <w:rPr>
          <w:sz w:val="20"/>
          <w:szCs w:val="20"/>
          <w:color w:val="auto"/>
        </w:rPr>
      </w:pPr>
      <w:r>
        <w:rPr>
          <w:rFonts w:ascii="Courier New" w:cs="Courier New" w:eastAsia="Courier New" w:hAnsi="Courier New"/>
          <w:sz w:val="15"/>
          <w:szCs w:val="15"/>
          <w:color w:val="auto"/>
        </w:rPr>
        <w:t>..................................................... China Biscuits</w:t>
      </w:r>
    </w:p>
    <w:p>
      <w:pPr>
        <w:jc w:val="center"/>
        <w:ind w:right="3539"/>
        <w:spacing w:after="0" w:line="238" w:lineRule="auto"/>
        <w:rPr>
          <w:sz w:val="20"/>
          <w:szCs w:val="20"/>
          <w:color w:val="auto"/>
        </w:rPr>
      </w:pPr>
      <w:r>
        <w:rPr>
          <w:rFonts w:ascii="Courier New" w:cs="Courier New" w:eastAsia="Courier New" w:hAnsi="Courier New"/>
          <w:sz w:val="15"/>
          <w:szCs w:val="15"/>
          <w:color w:val="auto"/>
        </w:rPr>
        <w:t>Delacre</w:t>
      </w:r>
    </w:p>
    <w:p>
      <w:pPr>
        <w:ind w:left="300"/>
        <w:spacing w:after="0"/>
        <w:rPr>
          <w:sz w:val="20"/>
          <w:szCs w:val="20"/>
          <w:color w:val="auto"/>
        </w:rPr>
      </w:pPr>
      <w:r>
        <w:rPr>
          <w:rFonts w:ascii="Courier New" w:cs="Courier New" w:eastAsia="Courier New" w:hAnsi="Courier New"/>
          <w:sz w:val="15"/>
          <w:szCs w:val="15"/>
          <w:color w:val="auto"/>
        </w:rPr>
        <w:t>B.V..................................................................</w:t>
      </w:r>
    </w:p>
    <w:p>
      <w:pPr>
        <w:jc w:val="center"/>
        <w:ind w:right="3539"/>
        <w:spacing w:after="0"/>
        <w:rPr>
          <w:sz w:val="20"/>
          <w:szCs w:val="20"/>
          <w:color w:val="auto"/>
        </w:rPr>
      </w:pPr>
      <w:r>
        <w:rPr>
          <w:rFonts w:ascii="Courier New" w:cs="Courier New" w:eastAsia="Courier New" w:hAnsi="Courier New"/>
          <w:sz w:val="15"/>
          <w:szCs w:val="15"/>
          <w:color w:val="auto"/>
        </w:rPr>
        <w:t>Netherlands Boca Foods</w:t>
      </w:r>
    </w:p>
    <w:p>
      <w:pPr>
        <w:ind w:left="20"/>
        <w:spacing w:after="0"/>
        <w:rPr>
          <w:sz w:val="20"/>
          <w:szCs w:val="20"/>
          <w:color w:val="auto"/>
        </w:rPr>
      </w:pPr>
      <w:r>
        <w:rPr>
          <w:rFonts w:ascii="Courier New" w:cs="Courier New" w:eastAsia="Courier New" w:hAnsi="Courier New"/>
          <w:sz w:val="15"/>
          <w:szCs w:val="15"/>
          <w:color w:val="auto"/>
        </w:rPr>
        <w:t>Company....................................................................</w:t>
      </w:r>
    </w:p>
    <w:p>
      <w:pPr>
        <w:jc w:val="center"/>
        <w:ind w:right="3539"/>
        <w:spacing w:after="0" w:line="238" w:lineRule="auto"/>
        <w:rPr>
          <w:sz w:val="20"/>
          <w:szCs w:val="20"/>
          <w:color w:val="auto"/>
        </w:rPr>
      </w:pPr>
      <w:r>
        <w:rPr>
          <w:rFonts w:ascii="Courier New" w:cs="Courier New" w:eastAsia="Courier New" w:hAnsi="Courier New"/>
          <w:sz w:val="15"/>
          <w:szCs w:val="15"/>
          <w:color w:val="auto"/>
        </w:rPr>
        <w:t>Delaware Burlington Foods, Inc</w:t>
      </w:r>
    </w:p>
    <w:p>
      <w:pPr>
        <w:ind w:left="120"/>
        <w:spacing w:after="0"/>
        <w:rPr>
          <w:sz w:val="20"/>
          <w:szCs w:val="20"/>
          <w:color w:val="auto"/>
        </w:rPr>
      </w:pPr>
      <w:r>
        <w:rPr>
          <w:rFonts w:ascii="Courier New" w:cs="Courier New" w:eastAsia="Courier New" w:hAnsi="Courier New"/>
          <w:sz w:val="15"/>
          <w:szCs w:val="15"/>
          <w:color w:val="auto"/>
        </w:rPr>
        <w:t>................................................................ Delaware</w:t>
      </w:r>
    </w:p>
    <w:p>
      <w:pPr>
        <w:jc w:val="center"/>
        <w:ind w:right="3539"/>
        <w:spacing w:after="0"/>
        <w:rPr>
          <w:sz w:val="20"/>
          <w:szCs w:val="20"/>
          <w:color w:val="auto"/>
        </w:rPr>
      </w:pPr>
      <w:r>
        <w:rPr>
          <w:rFonts w:ascii="Courier New" w:cs="Courier New" w:eastAsia="Courier New" w:hAnsi="Courier New"/>
          <w:sz w:val="15"/>
          <w:szCs w:val="15"/>
          <w:color w:val="auto"/>
        </w:rPr>
        <w:t>Cafe Grand 'Mere S.A.S.</w:t>
      </w:r>
    </w:p>
    <w:p>
      <w:pPr>
        <w:ind w:left="300"/>
        <w:spacing w:after="0" w:line="238" w:lineRule="auto"/>
        <w:rPr>
          <w:sz w:val="20"/>
          <w:szCs w:val="20"/>
          <w:color w:val="auto"/>
        </w:rPr>
      </w:pPr>
      <w:r>
        <w:rPr>
          <w:rFonts w:ascii="Courier New" w:cs="Courier New" w:eastAsia="Courier New" w:hAnsi="Courier New"/>
          <w:sz w:val="15"/>
          <w:szCs w:val="15"/>
          <w:color w:val="auto"/>
        </w:rPr>
        <w:t>.............................................................. France</w:t>
      </w:r>
    </w:p>
    <w:p>
      <w:pPr>
        <w:jc w:val="center"/>
        <w:ind w:right="3539"/>
        <w:spacing w:after="0"/>
        <w:rPr>
          <w:sz w:val="20"/>
          <w:szCs w:val="20"/>
          <w:color w:val="auto"/>
        </w:rPr>
      </w:pPr>
      <w:r>
        <w:rPr>
          <w:rFonts w:ascii="Courier New" w:cs="Courier New" w:eastAsia="Courier New" w:hAnsi="Courier New"/>
          <w:sz w:val="15"/>
          <w:szCs w:val="15"/>
          <w:color w:val="auto"/>
        </w:rPr>
        <w:t>Callard &amp; Bowser-Suchard, Inc.</w:t>
      </w:r>
    </w:p>
    <w:p>
      <w:pPr>
        <w:ind w:left="20"/>
        <w:spacing w:after="0"/>
        <w:rPr>
          <w:sz w:val="20"/>
          <w:szCs w:val="20"/>
          <w:color w:val="auto"/>
        </w:rPr>
      </w:pPr>
      <w:r>
        <w:rPr>
          <w:rFonts w:ascii="Courier New" w:cs="Courier New" w:eastAsia="Courier New" w:hAnsi="Courier New"/>
          <w:sz w:val="15"/>
          <w:szCs w:val="15"/>
          <w:color w:val="auto"/>
        </w:rPr>
        <w:t>....................................................... Delaware Capri Sun,</w:t>
      </w:r>
    </w:p>
    <w:p>
      <w:pPr>
        <w:ind w:left="20"/>
        <w:spacing w:after="0" w:line="238" w:lineRule="auto"/>
        <w:rPr>
          <w:sz w:val="20"/>
          <w:szCs w:val="20"/>
          <w:color w:val="auto"/>
        </w:rPr>
      </w:pPr>
      <w:r>
        <w:rPr>
          <w:rFonts w:ascii="Courier New" w:cs="Courier New" w:eastAsia="Courier New" w:hAnsi="Courier New"/>
          <w:sz w:val="15"/>
          <w:szCs w:val="15"/>
          <w:color w:val="auto"/>
        </w:rPr>
        <w:t>Inc. ......................................................................</w:t>
      </w:r>
    </w:p>
    <w:p>
      <w:pPr>
        <w:jc w:val="center"/>
        <w:ind w:right="3539"/>
        <w:spacing w:after="0"/>
        <w:rPr>
          <w:sz w:val="20"/>
          <w:szCs w:val="20"/>
          <w:color w:val="auto"/>
        </w:rPr>
      </w:pPr>
      <w:r>
        <w:rPr>
          <w:rFonts w:ascii="Courier New" w:cs="Courier New" w:eastAsia="Courier New" w:hAnsi="Courier New"/>
          <w:sz w:val="15"/>
          <w:szCs w:val="15"/>
          <w:color w:val="auto"/>
        </w:rPr>
        <w:t>Delaware Carlton Lebensmittelvertriebs GmbH</w:t>
      </w:r>
    </w:p>
    <w:p>
      <w:pPr>
        <w:ind w:left="340"/>
        <w:spacing w:after="0"/>
        <w:rPr>
          <w:sz w:val="20"/>
          <w:szCs w:val="20"/>
          <w:color w:val="auto"/>
        </w:rPr>
      </w:pPr>
      <w:r>
        <w:rPr>
          <w:rFonts w:ascii="Courier New" w:cs="Courier New" w:eastAsia="Courier New" w:hAnsi="Courier New"/>
          <w:sz w:val="15"/>
          <w:szCs w:val="15"/>
          <w:color w:val="auto"/>
        </w:rPr>
        <w:t>................................................... Germany Carnes y</w:t>
      </w:r>
    </w:p>
    <w:p>
      <w:pPr>
        <w:jc w:val="center"/>
        <w:ind w:right="3539"/>
        <w:spacing w:after="0"/>
        <w:rPr>
          <w:sz w:val="20"/>
          <w:szCs w:val="20"/>
          <w:color w:val="auto"/>
        </w:rPr>
      </w:pPr>
      <w:r>
        <w:rPr>
          <w:rFonts w:ascii="Courier New" w:cs="Courier New" w:eastAsia="Courier New" w:hAnsi="Courier New"/>
          <w:sz w:val="15"/>
          <w:szCs w:val="15"/>
          <w:color w:val="auto"/>
        </w:rPr>
        <w:t>Conservas Espanolas, S.A.</w:t>
      </w:r>
    </w:p>
    <w:p>
      <w:pPr>
        <w:ind w:left="120"/>
        <w:spacing w:after="0" w:line="238" w:lineRule="auto"/>
        <w:rPr>
          <w:sz w:val="20"/>
          <w:szCs w:val="20"/>
          <w:color w:val="auto"/>
        </w:rPr>
      </w:pPr>
      <w:r>
        <w:rPr>
          <w:rFonts w:ascii="Courier New" w:cs="Courier New" w:eastAsia="Courier New" w:hAnsi="Courier New"/>
          <w:sz w:val="15"/>
          <w:szCs w:val="15"/>
          <w:color w:val="auto"/>
        </w:rPr>
        <w:t>................................................... Spain Churny Company,</w:t>
      </w:r>
    </w:p>
    <w:p>
      <w:pPr>
        <w:ind w:left="240"/>
        <w:spacing w:after="0"/>
        <w:rPr>
          <w:sz w:val="20"/>
          <w:szCs w:val="20"/>
          <w:color w:val="auto"/>
        </w:rPr>
      </w:pPr>
      <w:r>
        <w:rPr>
          <w:rFonts w:ascii="Courier New" w:cs="Courier New" w:eastAsia="Courier New" w:hAnsi="Courier New"/>
          <w:sz w:val="15"/>
          <w:szCs w:val="15"/>
          <w:color w:val="auto"/>
        </w:rPr>
        <w:t>Inc. .................................................................</w:t>
      </w:r>
    </w:p>
    <w:p>
      <w:pPr>
        <w:jc w:val="center"/>
        <w:ind w:right="3539"/>
        <w:spacing w:after="0"/>
        <w:rPr>
          <w:sz w:val="20"/>
          <w:szCs w:val="20"/>
          <w:color w:val="auto"/>
        </w:rPr>
      </w:pPr>
      <w:r>
        <w:rPr>
          <w:rFonts w:ascii="Courier New" w:cs="Courier New" w:eastAsia="Courier New" w:hAnsi="Courier New"/>
          <w:sz w:val="15"/>
          <w:szCs w:val="15"/>
          <w:color w:val="auto"/>
        </w:rPr>
        <w:t>Delaware Closed Joint Stock Company Kraft Foods Rus</w:t>
      </w:r>
    </w:p>
    <w:p>
      <w:pPr>
        <w:ind w:left="20"/>
        <w:spacing w:after="0" w:line="238" w:lineRule="auto"/>
        <w:rPr>
          <w:sz w:val="20"/>
          <w:szCs w:val="20"/>
          <w:color w:val="auto"/>
        </w:rPr>
      </w:pPr>
      <w:r>
        <w:rPr>
          <w:rFonts w:ascii="Courier New" w:cs="Courier New" w:eastAsia="Courier New" w:hAnsi="Courier New"/>
          <w:sz w:val="15"/>
          <w:szCs w:val="15"/>
          <w:color w:val="auto"/>
        </w:rPr>
        <w:t>........................................... Russian Federation Closed Joint</w:t>
      </w:r>
    </w:p>
    <w:p>
      <w:pPr>
        <w:ind w:left="120"/>
        <w:spacing w:after="0"/>
        <w:rPr>
          <w:sz w:val="20"/>
          <w:szCs w:val="20"/>
          <w:color w:val="auto"/>
        </w:rPr>
      </w:pPr>
      <w:r>
        <w:rPr>
          <w:rFonts w:ascii="Courier New" w:cs="Courier New" w:eastAsia="Courier New" w:hAnsi="Courier New"/>
          <w:sz w:val="15"/>
          <w:szCs w:val="15"/>
          <w:color w:val="auto"/>
        </w:rPr>
        <w:t>Stock Company Kraft Foods Ukraine .......................................</w:t>
      </w:r>
    </w:p>
    <w:p>
      <w:pPr>
        <w:jc w:val="center"/>
        <w:ind w:right="3539"/>
        <w:spacing w:after="0"/>
        <w:rPr>
          <w:sz w:val="20"/>
          <w:szCs w:val="20"/>
          <w:color w:val="auto"/>
        </w:rPr>
      </w:pPr>
      <w:r>
        <w:rPr>
          <w:rFonts w:ascii="Courier New" w:cs="Courier New" w:eastAsia="Courier New" w:hAnsi="Courier New"/>
          <w:sz w:val="15"/>
          <w:szCs w:val="15"/>
          <w:color w:val="auto"/>
        </w:rPr>
        <w:t>Ukraine Compania Venezolana de Conservas C.A.</w:t>
      </w:r>
    </w:p>
    <w:p>
      <w:pPr>
        <w:ind w:left="120"/>
        <w:spacing w:after="0"/>
        <w:rPr>
          <w:sz w:val="20"/>
          <w:szCs w:val="20"/>
          <w:color w:val="auto"/>
        </w:rPr>
      </w:pPr>
      <w:r>
        <w:rPr>
          <w:rFonts w:ascii="Courier New" w:cs="Courier New" w:eastAsia="Courier New" w:hAnsi="Courier New"/>
          <w:sz w:val="15"/>
          <w:szCs w:val="15"/>
          <w:color w:val="auto"/>
        </w:rPr>
        <w:t>................................................ Venezuela Consiber, S.A.</w:t>
      </w:r>
    </w:p>
    <w:p>
      <w:pPr>
        <w:ind w:left="200"/>
        <w:spacing w:after="0" w:line="238" w:lineRule="auto"/>
        <w:rPr>
          <w:sz w:val="20"/>
          <w:szCs w:val="20"/>
          <w:color w:val="auto"/>
        </w:rPr>
      </w:pPr>
      <w:r>
        <w:rPr>
          <w:rFonts w:ascii="Courier New" w:cs="Courier New" w:eastAsia="Courier New" w:hAnsi="Courier New"/>
          <w:sz w:val="15"/>
          <w:szCs w:val="15"/>
          <w:color w:val="auto"/>
        </w:rPr>
        <w:t>.......................................................................</w:t>
      </w:r>
    </w:p>
    <w:p>
      <w:pPr>
        <w:ind w:left="2140"/>
        <w:spacing w:after="0"/>
        <w:rPr>
          <w:sz w:val="20"/>
          <w:szCs w:val="20"/>
          <w:color w:val="auto"/>
        </w:rPr>
      </w:pPr>
      <w:r>
        <w:rPr>
          <w:rFonts w:ascii="Courier New" w:cs="Courier New" w:eastAsia="Courier New" w:hAnsi="Courier New"/>
          <w:sz w:val="15"/>
          <w:szCs w:val="15"/>
          <w:color w:val="auto"/>
        </w:rPr>
        <w:t>Spain Convenco Holding C.A.</w:t>
      </w:r>
    </w:p>
    <w:p>
      <w:pPr>
        <w:ind w:left="80"/>
        <w:spacing w:after="0"/>
        <w:rPr>
          <w:sz w:val="20"/>
          <w:szCs w:val="20"/>
          <w:color w:val="auto"/>
        </w:rPr>
      </w:pPr>
      <w:r>
        <w:rPr>
          <w:rFonts w:ascii="Courier New" w:cs="Courier New" w:eastAsia="Courier New" w:hAnsi="Courier New"/>
          <w:sz w:val="15"/>
          <w:szCs w:val="15"/>
          <w:color w:val="auto"/>
        </w:rPr>
        <w:t>................................................................ Venezuela</w:t>
      </w:r>
    </w:p>
    <w:p>
      <w:pPr>
        <w:ind w:left="1700"/>
        <w:spacing w:after="0" w:line="238" w:lineRule="auto"/>
        <w:rPr>
          <w:sz w:val="20"/>
          <w:szCs w:val="20"/>
          <w:color w:val="auto"/>
        </w:rPr>
      </w:pPr>
      <w:r>
        <w:rPr>
          <w:rFonts w:ascii="Courier New" w:cs="Courier New" w:eastAsia="Courier New" w:hAnsi="Courier New"/>
          <w:sz w:val="15"/>
          <w:szCs w:val="15"/>
          <w:color w:val="auto"/>
        </w:rPr>
        <w:t>Corporativo Kraft, S. de R.L. de C.V.</w:t>
      </w:r>
    </w:p>
    <w:p>
      <w:pPr>
        <w:ind w:left="160"/>
        <w:spacing w:after="0"/>
        <w:rPr>
          <w:sz w:val="20"/>
          <w:szCs w:val="20"/>
          <w:color w:val="auto"/>
        </w:rPr>
      </w:pPr>
      <w:r>
        <w:rPr>
          <w:rFonts w:ascii="Courier New" w:cs="Courier New" w:eastAsia="Courier New" w:hAnsi="Courier New"/>
          <w:sz w:val="15"/>
          <w:szCs w:val="15"/>
          <w:color w:val="auto"/>
        </w:rPr>
        <w:t>................................................ Mexico Cote d'Or Italia</w:t>
      </w:r>
    </w:p>
    <w:p>
      <w:pPr>
        <w:ind w:left="20"/>
        <w:spacing w:after="0"/>
        <w:rPr>
          <w:sz w:val="20"/>
          <w:szCs w:val="20"/>
          <w:color w:val="auto"/>
        </w:rPr>
      </w:pPr>
      <w:r>
        <w:rPr>
          <w:rFonts w:ascii="Courier New" w:cs="Courier New" w:eastAsia="Courier New" w:hAnsi="Courier New"/>
          <w:sz w:val="15"/>
          <w:szCs w:val="15"/>
          <w:color w:val="auto"/>
        </w:rPr>
        <w:t>S.r.l. .............................................................. Italy</w:t>
      </w:r>
    </w:p>
    <w:p>
      <w:pPr>
        <w:ind w:left="2640"/>
        <w:spacing w:after="0"/>
        <w:rPr>
          <w:sz w:val="20"/>
          <w:szCs w:val="20"/>
          <w:color w:val="auto"/>
        </w:rPr>
      </w:pPr>
      <w:r>
        <w:rPr>
          <w:rFonts w:ascii="Courier New" w:cs="Courier New" w:eastAsia="Courier New" w:hAnsi="Courier New"/>
          <w:sz w:val="15"/>
          <w:szCs w:val="15"/>
          <w:color w:val="auto"/>
        </w:rPr>
        <w:t>Croky Chips B.V.</w:t>
      </w:r>
    </w:p>
    <w:p>
      <w:pPr>
        <w:ind w:left="340"/>
        <w:spacing w:after="0" w:line="238" w:lineRule="auto"/>
        <w:rPr>
          <w:sz w:val="20"/>
          <w:szCs w:val="20"/>
          <w:color w:val="auto"/>
        </w:rPr>
      </w:pPr>
      <w:r>
        <w:rPr>
          <w:rFonts w:ascii="Courier New" w:cs="Courier New" w:eastAsia="Courier New" w:hAnsi="Courier New"/>
          <w:sz w:val="15"/>
          <w:szCs w:val="15"/>
          <w:color w:val="auto"/>
        </w:rPr>
        <w:t>....................................................................</w:t>
      </w:r>
    </w:p>
    <w:p>
      <w:pPr>
        <w:ind w:left="2020"/>
        <w:spacing w:after="0"/>
        <w:rPr>
          <w:sz w:val="20"/>
          <w:szCs w:val="20"/>
          <w:color w:val="auto"/>
        </w:rPr>
      </w:pPr>
      <w:r>
        <w:rPr>
          <w:rFonts w:ascii="Courier New" w:cs="Courier New" w:eastAsia="Courier New" w:hAnsi="Courier New"/>
          <w:sz w:val="15"/>
          <w:szCs w:val="15"/>
          <w:color w:val="auto"/>
        </w:rPr>
        <w:t>Netherlands Deluxestar Limited</w:t>
      </w:r>
    </w:p>
    <w:p>
      <w:pPr>
        <w:ind w:left="80"/>
        <w:spacing w:after="0"/>
        <w:rPr>
          <w:sz w:val="20"/>
          <w:szCs w:val="20"/>
          <w:color w:val="auto"/>
        </w:rPr>
      </w:pPr>
      <w:r>
        <w:rPr>
          <w:rFonts w:ascii="Courier New" w:cs="Courier New" w:eastAsia="Courier New" w:hAnsi="Courier New"/>
          <w:sz w:val="15"/>
          <w:szCs w:val="15"/>
          <w:color w:val="auto"/>
        </w:rPr>
        <w:t>................................................................... United</w:t>
      </w:r>
    </w:p>
    <w:p>
      <w:pPr>
        <w:ind w:left="1840"/>
        <w:spacing w:after="0" w:line="238" w:lineRule="auto"/>
        <w:rPr>
          <w:sz w:val="20"/>
          <w:szCs w:val="20"/>
          <w:color w:val="auto"/>
        </w:rPr>
      </w:pPr>
      <w:r>
        <w:rPr>
          <w:rFonts w:ascii="Courier New" w:cs="Courier New" w:eastAsia="Courier New" w:hAnsi="Courier New"/>
          <w:sz w:val="15"/>
          <w:szCs w:val="15"/>
          <w:color w:val="auto"/>
        </w:rPr>
        <w:t>Kingdom Dong Suh Foods Corporation</w:t>
      </w:r>
    </w:p>
    <w:p>
      <w:pPr>
        <w:ind w:left="20"/>
        <w:spacing w:after="0"/>
        <w:rPr>
          <w:sz w:val="20"/>
          <w:szCs w:val="20"/>
          <w:color w:val="auto"/>
        </w:rPr>
      </w:pPr>
      <w:r>
        <w:rPr>
          <w:rFonts w:ascii="Courier New" w:cs="Courier New" w:eastAsia="Courier New" w:hAnsi="Courier New"/>
          <w:sz w:val="15"/>
          <w:szCs w:val="15"/>
          <w:color w:val="auto"/>
        </w:rPr>
        <w:t>........................................................... Korea, Republic</w:t>
      </w:r>
    </w:p>
    <w:p>
      <w:pPr>
        <w:ind w:left="1920"/>
        <w:spacing w:after="0"/>
        <w:rPr>
          <w:sz w:val="20"/>
          <w:szCs w:val="20"/>
          <w:color w:val="auto"/>
        </w:rPr>
      </w:pPr>
      <w:r>
        <w:rPr>
          <w:rFonts w:ascii="Courier New" w:cs="Courier New" w:eastAsia="Courier New" w:hAnsi="Courier New"/>
          <w:sz w:val="15"/>
          <w:szCs w:val="15"/>
          <w:color w:val="auto"/>
        </w:rPr>
        <w:t>of Dong Suh Oil &amp; Fats Co., Ltd.</w:t>
      </w:r>
    </w:p>
    <w:p>
      <w:pPr>
        <w:ind w:left="20"/>
        <w:spacing w:after="0" w:line="238" w:lineRule="auto"/>
        <w:rPr>
          <w:sz w:val="20"/>
          <w:szCs w:val="20"/>
          <w:color w:val="auto"/>
        </w:rPr>
      </w:pPr>
      <w:r>
        <w:rPr>
          <w:rFonts w:ascii="Courier New" w:cs="Courier New" w:eastAsia="Courier New" w:hAnsi="Courier New"/>
          <w:sz w:val="15"/>
          <w:szCs w:val="15"/>
          <w:color w:val="auto"/>
        </w:rPr>
        <w:t>........................................................ Korea, Republic of</w:t>
      </w:r>
    </w:p>
    <w:p>
      <w:pPr>
        <w:ind w:left="2140"/>
        <w:spacing w:after="0"/>
        <w:rPr>
          <w:sz w:val="20"/>
          <w:szCs w:val="20"/>
          <w:color w:val="auto"/>
        </w:rPr>
      </w:pPr>
      <w:r>
        <w:rPr>
          <w:rFonts w:ascii="Courier New" w:cs="Courier New" w:eastAsia="Courier New" w:hAnsi="Courier New"/>
          <w:sz w:val="15"/>
          <w:szCs w:val="15"/>
          <w:color w:val="auto"/>
        </w:rPr>
        <w:t>El Gallito Industrial, S.A.</w:t>
      </w:r>
    </w:p>
    <w:p>
      <w:pPr>
        <w:ind w:left="300"/>
        <w:spacing w:after="0"/>
        <w:rPr>
          <w:sz w:val="20"/>
          <w:szCs w:val="20"/>
          <w:color w:val="auto"/>
        </w:rPr>
      </w:pPr>
      <w:r>
        <w:rPr>
          <w:rFonts w:ascii="Courier New" w:cs="Courier New" w:eastAsia="Courier New" w:hAnsi="Courier New"/>
          <w:sz w:val="15"/>
          <w:szCs w:val="15"/>
          <w:color w:val="auto"/>
        </w:rPr>
        <w:t>.......................................................... Costa Rica</w:t>
      </w:r>
    </w:p>
    <w:p>
      <w:pPr>
        <w:ind w:left="2800"/>
        <w:spacing w:after="0"/>
        <w:rPr>
          <w:sz w:val="20"/>
          <w:szCs w:val="20"/>
          <w:color w:val="auto"/>
        </w:rPr>
      </w:pPr>
      <w:r>
        <w:rPr>
          <w:rFonts w:ascii="Courier New" w:cs="Courier New" w:eastAsia="Courier New" w:hAnsi="Courier New"/>
          <w:sz w:val="15"/>
          <w:szCs w:val="15"/>
          <w:color w:val="auto"/>
        </w:rPr>
        <w:t>Estrella A/S</w:t>
      </w:r>
    </w:p>
    <w:p>
      <w:pPr>
        <w:ind w:left="160"/>
        <w:spacing w:after="0" w:line="238" w:lineRule="auto"/>
        <w:rPr>
          <w:sz w:val="20"/>
          <w:szCs w:val="20"/>
          <w:color w:val="auto"/>
        </w:rPr>
      </w:pPr>
      <w:r>
        <w:rPr>
          <w:rFonts w:ascii="Courier New" w:cs="Courier New" w:eastAsia="Courier New" w:hAnsi="Courier New"/>
          <w:sz w:val="15"/>
          <w:szCs w:val="15"/>
          <w:color w:val="auto"/>
        </w:rPr>
        <w:t>........................................................................</w:t>
      </w:r>
    </w:p>
    <w:p>
      <w:pPr>
        <w:jc w:val="center"/>
        <w:ind w:right="3539"/>
        <w:spacing w:after="0"/>
        <w:rPr>
          <w:sz w:val="20"/>
          <w:szCs w:val="20"/>
          <w:color w:val="auto"/>
        </w:rPr>
      </w:pPr>
      <w:r>
        <w:rPr>
          <w:rFonts w:ascii="Courier New" w:cs="Courier New" w:eastAsia="Courier New" w:hAnsi="Courier New"/>
          <w:sz w:val="15"/>
          <w:szCs w:val="15"/>
          <w:color w:val="auto"/>
        </w:rPr>
        <w:t>Denmark Estrella Eesti Osauhing</w:t>
      </w:r>
    </w:p>
    <w:p>
      <w:pPr>
        <w:ind w:left="340"/>
        <w:spacing w:after="0"/>
        <w:rPr>
          <w:sz w:val="20"/>
          <w:szCs w:val="20"/>
          <w:color w:val="auto"/>
        </w:rPr>
      </w:pPr>
      <w:r>
        <w:rPr>
          <w:rFonts w:ascii="Courier New" w:cs="Courier New" w:eastAsia="Courier New" w:hAnsi="Courier New"/>
          <w:sz w:val="15"/>
          <w:szCs w:val="15"/>
          <w:color w:val="auto"/>
        </w:rPr>
        <w:t>............................................................ Estonia</w:t>
      </w:r>
    </w:p>
    <w:p>
      <w:pPr>
        <w:jc w:val="center"/>
        <w:ind w:right="3539"/>
        <w:spacing w:after="0" w:line="238" w:lineRule="auto"/>
        <w:rPr>
          <w:sz w:val="20"/>
          <w:szCs w:val="20"/>
          <w:color w:val="auto"/>
        </w:rPr>
      </w:pPr>
      <w:r>
        <w:rPr>
          <w:rFonts w:ascii="Courier New" w:cs="Courier New" w:eastAsia="Courier New" w:hAnsi="Courier New"/>
          <w:sz w:val="15"/>
          <w:szCs w:val="15"/>
          <w:color w:val="auto"/>
        </w:rPr>
        <w:t>Fattorie Osella S.p.A.</w:t>
      </w:r>
    </w:p>
    <w:p>
      <w:pPr>
        <w:ind w:left="300"/>
        <w:spacing w:after="0"/>
        <w:rPr>
          <w:sz w:val="20"/>
          <w:szCs w:val="20"/>
          <w:color w:val="auto"/>
        </w:rPr>
      </w:pPr>
      <w:r>
        <w:rPr>
          <w:rFonts w:ascii="Courier New" w:cs="Courier New" w:eastAsia="Courier New" w:hAnsi="Courier New"/>
          <w:sz w:val="15"/>
          <w:szCs w:val="15"/>
          <w:color w:val="auto"/>
        </w:rPr>
        <w:t>............................................................... Italy</w:t>
      </w:r>
    </w:p>
    <w:p>
      <w:pPr>
        <w:jc w:val="center"/>
        <w:ind w:right="3539"/>
        <w:spacing w:after="0"/>
        <w:rPr>
          <w:sz w:val="20"/>
          <w:szCs w:val="20"/>
          <w:color w:val="auto"/>
        </w:rPr>
      </w:pPr>
      <w:r>
        <w:rPr>
          <w:rFonts w:ascii="Courier New" w:cs="Courier New" w:eastAsia="Courier New" w:hAnsi="Courier New"/>
          <w:sz w:val="15"/>
          <w:szCs w:val="15"/>
          <w:color w:val="auto"/>
        </w:rPr>
        <w:t>Finalrealm Ltd.</w:t>
      </w:r>
    </w:p>
    <w:p>
      <w:pPr>
        <w:ind w:left="240"/>
        <w:spacing w:after="0"/>
        <w:rPr>
          <w:sz w:val="20"/>
          <w:szCs w:val="20"/>
          <w:color w:val="auto"/>
        </w:rPr>
      </w:pPr>
      <w:r>
        <w:rPr>
          <w:rFonts w:ascii="Courier New" w:cs="Courier New" w:eastAsia="Courier New" w:hAnsi="Courier New"/>
          <w:sz w:val="15"/>
          <w:szCs w:val="15"/>
          <w:color w:val="auto"/>
        </w:rPr>
        <w:t>......................................................................</w:t>
      </w:r>
    </w:p>
    <w:p>
      <w:pPr>
        <w:jc w:val="center"/>
        <w:ind w:right="3539"/>
        <w:spacing w:after="0" w:line="238" w:lineRule="auto"/>
        <w:rPr>
          <w:sz w:val="20"/>
          <w:szCs w:val="20"/>
          <w:color w:val="auto"/>
        </w:rPr>
      </w:pPr>
      <w:r>
        <w:rPr>
          <w:rFonts w:ascii="Courier New" w:cs="Courier New" w:eastAsia="Courier New" w:hAnsi="Courier New"/>
          <w:sz w:val="15"/>
          <w:szCs w:val="15"/>
          <w:color w:val="auto"/>
        </w:rPr>
        <w:t>United Kingdom Fleischmann Nabisco Uruguay S.A.</w:t>
      </w:r>
    </w:p>
    <w:p>
      <w:pPr>
        <w:ind w:left="240"/>
        <w:spacing w:after="0"/>
        <w:rPr>
          <w:sz w:val="20"/>
          <w:szCs w:val="20"/>
          <w:color w:val="auto"/>
        </w:rPr>
      </w:pPr>
      <w:r>
        <w:rPr>
          <w:rFonts w:ascii="Courier New" w:cs="Courier New" w:eastAsia="Courier New" w:hAnsi="Courier New"/>
          <w:sz w:val="15"/>
          <w:szCs w:val="15"/>
          <w:color w:val="auto"/>
        </w:rPr>
        <w:t>..................................................... Uruguay Franklin</w:t>
      </w:r>
    </w:p>
    <w:p>
      <w:pPr>
        <w:jc w:val="center"/>
        <w:ind w:right="3539"/>
        <w:spacing w:after="0"/>
        <w:rPr>
          <w:sz w:val="20"/>
          <w:szCs w:val="20"/>
          <w:color w:val="auto"/>
        </w:rPr>
      </w:pPr>
      <w:r>
        <w:rPr>
          <w:rFonts w:ascii="Courier New" w:cs="Courier New" w:eastAsia="Courier New" w:hAnsi="Courier New"/>
          <w:sz w:val="15"/>
          <w:szCs w:val="15"/>
          <w:color w:val="auto"/>
        </w:rPr>
        <w:t>Baker Company of the Philippines</w:t>
      </w:r>
    </w:p>
    <w:p>
      <w:pPr>
        <w:ind w:left="240"/>
        <w:spacing w:after="0" w:line="238" w:lineRule="auto"/>
        <w:rPr>
          <w:sz w:val="20"/>
          <w:szCs w:val="20"/>
          <w:color w:val="auto"/>
        </w:rPr>
      </w:pPr>
      <w:r>
        <w:rPr>
          <w:rFonts w:ascii="Courier New" w:cs="Courier New" w:eastAsia="Courier New" w:hAnsi="Courier New"/>
          <w:sz w:val="15"/>
          <w:szCs w:val="15"/>
          <w:color w:val="auto"/>
        </w:rPr>
        <w:t>............................................ Philippines Freezer Queen</w:t>
      </w:r>
    </w:p>
    <w:p>
      <w:pPr>
        <w:ind w:left="160"/>
        <w:spacing w:after="0"/>
        <w:rPr>
          <w:sz w:val="20"/>
          <w:szCs w:val="20"/>
          <w:color w:val="auto"/>
        </w:rPr>
      </w:pPr>
      <w:r>
        <w:rPr>
          <w:rFonts w:ascii="Courier New" w:cs="Courier New" w:eastAsia="Courier New" w:hAnsi="Courier New"/>
          <w:sz w:val="15"/>
          <w:szCs w:val="15"/>
          <w:color w:val="auto"/>
        </w:rPr>
        <w:t>Foods (Canada) Limited .................................................</w:t>
      </w:r>
    </w:p>
    <w:p>
      <w:pPr>
        <w:jc w:val="center"/>
        <w:ind w:right="3539"/>
        <w:spacing w:after="0"/>
        <w:rPr>
          <w:sz w:val="20"/>
          <w:szCs w:val="20"/>
          <w:color w:val="auto"/>
        </w:rPr>
      </w:pPr>
      <w:r>
        <w:rPr>
          <w:rFonts w:ascii="Courier New" w:cs="Courier New" w:eastAsia="Courier New" w:hAnsi="Courier New"/>
          <w:sz w:val="15"/>
          <w:szCs w:val="15"/>
          <w:color w:val="auto"/>
        </w:rPr>
        <w:t>Canada FRN Alimentos do Nordeste Ltda.</w:t>
      </w:r>
    </w:p>
    <w:p>
      <w:pPr>
        <w:ind w:left="340"/>
        <w:spacing w:after="0"/>
        <w:rPr>
          <w:sz w:val="20"/>
          <w:szCs w:val="20"/>
          <w:color w:val="auto"/>
        </w:rPr>
      </w:pPr>
      <w:r>
        <w:rPr>
          <w:rFonts w:ascii="Courier New" w:cs="Courier New" w:eastAsia="Courier New" w:hAnsi="Courier New"/>
          <w:sz w:val="15"/>
          <w:szCs w:val="15"/>
          <w:color w:val="auto"/>
        </w:rPr>
        <w:t>...................................................... Brazil Fulmer</w:t>
      </w:r>
    </w:p>
    <w:p>
      <w:pPr>
        <w:jc w:val="center"/>
        <w:ind w:right="3539"/>
        <w:spacing w:after="0" w:line="238" w:lineRule="auto"/>
        <w:rPr>
          <w:sz w:val="20"/>
          <w:szCs w:val="20"/>
          <w:color w:val="auto"/>
        </w:rPr>
      </w:pPr>
      <w:r>
        <w:rPr>
          <w:rFonts w:ascii="Courier New" w:cs="Courier New" w:eastAsia="Courier New" w:hAnsi="Courier New"/>
          <w:sz w:val="15"/>
          <w:szCs w:val="15"/>
          <w:color w:val="auto"/>
        </w:rPr>
        <w:t>Corporation Limited</w:t>
      </w:r>
    </w:p>
    <w:p>
      <w:pPr>
        <w:ind w:left="380"/>
        <w:spacing w:after="0"/>
        <w:rPr>
          <w:sz w:val="20"/>
          <w:szCs w:val="20"/>
          <w:color w:val="auto"/>
        </w:rPr>
      </w:pPr>
      <w:r>
        <w:rPr>
          <w:rFonts w:ascii="Courier New" w:cs="Courier New" w:eastAsia="Courier New" w:hAnsi="Courier New"/>
          <w:sz w:val="15"/>
          <w:szCs w:val="15"/>
          <w:color w:val="auto"/>
        </w:rPr>
        <w:t>........................................................... Bahamas</w:t>
      </w:r>
    </w:p>
    <w:p>
      <w:pPr>
        <w:jc w:val="center"/>
        <w:ind w:right="3539"/>
        <w:spacing w:after="0"/>
        <w:rPr>
          <w:sz w:val="20"/>
          <w:szCs w:val="20"/>
          <w:color w:val="auto"/>
        </w:rPr>
      </w:pPr>
      <w:r>
        <w:rPr>
          <w:rFonts w:ascii="Courier New" w:cs="Courier New" w:eastAsia="Courier New" w:hAnsi="Courier New"/>
          <w:sz w:val="15"/>
          <w:szCs w:val="15"/>
          <w:color w:val="auto"/>
        </w:rPr>
        <w:t>Gellatas United Biscuits, S.A.</w:t>
      </w:r>
    </w:p>
    <w:p>
      <w:pPr>
        <w:ind w:left="200"/>
        <w:spacing w:after="0" w:line="238" w:lineRule="auto"/>
        <w:rPr>
          <w:sz w:val="20"/>
          <w:szCs w:val="20"/>
          <w:color w:val="auto"/>
        </w:rPr>
      </w:pPr>
      <w:r>
        <w:rPr>
          <w:rFonts w:ascii="Courier New" w:cs="Courier New" w:eastAsia="Courier New" w:hAnsi="Courier New"/>
          <w:sz w:val="15"/>
          <w:szCs w:val="15"/>
          <w:color w:val="auto"/>
        </w:rPr>
        <w:t>....................................................... Spain Gelatinas</w:t>
      </w:r>
    </w:p>
    <w:p>
      <w:pPr>
        <w:jc w:val="center"/>
        <w:ind w:right="3539"/>
        <w:spacing w:after="0"/>
        <w:rPr>
          <w:sz w:val="20"/>
          <w:szCs w:val="20"/>
          <w:color w:val="auto"/>
        </w:rPr>
      </w:pPr>
      <w:r>
        <w:rPr>
          <w:rFonts w:ascii="Courier New" w:cs="Courier New" w:eastAsia="Courier New" w:hAnsi="Courier New"/>
          <w:sz w:val="15"/>
          <w:szCs w:val="15"/>
          <w:color w:val="auto"/>
        </w:rPr>
        <w:t>Ecuatoriana S.A.</w:t>
      </w:r>
    </w:p>
    <w:p>
      <w:pPr>
        <w:ind w:left="20"/>
        <w:spacing w:after="0"/>
        <w:rPr>
          <w:sz w:val="20"/>
          <w:szCs w:val="20"/>
          <w:color w:val="auto"/>
        </w:rPr>
      </w:pPr>
      <w:r>
        <w:rPr>
          <w:rFonts w:ascii="Courier New" w:cs="Courier New" w:eastAsia="Courier New" w:hAnsi="Courier New"/>
          <w:sz w:val="15"/>
          <w:szCs w:val="15"/>
          <w:color w:val="auto"/>
        </w:rPr>
        <w:t>........................................................... Ecuador General</w:t>
      </w:r>
    </w:p>
    <w:p>
      <w:pPr>
        <w:jc w:val="center"/>
        <w:ind w:right="3539"/>
        <w:spacing w:after="0" w:line="238" w:lineRule="auto"/>
        <w:rPr>
          <w:sz w:val="20"/>
          <w:szCs w:val="20"/>
          <w:color w:val="auto"/>
        </w:rPr>
      </w:pPr>
      <w:r>
        <w:rPr>
          <w:rFonts w:ascii="Courier New" w:cs="Courier New" w:eastAsia="Courier New" w:hAnsi="Courier New"/>
          <w:sz w:val="15"/>
          <w:szCs w:val="15"/>
          <w:color w:val="auto"/>
        </w:rPr>
        <w:t>Foods Foreign Sales Corporation</w:t>
      </w:r>
    </w:p>
    <w:p>
      <w:pPr>
        <w:ind w:left="340"/>
        <w:spacing w:after="0"/>
        <w:rPr>
          <w:sz w:val="20"/>
          <w:szCs w:val="20"/>
          <w:color w:val="auto"/>
        </w:rPr>
      </w:pPr>
      <w:r>
        <w:rPr>
          <w:rFonts w:ascii="Courier New" w:cs="Courier New" w:eastAsia="Courier New" w:hAnsi="Courier New"/>
          <w:sz w:val="15"/>
          <w:szCs w:val="15"/>
          <w:color w:val="auto"/>
        </w:rPr>
        <w:t>.............................................. Virgin Islands (U.S.)</w:t>
      </w:r>
    </w:p>
    <w:p>
      <w:pPr>
        <w:jc w:val="center"/>
        <w:ind w:right="3539"/>
        <w:spacing w:after="0"/>
        <w:rPr>
          <w:sz w:val="20"/>
          <w:szCs w:val="20"/>
          <w:color w:val="auto"/>
        </w:rPr>
      </w:pPr>
      <w:r>
        <w:rPr>
          <w:rFonts w:ascii="Courier New" w:cs="Courier New" w:eastAsia="Courier New" w:hAnsi="Courier New"/>
          <w:sz w:val="15"/>
          <w:szCs w:val="15"/>
          <w:color w:val="auto"/>
        </w:rPr>
        <w:t>Grundstucksgemeinschaft Kraft Foods</w:t>
      </w:r>
    </w:p>
    <w:p>
      <w:pPr>
        <w:ind w:left="340"/>
        <w:spacing w:after="0"/>
        <w:rPr>
          <w:sz w:val="20"/>
          <w:szCs w:val="20"/>
          <w:color w:val="auto"/>
        </w:rPr>
      </w:pPr>
      <w:r>
        <w:rPr>
          <w:rFonts w:ascii="Courier New" w:cs="Courier New" w:eastAsia="Courier New" w:hAnsi="Courier New"/>
          <w:sz w:val="15"/>
          <w:szCs w:val="15"/>
          <w:color w:val="auto"/>
        </w:rPr>
        <w:t>.................................................. Germany HAG GF AG</w:t>
      </w:r>
    </w:p>
    <w:p>
      <w:pPr>
        <w:spacing w:after="0" w:line="238" w:lineRule="auto"/>
        <w:rPr>
          <w:sz w:val="20"/>
          <w:szCs w:val="20"/>
          <w:color w:val="auto"/>
        </w:rPr>
      </w:pPr>
      <w:r>
        <w:rPr>
          <w:rFonts w:ascii="Courier New" w:cs="Courier New" w:eastAsia="Courier New" w:hAnsi="Courier New"/>
          <w:sz w:val="15"/>
          <w:szCs w:val="15"/>
          <w:color w:val="auto"/>
        </w:rPr>
        <w:t>............................................................................</w:t>
      </w:r>
    </w:p>
    <w:p>
      <w:pPr>
        <w:jc w:val="center"/>
        <w:ind w:right="3539"/>
        <w:spacing w:after="0"/>
        <w:rPr>
          <w:sz w:val="20"/>
          <w:szCs w:val="20"/>
          <w:color w:val="auto"/>
        </w:rPr>
      </w:pPr>
      <w:r>
        <w:rPr>
          <w:rFonts w:ascii="Courier New" w:cs="Courier New" w:eastAsia="Courier New" w:hAnsi="Courier New"/>
          <w:sz w:val="15"/>
          <w:szCs w:val="15"/>
          <w:color w:val="auto"/>
        </w:rPr>
        <w:t>Germany HAG-Coffex SNC</w:t>
      </w:r>
    </w:p>
    <w:p>
      <w:pPr>
        <w:ind w:left="200"/>
        <w:spacing w:after="0"/>
        <w:rPr>
          <w:sz w:val="20"/>
          <w:szCs w:val="20"/>
          <w:color w:val="auto"/>
        </w:rPr>
      </w:pPr>
      <w:r>
        <w:rPr>
          <w:rFonts w:ascii="Courier New" w:cs="Courier New" w:eastAsia="Courier New" w:hAnsi="Courier New"/>
          <w:sz w:val="15"/>
          <w:szCs w:val="15"/>
          <w:color w:val="auto"/>
        </w:rPr>
        <w:t>.......................................................................</w:t>
      </w:r>
    </w:p>
    <w:p>
      <w:pPr>
        <w:ind w:left="2100"/>
        <w:spacing w:after="0" w:line="238" w:lineRule="auto"/>
        <w:rPr>
          <w:sz w:val="20"/>
          <w:szCs w:val="20"/>
          <w:color w:val="auto"/>
        </w:rPr>
      </w:pPr>
      <w:r>
        <w:rPr>
          <w:rFonts w:ascii="Courier New" w:cs="Courier New" w:eastAsia="Courier New" w:hAnsi="Courier New"/>
          <w:sz w:val="15"/>
          <w:szCs w:val="15"/>
          <w:color w:val="auto"/>
        </w:rPr>
        <w:t>France Hervin Holdings, Inc.</w:t>
      </w:r>
    </w:p>
    <w:p>
      <w:pPr>
        <w:sectPr>
          <w:pgSz w:w="11900" w:h="16838" w:orient="portrait"/>
          <w:cols w:equalWidth="0" w:num="1">
            <w:col w:w="10219"/>
          </w:cols>
          <w:pgMar w:left="240" w:top="475" w:right="1440" w:bottom="0" w:gutter="0" w:footer="0" w:header="0"/>
        </w:sectPr>
      </w:pPr>
    </w:p>
    <w:bookmarkStart w:id="58" w:name="page59"/>
    <w:bookmarkEnd w:id="58"/>
    <w:p>
      <w:pPr>
        <w:jc w:val="center"/>
        <w:ind w:right="3579"/>
        <w:spacing w:after="0"/>
        <w:rPr>
          <w:sz w:val="20"/>
          <w:szCs w:val="20"/>
          <w:color w:val="auto"/>
        </w:rPr>
      </w:pPr>
      <w:r>
        <w:rPr>
          <w:rFonts w:ascii="Courier New" w:cs="Courier New" w:eastAsia="Courier New" w:hAnsi="Courier New"/>
          <w:sz w:val="15"/>
          <w:szCs w:val="15"/>
          <w:color w:val="auto"/>
        </w:rPr>
        <w:t>................................................................ Delaware</w:t>
      </w:r>
    </w:p>
    <w:p>
      <w:pPr>
        <w:jc w:val="center"/>
        <w:ind w:right="3579"/>
        <w:spacing w:after="0"/>
        <w:rPr>
          <w:sz w:val="20"/>
          <w:szCs w:val="20"/>
          <w:color w:val="auto"/>
        </w:rPr>
      </w:pPr>
      <w:r>
        <w:rPr>
          <w:rFonts w:ascii="Courier New" w:cs="Courier New" w:eastAsia="Courier New" w:hAnsi="Courier New"/>
          <w:sz w:val="15"/>
          <w:szCs w:val="15"/>
          <w:color w:val="auto"/>
        </w:rPr>
        <w:t>Industrias Alimenticias Maguary Ltda.</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 Brazil Iracema Industrias</w:t>
      </w:r>
    </w:p>
    <w:p>
      <w:pPr>
        <w:spacing w:after="0" w:line="11"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de Caju Ltda. ..................................................... Brazil</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Jacobs Suchard Alimentos do Brasil Ltda.</w:t>
      </w:r>
    </w:p>
    <w:p>
      <w:pPr>
        <w:jc w:val="center"/>
        <w:ind w:right="3579"/>
        <w:spacing w:after="0"/>
        <w:rPr>
          <w:sz w:val="20"/>
          <w:szCs w:val="20"/>
          <w:color w:val="auto"/>
        </w:rPr>
      </w:pPr>
      <w:r>
        <w:rPr>
          <w:rFonts w:ascii="Courier New" w:cs="Courier New" w:eastAsia="Courier New" w:hAnsi="Courier New"/>
          <w:sz w:val="15"/>
          <w:szCs w:val="15"/>
          <w:color w:val="auto"/>
        </w:rPr>
        <w:t>............................................ Brazil Kar Gida Sanayi Ve</w:t>
      </w:r>
    </w:p>
    <w:p>
      <w:pPr>
        <w:jc w:val="center"/>
        <w:ind w:right="3579"/>
        <w:spacing w:after="0"/>
        <w:rPr>
          <w:sz w:val="20"/>
          <w:szCs w:val="20"/>
          <w:color w:val="auto"/>
        </w:rPr>
      </w:pPr>
      <w:r>
        <w:rPr>
          <w:rFonts w:ascii="Courier New" w:cs="Courier New" w:eastAsia="Courier New" w:hAnsi="Courier New"/>
          <w:sz w:val="15"/>
          <w:szCs w:val="15"/>
          <w:color w:val="auto"/>
        </w:rPr>
        <w:t>Ticaret Anonim Sirketi ........................................... Turkey</w:t>
      </w:r>
    </w:p>
    <w:p>
      <w:pPr>
        <w:jc w:val="center"/>
        <w:ind w:right="3579"/>
        <w:spacing w:after="0" w:line="238" w:lineRule="auto"/>
        <w:rPr>
          <w:sz w:val="20"/>
          <w:szCs w:val="20"/>
          <w:color w:val="auto"/>
        </w:rPr>
      </w:pPr>
      <w:r>
        <w:rPr>
          <w:rFonts w:ascii="Courier New" w:cs="Courier New" w:eastAsia="Courier New" w:hAnsi="Courier New"/>
          <w:sz w:val="15"/>
          <w:szCs w:val="15"/>
          <w:color w:val="auto"/>
        </w:rPr>
        <w:t>KFI-USLLC I</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Delaware KFI-USLLC II</w:t>
      </w:r>
    </w:p>
    <w:p>
      <w:pPr>
        <w:ind w:left="140"/>
        <w:spacing w:after="0"/>
        <w:rPr>
          <w:sz w:val="20"/>
          <w:szCs w:val="20"/>
          <w:color w:val="auto"/>
        </w:rPr>
      </w:pPr>
      <w:r>
        <w:rPr>
          <w:rFonts w:ascii="Courier New" w:cs="Courier New" w:eastAsia="Courier New" w:hAnsi="Courier New"/>
          <w:sz w:val="15"/>
          <w:szCs w:val="15"/>
          <w:color w:val="auto"/>
        </w:rPr>
        <w:t>........................................................................</w:t>
      </w:r>
    </w:p>
    <w:p>
      <w:pPr>
        <w:jc w:val="center"/>
        <w:ind w:right="3579"/>
        <w:spacing w:after="0"/>
        <w:rPr>
          <w:sz w:val="20"/>
          <w:szCs w:val="20"/>
          <w:color w:val="auto"/>
        </w:rPr>
      </w:pPr>
      <w:r>
        <w:rPr>
          <w:rFonts w:ascii="Courier New" w:cs="Courier New" w:eastAsia="Courier New" w:hAnsi="Courier New"/>
          <w:sz w:val="15"/>
          <w:szCs w:val="15"/>
          <w:color w:val="auto"/>
        </w:rPr>
        <w:t>Delaware KFI-USLLC IX</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Delaware KFI-USLLC V</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Delaware KFI-USLLC VII</w:t>
      </w:r>
    </w:p>
    <w:p>
      <w:pPr>
        <w:ind w:left="180"/>
        <w:spacing w:after="0"/>
        <w:rPr>
          <w:sz w:val="20"/>
          <w:szCs w:val="20"/>
          <w:color w:val="auto"/>
        </w:rPr>
      </w:pPr>
      <w:r>
        <w:rPr>
          <w:rFonts w:ascii="Courier New" w:cs="Courier New" w:eastAsia="Courier New" w:hAnsi="Courier New"/>
          <w:sz w:val="15"/>
          <w:szCs w:val="15"/>
          <w:color w:val="auto"/>
        </w:rPr>
        <w:t>.......................................................................</w:t>
      </w:r>
    </w:p>
    <w:p>
      <w:pPr>
        <w:jc w:val="center"/>
        <w:ind w:right="3579"/>
        <w:spacing w:after="0"/>
        <w:rPr>
          <w:sz w:val="20"/>
          <w:szCs w:val="20"/>
          <w:color w:val="auto"/>
        </w:rPr>
      </w:pPr>
      <w:r>
        <w:rPr>
          <w:rFonts w:ascii="Courier New" w:cs="Courier New" w:eastAsia="Courier New" w:hAnsi="Courier New"/>
          <w:sz w:val="15"/>
          <w:szCs w:val="15"/>
          <w:color w:val="auto"/>
        </w:rPr>
        <w:t>Delaware KFI-USLLC XI</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Delaware Koninklijke Verkade N.V.</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Netherlands</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KP Foods France S.A.</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 France</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Kraft Canada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Canada</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Kraft Direct, Inc.</w:t>
      </w:r>
    </w:p>
    <w:p>
      <w:pPr>
        <w:ind w:left="360"/>
        <w:spacing w:after="0"/>
        <w:rPr>
          <w:sz w:val="20"/>
          <w:szCs w:val="20"/>
          <w:color w:val="auto"/>
        </w:rPr>
      </w:pPr>
      <w:r>
        <w:rPr>
          <w:rFonts w:ascii="Courier New" w:cs="Courier New" w:eastAsia="Courier New" w:hAnsi="Courier New"/>
          <w:sz w:val="15"/>
          <w:szCs w:val="15"/>
          <w:color w:val="auto"/>
        </w:rPr>
        <w:t>...................................................................</w:t>
      </w:r>
    </w:p>
    <w:p>
      <w:pPr>
        <w:jc w:val="center"/>
        <w:ind w:right="3579"/>
        <w:spacing w:after="0"/>
        <w:rPr>
          <w:sz w:val="20"/>
          <w:szCs w:val="20"/>
          <w:color w:val="auto"/>
        </w:rPr>
      </w:pPr>
      <w:r>
        <w:rPr>
          <w:rFonts w:ascii="Courier New" w:cs="Courier New" w:eastAsia="Courier New" w:hAnsi="Courier New"/>
          <w:sz w:val="15"/>
          <w:szCs w:val="15"/>
          <w:color w:val="auto"/>
        </w:rPr>
        <w:t>Delaware Kraft Food Ingredients Corp.</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 Delaware Kraft</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Foods (New Zealand) Limited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New Zealand Kraft Foods</w:t>
      </w:r>
    </w:p>
    <w:p>
      <w:pPr>
        <w:spacing w:after="0" w:line="11"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(Philippines), Inc. ......................................................</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Philippines Kraft Foods (Puerto Rico), Inc.</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 Puerto Rico Kraft</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Foods (Thailand) Limited</w:t>
      </w:r>
    </w:p>
    <w:p>
      <w:pPr>
        <w:ind w:left="240"/>
        <w:spacing w:after="0"/>
        <w:rPr>
          <w:sz w:val="20"/>
          <w:szCs w:val="20"/>
          <w:color w:val="auto"/>
        </w:rPr>
      </w:pPr>
      <w:r>
        <w:rPr>
          <w:rFonts w:ascii="Courier New" w:cs="Courier New" w:eastAsia="Courier New" w:hAnsi="Courier New"/>
          <w:sz w:val="15"/>
          <w:szCs w:val="15"/>
          <w:color w:val="auto"/>
        </w:rPr>
        <w:t>....................................................... Thailand Kraft</w:t>
      </w:r>
    </w:p>
    <w:p>
      <w:pPr>
        <w:jc w:val="center"/>
        <w:ind w:right="3579"/>
        <w:spacing w:after="0"/>
        <w:rPr>
          <w:sz w:val="20"/>
          <w:szCs w:val="20"/>
          <w:color w:val="auto"/>
        </w:rPr>
      </w:pPr>
      <w:r>
        <w:rPr>
          <w:rFonts w:ascii="Courier New" w:cs="Courier New" w:eastAsia="Courier New" w:hAnsi="Courier New"/>
          <w:sz w:val="15"/>
          <w:szCs w:val="15"/>
          <w:color w:val="auto"/>
        </w:rPr>
        <w:t>Foods Argentina 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Argentina Kraft</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Foods AS</w:t>
      </w:r>
    </w:p>
    <w:p>
      <w:pPr>
        <w:ind w:left="180"/>
        <w:spacing w:after="0"/>
        <w:rPr>
          <w:sz w:val="20"/>
          <w:szCs w:val="20"/>
          <w:color w:val="auto"/>
        </w:rPr>
      </w:pPr>
      <w:r>
        <w:rPr>
          <w:rFonts w:ascii="Courier New" w:cs="Courier New" w:eastAsia="Courier New" w:hAnsi="Courier New"/>
          <w:sz w:val="15"/>
          <w:szCs w:val="15"/>
          <w:color w:val="auto"/>
        </w:rPr>
        <w:t>.......................................................................</w:t>
      </w:r>
    </w:p>
    <w:p>
      <w:pPr>
        <w:jc w:val="center"/>
        <w:ind w:right="3579"/>
        <w:spacing w:after="0"/>
        <w:rPr>
          <w:sz w:val="20"/>
          <w:szCs w:val="20"/>
          <w:color w:val="auto"/>
        </w:rPr>
      </w:pPr>
      <w:r>
        <w:rPr>
          <w:rFonts w:ascii="Courier New" w:cs="Courier New" w:eastAsia="Courier New" w:hAnsi="Courier New"/>
          <w:sz w:val="15"/>
          <w:szCs w:val="15"/>
          <w:color w:val="auto"/>
        </w:rPr>
        <w:t>Norway Kraft Foods Belgium 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Belgium Kraft</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Foods Brasil S.A.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Brazil Kraft</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Foods Bulgaria AD</w:t>
      </w:r>
    </w:p>
    <w:p>
      <w:pPr>
        <w:ind w:left="180"/>
        <w:spacing w:after="0"/>
        <w:rPr>
          <w:sz w:val="20"/>
          <w:szCs w:val="20"/>
          <w:color w:val="auto"/>
        </w:rPr>
      </w:pPr>
      <w:r>
        <w:rPr>
          <w:rFonts w:ascii="Courier New" w:cs="Courier New" w:eastAsia="Courier New" w:hAnsi="Courier New"/>
          <w:sz w:val="15"/>
          <w:szCs w:val="15"/>
          <w:color w:val="auto"/>
        </w:rPr>
        <w:t>.............................................................. Bulgaria</w:t>
      </w:r>
    </w:p>
    <w:p>
      <w:pPr>
        <w:jc w:val="center"/>
        <w:ind w:right="3579"/>
        <w:spacing w:after="0"/>
        <w:rPr>
          <w:sz w:val="20"/>
          <w:szCs w:val="20"/>
          <w:color w:val="auto"/>
        </w:rPr>
      </w:pPr>
      <w:r>
        <w:rPr>
          <w:rFonts w:ascii="Courier New" w:cs="Courier New" w:eastAsia="Courier New" w:hAnsi="Courier New"/>
          <w:sz w:val="15"/>
          <w:szCs w:val="15"/>
          <w:color w:val="auto"/>
        </w:rPr>
        <w:t>Kraft Foods Caribbean Sales Corp.</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 Delaware Kraft Foods</w:t>
      </w:r>
    </w:p>
    <w:p>
      <w:pPr>
        <w:spacing w:after="0" w:line="11"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Central &amp; Eastern Europe Service BV ......................................</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Netherlands Kraft Foods Chile S.A.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Chile Kraft</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Foods Colombia S.A.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Colombia Kraft</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Foods Costa Rica, S.A.</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Costa Rica Kraft</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Foods CR s.r.o.</w:t>
      </w:r>
    </w:p>
    <w:p>
      <w:pPr>
        <w:ind w:left="500"/>
        <w:spacing w:after="0"/>
        <w:rPr>
          <w:sz w:val="20"/>
          <w:szCs w:val="20"/>
          <w:color w:val="auto"/>
        </w:rPr>
      </w:pPr>
      <w:r>
        <w:rPr>
          <w:rFonts w:ascii="Courier New" w:cs="Courier New" w:eastAsia="Courier New" w:hAnsi="Courier New"/>
          <w:sz w:val="15"/>
          <w:szCs w:val="15"/>
          <w:color w:val="auto"/>
        </w:rPr>
        <w:t>................................................................</w:t>
      </w:r>
    </w:p>
    <w:p>
      <w:pPr>
        <w:jc w:val="center"/>
        <w:ind w:right="3579"/>
        <w:spacing w:after="0"/>
        <w:rPr>
          <w:sz w:val="20"/>
          <w:szCs w:val="20"/>
          <w:color w:val="auto"/>
        </w:rPr>
      </w:pPr>
      <w:r>
        <w:rPr>
          <w:rFonts w:ascii="Courier New" w:cs="Courier New" w:eastAsia="Courier New" w:hAnsi="Courier New"/>
          <w:sz w:val="15"/>
          <w:szCs w:val="15"/>
          <w:color w:val="auto"/>
        </w:rPr>
        <w:t>Czechoslovakia Kraft Foods Danmark ApS</w:t>
      </w:r>
    </w:p>
    <w:p>
      <w:pPr>
        <w:jc w:val="center"/>
        <w:ind w:right="3579"/>
        <w:spacing w:after="0" w:line="238" w:lineRule="auto"/>
        <w:rPr>
          <w:sz w:val="20"/>
          <w:szCs w:val="20"/>
          <w:color w:val="auto"/>
        </w:rPr>
      </w:pPr>
      <w:r>
        <w:rPr>
          <w:rFonts w:ascii="Courier New" w:cs="Courier New" w:eastAsia="Courier New" w:hAnsi="Courier New"/>
          <w:sz w:val="15"/>
          <w:szCs w:val="15"/>
          <w:color w:val="auto"/>
        </w:rPr>
        <w:t>.............................................................. Denmark</w:t>
      </w:r>
    </w:p>
    <w:p>
      <w:pPr>
        <w:jc w:val="center"/>
        <w:ind w:right="3579"/>
        <w:spacing w:after="0"/>
        <w:rPr>
          <w:sz w:val="20"/>
          <w:szCs w:val="20"/>
          <w:color w:val="auto"/>
        </w:rPr>
      </w:pPr>
      <w:r>
        <w:rPr>
          <w:rFonts w:ascii="Courier New" w:cs="Courier New" w:eastAsia="Courier New" w:hAnsi="Courier New"/>
          <w:sz w:val="15"/>
          <w:szCs w:val="15"/>
          <w:color w:val="auto"/>
        </w:rPr>
        <w:t>Kraft Foods Danmark Holding A/S</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 Denmark Kraft Foods</w:t>
      </w:r>
    </w:p>
    <w:p>
      <w:pPr>
        <w:spacing w:after="0" w:line="11"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de Mexico, S. de R.L. de C.V. ............................................</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Mexico Kraft Foods Deutschland GmbH &amp; Co.</w:t>
      </w:r>
    </w:p>
    <w:p>
      <w:pPr>
        <w:jc w:val="center"/>
        <w:ind w:right="3579"/>
        <w:spacing w:after="0"/>
        <w:rPr>
          <w:sz w:val="20"/>
          <w:szCs w:val="20"/>
          <w:color w:val="auto"/>
        </w:rPr>
      </w:pPr>
      <w:r>
        <w:rPr>
          <w:rFonts w:ascii="Courier New" w:cs="Courier New" w:eastAsia="Courier New" w:hAnsi="Courier New"/>
          <w:sz w:val="15"/>
          <w:szCs w:val="15"/>
          <w:color w:val="auto"/>
        </w:rPr>
        <w:t>KG................................................. Germany Kraft Foods</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Deutschland Holding GmbH .................................................</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Germany Kraft Foods Dominicana, S.A.</w:t>
      </w:r>
    </w:p>
    <w:p>
      <w:pPr>
        <w:ind w:left="360"/>
        <w:spacing w:after="0"/>
        <w:rPr>
          <w:sz w:val="20"/>
          <w:szCs w:val="20"/>
          <w:color w:val="auto"/>
        </w:rPr>
      </w:pPr>
      <w:r>
        <w:rPr>
          <w:rFonts w:ascii="Courier New" w:cs="Courier New" w:eastAsia="Courier New" w:hAnsi="Courier New"/>
          <w:sz w:val="15"/>
          <w:szCs w:val="15"/>
          <w:color w:val="auto"/>
        </w:rPr>
        <w:t>......................................................... Dominican</w:t>
      </w:r>
    </w:p>
    <w:p>
      <w:pPr>
        <w:jc w:val="center"/>
        <w:ind w:right="3579"/>
        <w:spacing w:after="0"/>
        <w:rPr>
          <w:sz w:val="20"/>
          <w:szCs w:val="20"/>
          <w:color w:val="auto"/>
        </w:rPr>
      </w:pPr>
      <w:r>
        <w:rPr>
          <w:rFonts w:ascii="Courier New" w:cs="Courier New" w:eastAsia="Courier New" w:hAnsi="Courier New"/>
          <w:sz w:val="15"/>
          <w:szCs w:val="15"/>
          <w:color w:val="auto"/>
        </w:rPr>
        <w:t>Republic Kraft Foods Ecuador 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Ecuador Kraft</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Foods Egypt LLC</w:t>
      </w:r>
    </w:p>
    <w:p>
      <w:pPr>
        <w:ind w:left="220"/>
        <w:spacing w:after="0"/>
        <w:rPr>
          <w:sz w:val="20"/>
          <w:szCs w:val="20"/>
          <w:color w:val="auto"/>
        </w:rPr>
      </w:pPr>
      <w:r>
        <w:rPr>
          <w:rFonts w:ascii="Courier New" w:cs="Courier New" w:eastAsia="Courier New" w:hAnsi="Courier New"/>
          <w:sz w:val="15"/>
          <w:szCs w:val="15"/>
          <w:color w:val="auto"/>
        </w:rPr>
        <w:t>................................................................ Egypt</w:t>
      </w:r>
    </w:p>
    <w:p>
      <w:pPr>
        <w:jc w:val="center"/>
        <w:ind w:right="3579"/>
        <w:spacing w:after="0"/>
        <w:rPr>
          <w:sz w:val="20"/>
          <w:szCs w:val="20"/>
          <w:color w:val="auto"/>
        </w:rPr>
      </w:pPr>
      <w:r>
        <w:rPr>
          <w:rFonts w:ascii="Courier New" w:cs="Courier New" w:eastAsia="Courier New" w:hAnsi="Courier New"/>
          <w:sz w:val="15"/>
          <w:szCs w:val="15"/>
          <w:color w:val="auto"/>
        </w:rPr>
        <w:t>Kraft Foods Espana, S.A.</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Spain Kraft</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Foods France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France</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Kraft Foods Hellas S.A.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Greece Kraft</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Foods Holding (Europa) GmbH</w:t>
      </w:r>
    </w:p>
    <w:p>
      <w:pPr>
        <w:ind w:left="240"/>
        <w:spacing w:after="0"/>
        <w:rPr>
          <w:sz w:val="20"/>
          <w:szCs w:val="20"/>
          <w:color w:val="auto"/>
        </w:rPr>
      </w:pPr>
      <w:r>
        <w:rPr>
          <w:rFonts w:ascii="Courier New" w:cs="Courier New" w:eastAsia="Courier New" w:hAnsi="Courier New"/>
          <w:sz w:val="15"/>
          <w:szCs w:val="15"/>
          <w:color w:val="auto"/>
        </w:rPr>
        <w:t>.................................................... Switzerland Kraft</w:t>
      </w:r>
    </w:p>
    <w:p>
      <w:pPr>
        <w:jc w:val="center"/>
        <w:ind w:right="3579"/>
        <w:spacing w:after="0"/>
        <w:rPr>
          <w:sz w:val="20"/>
          <w:szCs w:val="20"/>
          <w:color w:val="auto"/>
        </w:rPr>
      </w:pPr>
      <w:r>
        <w:rPr>
          <w:rFonts w:ascii="Courier New" w:cs="Courier New" w:eastAsia="Courier New" w:hAnsi="Courier New"/>
          <w:sz w:val="15"/>
          <w:szCs w:val="15"/>
          <w:color w:val="auto"/>
        </w:rPr>
        <w:t>Foods Holdings, Inc.</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Delaware Kraft</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Foods Holland Holding B.V.</w:t>
      </w:r>
    </w:p>
    <w:p>
      <w:pPr>
        <w:ind w:left="180"/>
        <w:spacing w:after="0"/>
        <w:rPr>
          <w:sz w:val="20"/>
          <w:szCs w:val="20"/>
          <w:color w:val="auto"/>
        </w:rPr>
      </w:pPr>
      <w:r>
        <w:rPr>
          <w:rFonts w:ascii="Courier New" w:cs="Courier New" w:eastAsia="Courier New" w:hAnsi="Courier New"/>
          <w:sz w:val="15"/>
          <w:szCs w:val="15"/>
          <w:color w:val="auto"/>
        </w:rPr>
        <w:t>..................................................... Netherlands Kraft</w:t>
      </w:r>
    </w:p>
    <w:p>
      <w:pPr>
        <w:jc w:val="center"/>
        <w:ind w:right="3579"/>
        <w:spacing w:after="0"/>
        <w:rPr>
          <w:sz w:val="20"/>
          <w:szCs w:val="20"/>
          <w:color w:val="auto"/>
        </w:rPr>
      </w:pPr>
      <w:r>
        <w:rPr>
          <w:rFonts w:ascii="Courier New" w:cs="Courier New" w:eastAsia="Courier New" w:hAnsi="Courier New"/>
          <w:sz w:val="15"/>
          <w:szCs w:val="15"/>
          <w:color w:val="auto"/>
        </w:rPr>
        <w:t>Foods Honduras, S.A.</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Honduras Kraft</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Foods Hors Domicile</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France Kraft</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Foods Hungaria Kft.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Hungary Kraft</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Foods Inc.</w:t>
      </w:r>
    </w:p>
    <w:p>
      <w:pPr>
        <w:ind w:left="280"/>
        <w:spacing w:after="0"/>
        <w:rPr>
          <w:sz w:val="20"/>
          <w:szCs w:val="20"/>
          <w:color w:val="auto"/>
        </w:rPr>
      </w:pPr>
      <w:r>
        <w:rPr>
          <w:rFonts w:ascii="Courier New" w:cs="Courier New" w:eastAsia="Courier New" w:hAnsi="Courier New"/>
          <w:sz w:val="15"/>
          <w:szCs w:val="15"/>
          <w:color w:val="auto"/>
        </w:rPr>
        <w:t>.....................................................................</w:t>
      </w:r>
    </w:p>
    <w:p>
      <w:pPr>
        <w:jc w:val="center"/>
        <w:ind w:right="3579"/>
        <w:spacing w:after="0"/>
        <w:rPr>
          <w:sz w:val="20"/>
          <w:szCs w:val="20"/>
          <w:color w:val="auto"/>
        </w:rPr>
      </w:pPr>
      <w:r>
        <w:rPr>
          <w:rFonts w:ascii="Courier New" w:cs="Courier New" w:eastAsia="Courier New" w:hAnsi="Courier New"/>
          <w:sz w:val="15"/>
          <w:szCs w:val="15"/>
          <w:color w:val="auto"/>
        </w:rPr>
        <w:t>Virginia Kraft Foods International (EU) Ltd.</w:t>
      </w:r>
    </w:p>
    <w:p>
      <w:pPr>
        <w:ind w:left="180"/>
        <w:spacing w:after="0" w:line="238" w:lineRule="auto"/>
        <w:rPr>
          <w:sz w:val="20"/>
          <w:szCs w:val="20"/>
          <w:color w:val="auto"/>
        </w:rPr>
      </w:pPr>
      <w:r>
        <w:rPr>
          <w:rFonts w:ascii="Courier New" w:cs="Courier New" w:eastAsia="Courier New" w:hAnsi="Courier New"/>
          <w:sz w:val="15"/>
          <w:szCs w:val="15"/>
          <w:color w:val="auto"/>
        </w:rPr>
        <w:t>.................................................. United Kingdom Kraft</w:t>
      </w:r>
    </w:p>
    <w:p>
      <w:pPr>
        <w:jc w:val="center"/>
        <w:ind w:right="3579"/>
        <w:spacing w:after="0"/>
        <w:rPr>
          <w:sz w:val="20"/>
          <w:szCs w:val="20"/>
          <w:color w:val="auto"/>
        </w:rPr>
      </w:pPr>
      <w:r>
        <w:rPr>
          <w:rFonts w:ascii="Courier New" w:cs="Courier New" w:eastAsia="Courier New" w:hAnsi="Courier New"/>
          <w:sz w:val="15"/>
          <w:szCs w:val="15"/>
          <w:color w:val="auto"/>
        </w:rPr>
        <w:t>Foods International Inc</w:t>
      </w:r>
    </w:p>
    <w:p>
      <w:pPr>
        <w:ind w:left="180"/>
        <w:spacing w:after="0"/>
        <w:rPr>
          <w:sz w:val="20"/>
          <w:szCs w:val="20"/>
          <w:color w:val="auto"/>
        </w:rPr>
      </w:pPr>
      <w:r>
        <w:rPr>
          <w:rFonts w:ascii="Courier New" w:cs="Courier New" w:eastAsia="Courier New" w:hAnsi="Courier New"/>
          <w:sz w:val="15"/>
          <w:szCs w:val="15"/>
          <w:color w:val="auto"/>
        </w:rPr>
        <w:t>........................................................ Delaware Kraft</w:t>
      </w:r>
    </w:p>
    <w:p>
      <w:pPr>
        <w:jc w:val="center"/>
        <w:ind w:right="3579"/>
        <w:spacing w:after="0" w:line="238" w:lineRule="auto"/>
        <w:rPr>
          <w:sz w:val="20"/>
          <w:szCs w:val="20"/>
          <w:color w:val="auto"/>
        </w:rPr>
      </w:pPr>
      <w:r>
        <w:rPr>
          <w:rFonts w:ascii="Courier New" w:cs="Courier New" w:eastAsia="Courier New" w:hAnsi="Courier New"/>
          <w:sz w:val="15"/>
          <w:szCs w:val="15"/>
          <w:color w:val="auto"/>
        </w:rPr>
        <w:t>Foods Investments Inc</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Delaware Kraft</w:t>
      </w:r>
    </w:p>
    <w:p>
      <w:pPr>
        <w:sectPr>
          <w:pgSz w:w="11900" w:h="16838" w:orient="portrait"/>
          <w:cols w:equalWidth="0" w:num="1">
            <w:col w:w="10199"/>
          </w:cols>
          <w:pgMar w:left="260" w:top="136" w:right="1440" w:bottom="0" w:gutter="0" w:footer="0" w:header="0"/>
        </w:sectPr>
      </w:pPr>
    </w:p>
    <w:bookmarkStart w:id="59" w:name="page60"/>
    <w:bookmarkEnd w:id="59"/>
    <w:p>
      <w:pPr>
        <w:jc w:val="center"/>
        <w:ind w:right="3579"/>
        <w:spacing w:after="0"/>
        <w:rPr>
          <w:sz w:val="20"/>
          <w:szCs w:val="20"/>
          <w:color w:val="auto"/>
        </w:rPr>
      </w:pPr>
      <w:r>
        <w:rPr>
          <w:rFonts w:ascii="Courier New" w:cs="Courier New" w:eastAsia="Courier New" w:hAnsi="Courier New"/>
          <w:sz w:val="15"/>
          <w:szCs w:val="15"/>
          <w:color w:val="auto"/>
        </w:rPr>
        <w:t>Foods Ireland Limited</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 Ireland Kraft</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Foods Italia S.p.A.</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 Italy Kraft</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Foods Jamaica Limited</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 Jamaica Kraft</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Foods Laverune SNC</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France Kraft</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Foods Limited</w:t>
      </w:r>
    </w:p>
    <w:p>
      <w:pPr>
        <w:ind w:left="400"/>
        <w:spacing w:after="0"/>
        <w:rPr>
          <w:sz w:val="20"/>
          <w:szCs w:val="20"/>
          <w:color w:val="auto"/>
        </w:rPr>
      </w:pPr>
      <w:r>
        <w:rPr>
          <w:rFonts w:ascii="Courier New" w:cs="Courier New" w:eastAsia="Courier New" w:hAnsi="Courier New"/>
          <w:sz w:val="15"/>
          <w:szCs w:val="15"/>
          <w:color w:val="auto"/>
        </w:rPr>
        <w:t>..................................................................</w:t>
      </w:r>
    </w:p>
    <w:p>
      <w:pPr>
        <w:jc w:val="center"/>
        <w:ind w:right="3579"/>
        <w:spacing w:after="0"/>
        <w:rPr>
          <w:sz w:val="20"/>
          <w:szCs w:val="20"/>
          <w:color w:val="auto"/>
        </w:rPr>
      </w:pPr>
      <w:r>
        <w:rPr>
          <w:rFonts w:ascii="Courier New" w:cs="Courier New" w:eastAsia="Courier New" w:hAnsi="Courier New"/>
          <w:sz w:val="15"/>
          <w:szCs w:val="15"/>
          <w:color w:val="auto"/>
        </w:rPr>
        <w:t>Australia Kraft Foods Limited (Asia)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Hong Kong Kraft</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Foods Manufacturing Corporation</w:t>
      </w:r>
    </w:p>
    <w:p>
      <w:pPr>
        <w:ind w:left="280"/>
        <w:spacing w:after="0"/>
        <w:rPr>
          <w:sz w:val="20"/>
          <w:szCs w:val="20"/>
          <w:color w:val="auto"/>
        </w:rPr>
      </w:pPr>
      <w:r>
        <w:rPr>
          <w:rFonts w:ascii="Courier New" w:cs="Courier New" w:eastAsia="Courier New" w:hAnsi="Courier New"/>
          <w:sz w:val="15"/>
          <w:szCs w:val="15"/>
          <w:color w:val="auto"/>
        </w:rPr>
        <w:t>................................................ Delaware Kraft Foods</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Manufacturing GmbH &amp; Co. KG ..............................................</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Germany Kraft Foods Manufacturing Midwest, Inc.</w:t>
      </w:r>
    </w:p>
    <w:p>
      <w:pPr>
        <w:ind w:left="360"/>
        <w:spacing w:after="0"/>
        <w:rPr>
          <w:sz w:val="20"/>
          <w:szCs w:val="20"/>
          <w:color w:val="auto"/>
        </w:rPr>
      </w:pPr>
      <w:r>
        <w:rPr>
          <w:rFonts w:ascii="Courier New" w:cs="Courier New" w:eastAsia="Courier New" w:hAnsi="Courier New"/>
          <w:sz w:val="15"/>
          <w:szCs w:val="15"/>
          <w:color w:val="auto"/>
        </w:rPr>
        <w:t>.............................................. Delaware Kraft Foods</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Manufacturing West, Inc. .................................................</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Delaware Kraft Foods Maroc SA</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Morocco</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Kraft Foods Mexico Holding I B.V.</w:t>
      </w:r>
    </w:p>
    <w:p>
      <w:pPr>
        <w:ind w:left="240"/>
        <w:spacing w:after="0"/>
        <w:rPr>
          <w:sz w:val="20"/>
          <w:szCs w:val="20"/>
          <w:color w:val="auto"/>
        </w:rPr>
      </w:pPr>
      <w:r>
        <w:rPr>
          <w:rFonts w:ascii="Courier New" w:cs="Courier New" w:eastAsia="Courier New" w:hAnsi="Courier New"/>
          <w:sz w:val="15"/>
          <w:szCs w:val="15"/>
          <w:color w:val="auto"/>
        </w:rPr>
        <w:t>.................................................... Netherlands Kraft</w:t>
      </w:r>
    </w:p>
    <w:p>
      <w:pPr>
        <w:jc w:val="center"/>
        <w:ind w:right="3579"/>
        <w:spacing w:after="0"/>
        <w:rPr>
          <w:sz w:val="20"/>
          <w:szCs w:val="20"/>
          <w:color w:val="auto"/>
        </w:rPr>
      </w:pPr>
      <w:r>
        <w:rPr>
          <w:rFonts w:ascii="Courier New" w:cs="Courier New" w:eastAsia="Courier New" w:hAnsi="Courier New"/>
          <w:sz w:val="15"/>
          <w:szCs w:val="15"/>
          <w:color w:val="auto"/>
        </w:rPr>
        <w:t>Foods Mexico Holding II B.V.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Netherlands Kraft Foods</w:t>
      </w:r>
    </w:p>
    <w:p>
      <w:pPr>
        <w:spacing w:after="0" w:line="11"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Namur S.A. ...............................................................</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Belgium Kraft Foods Nederland B.V.</w:t>
      </w:r>
    </w:p>
    <w:p>
      <w:pPr>
        <w:ind w:left="180"/>
        <w:spacing w:after="0"/>
        <w:rPr>
          <w:sz w:val="20"/>
          <w:szCs w:val="20"/>
          <w:color w:val="auto"/>
        </w:rPr>
      </w:pPr>
      <w:r>
        <w:rPr>
          <w:rFonts w:ascii="Courier New" w:cs="Courier New" w:eastAsia="Courier New" w:hAnsi="Courier New"/>
          <w:sz w:val="15"/>
          <w:szCs w:val="15"/>
          <w:color w:val="auto"/>
        </w:rPr>
        <w:t>........................................................... Netherlands</w:t>
      </w:r>
    </w:p>
    <w:p>
      <w:pPr>
        <w:jc w:val="center"/>
        <w:ind w:right="3579"/>
        <w:spacing w:after="0"/>
        <w:rPr>
          <w:sz w:val="20"/>
          <w:szCs w:val="20"/>
          <w:color w:val="auto"/>
        </w:rPr>
      </w:pPr>
      <w:r>
        <w:rPr>
          <w:rFonts w:ascii="Courier New" w:cs="Courier New" w:eastAsia="Courier New" w:hAnsi="Courier New"/>
          <w:sz w:val="15"/>
          <w:szCs w:val="15"/>
          <w:color w:val="auto"/>
        </w:rPr>
        <w:t>Kraft Foods Norge AS</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 Norway</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Kraft Foods North America,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Delaware Kraft Foods</w:t>
      </w:r>
    </w:p>
    <w:p>
      <w:pPr>
        <w:spacing w:after="0" w:line="11"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Oesterreich GmbH .........................................................</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Austria Kraft Foods Panama, S.A.</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Panama Kraft</w:t>
      </w:r>
    </w:p>
    <w:p>
      <w:pPr>
        <w:spacing w:after="0" w:line="5"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Foods Peru S.A.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Peru Kraft</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Foods Polska Sp.z o.o.</w:t>
      </w:r>
    </w:p>
    <w:p>
      <w:pPr>
        <w:ind w:left="220"/>
        <w:spacing w:after="0"/>
        <w:rPr>
          <w:sz w:val="20"/>
          <w:szCs w:val="20"/>
          <w:color w:val="auto"/>
        </w:rPr>
      </w:pPr>
      <w:r>
        <w:rPr>
          <w:rFonts w:ascii="Courier New" w:cs="Courier New" w:eastAsia="Courier New" w:hAnsi="Courier New"/>
          <w:sz w:val="15"/>
          <w:szCs w:val="15"/>
          <w:color w:val="auto"/>
        </w:rPr>
        <w:t>......................................................... Poland Kraft</w:t>
      </w:r>
    </w:p>
    <w:p>
      <w:pPr>
        <w:ind w:left="1560"/>
        <w:spacing w:after="0"/>
        <w:rPr>
          <w:sz w:val="20"/>
          <w:szCs w:val="20"/>
          <w:color w:val="auto"/>
        </w:rPr>
      </w:pPr>
      <w:r>
        <w:rPr>
          <w:rFonts w:ascii="Courier New" w:cs="Courier New" w:eastAsia="Courier New" w:hAnsi="Courier New"/>
          <w:sz w:val="15"/>
          <w:szCs w:val="15"/>
          <w:color w:val="auto"/>
        </w:rPr>
        <w:t>Foods Portugal Produtos Alimentares Lda.</w:t>
      </w:r>
    </w:p>
    <w:p>
      <w:pPr>
        <w:ind w:left="180"/>
        <w:spacing w:after="0" w:line="238" w:lineRule="auto"/>
        <w:rPr>
          <w:sz w:val="20"/>
          <w:szCs w:val="20"/>
          <w:color w:val="auto"/>
        </w:rPr>
      </w:pPr>
      <w:r>
        <w:rPr>
          <w:rFonts w:ascii="Courier New" w:cs="Courier New" w:eastAsia="Courier New" w:hAnsi="Courier New"/>
          <w:sz w:val="15"/>
          <w:szCs w:val="15"/>
          <w:color w:val="auto"/>
        </w:rPr>
        <w:t>....................................... Portugal Kraft Foods Produktion</w:t>
      </w:r>
    </w:p>
    <w:p>
      <w:pPr>
        <w:ind w:left="180"/>
        <w:spacing w:after="0"/>
        <w:rPr>
          <w:sz w:val="20"/>
          <w:szCs w:val="20"/>
          <w:color w:val="auto"/>
        </w:rPr>
      </w:pPr>
      <w:r>
        <w:rPr>
          <w:rFonts w:ascii="Courier New" w:cs="Courier New" w:eastAsia="Courier New" w:hAnsi="Courier New"/>
          <w:sz w:val="15"/>
          <w:szCs w:val="15"/>
          <w:color w:val="auto"/>
        </w:rPr>
        <w:t>GmbH .......................................................... Germany</w:t>
      </w:r>
    </w:p>
    <w:p>
      <w:pPr>
        <w:jc w:val="center"/>
        <w:ind w:right="3579"/>
        <w:spacing w:after="0"/>
        <w:rPr>
          <w:sz w:val="20"/>
          <w:szCs w:val="20"/>
          <w:color w:val="auto"/>
        </w:rPr>
      </w:pPr>
      <w:r>
        <w:rPr>
          <w:rFonts w:ascii="Courier New" w:cs="Courier New" w:eastAsia="Courier New" w:hAnsi="Courier New"/>
          <w:sz w:val="15"/>
          <w:szCs w:val="15"/>
          <w:color w:val="auto"/>
        </w:rPr>
        <w:t>Kraft Foods R &amp; D, Inc.</w:t>
      </w:r>
    </w:p>
    <w:p>
      <w:pPr>
        <w:ind w:left="180"/>
        <w:spacing w:after="0" w:line="238" w:lineRule="auto"/>
        <w:rPr>
          <w:sz w:val="20"/>
          <w:szCs w:val="20"/>
          <w:color w:val="auto"/>
        </w:rPr>
      </w:pPr>
      <w:r>
        <w:rPr>
          <w:rFonts w:ascii="Courier New" w:cs="Courier New" w:eastAsia="Courier New" w:hAnsi="Courier New"/>
          <w:sz w:val="15"/>
          <w:szCs w:val="15"/>
          <w:color w:val="auto"/>
        </w:rPr>
        <w:t>.............................................................. Delaware</w:t>
      </w:r>
    </w:p>
    <w:p>
      <w:pPr>
        <w:jc w:val="center"/>
        <w:ind w:right="3579"/>
        <w:spacing w:after="0"/>
        <w:rPr>
          <w:sz w:val="20"/>
          <w:szCs w:val="20"/>
          <w:color w:val="auto"/>
        </w:rPr>
      </w:pPr>
      <w:r>
        <w:rPr>
          <w:rFonts w:ascii="Courier New" w:cs="Courier New" w:eastAsia="Courier New" w:hAnsi="Courier New"/>
          <w:sz w:val="15"/>
          <w:szCs w:val="15"/>
          <w:color w:val="auto"/>
        </w:rPr>
        <w:t>Kraft Foods Romania SA</w:t>
      </w:r>
    </w:p>
    <w:p>
      <w:pPr>
        <w:ind w:left="180"/>
        <w:spacing w:after="0"/>
        <w:rPr>
          <w:sz w:val="20"/>
          <w:szCs w:val="20"/>
          <w:color w:val="auto"/>
        </w:rPr>
      </w:pPr>
      <w:r>
        <w:rPr>
          <w:rFonts w:ascii="Courier New" w:cs="Courier New" w:eastAsia="Courier New" w:hAnsi="Courier New"/>
          <w:sz w:val="15"/>
          <w:szCs w:val="15"/>
          <w:color w:val="auto"/>
        </w:rPr>
        <w:t>............................................................... Romania</w:t>
      </w:r>
    </w:p>
    <w:p>
      <w:pPr>
        <w:jc w:val="center"/>
        <w:ind w:right="3579"/>
        <w:spacing w:after="0"/>
        <w:rPr>
          <w:sz w:val="20"/>
          <w:szCs w:val="20"/>
          <w:color w:val="auto"/>
        </w:rPr>
      </w:pPr>
      <w:r>
        <w:rPr>
          <w:rFonts w:ascii="Courier New" w:cs="Courier New" w:eastAsia="Courier New" w:hAnsi="Courier New"/>
          <w:sz w:val="15"/>
          <w:szCs w:val="15"/>
          <w:color w:val="auto"/>
        </w:rPr>
        <w:t>Kraft Foods Schweiz AG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Switzerland</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Kraft Foods Schweiz Holding AG</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Switzerland Kraft</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Foods Slovakia,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Slovak Republic</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Kraft Foods Strasbourg SNC</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 France Kraft</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Foods Sverige AB</w:t>
      </w:r>
    </w:p>
    <w:p>
      <w:pPr>
        <w:ind w:left="220"/>
        <w:spacing w:after="0"/>
        <w:rPr>
          <w:sz w:val="20"/>
          <w:szCs w:val="20"/>
          <w:color w:val="auto"/>
        </w:rPr>
      </w:pPr>
      <w:r>
        <w:rPr>
          <w:rFonts w:ascii="Courier New" w:cs="Courier New" w:eastAsia="Courier New" w:hAnsi="Courier New"/>
          <w:sz w:val="15"/>
          <w:szCs w:val="15"/>
          <w:color w:val="auto"/>
        </w:rPr>
        <w:t>............................................................... Sweden</w:t>
      </w:r>
    </w:p>
    <w:p>
      <w:pPr>
        <w:jc w:val="center"/>
        <w:ind w:right="3579"/>
        <w:spacing w:after="0"/>
        <w:rPr>
          <w:sz w:val="20"/>
          <w:szCs w:val="20"/>
          <w:color w:val="auto"/>
        </w:rPr>
      </w:pPr>
      <w:r>
        <w:rPr>
          <w:rFonts w:ascii="Courier New" w:cs="Courier New" w:eastAsia="Courier New" w:hAnsi="Courier New"/>
          <w:sz w:val="15"/>
          <w:szCs w:val="15"/>
          <w:color w:val="auto"/>
        </w:rPr>
        <w:t>Kraft Foods Sverige Holding AB</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Sweden Kraft Foods</w:t>
      </w:r>
    </w:p>
    <w:p>
      <w:pPr>
        <w:spacing w:after="0" w:line="11"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Taiwan Limited ...........................................................</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Taiwan, Province of China Kraft Foods UK Ltd.</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United</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Kingdom Kraft Foods Uruguay, S.A.</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Uruguay Kraft</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Foods Venezuela, C.A.</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Venezuela Kraft</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Gida Pazarlama ve Ticaret A.S.</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 Turkey Kraft Guangtong</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Food Company, Limited ................................................</w:t>
      </w:r>
    </w:p>
    <w:p>
      <w:pPr>
        <w:jc w:val="center"/>
        <w:ind w:right="3579"/>
        <w:spacing w:after="0"/>
        <w:rPr>
          <w:sz w:val="20"/>
          <w:szCs w:val="20"/>
          <w:color w:val="auto"/>
        </w:rPr>
      </w:pPr>
      <w:r>
        <w:rPr>
          <w:rFonts w:ascii="Courier New" w:cs="Courier New" w:eastAsia="Courier New" w:hAnsi="Courier New"/>
          <w:sz w:val="15"/>
          <w:szCs w:val="15"/>
          <w:color w:val="auto"/>
        </w:rPr>
        <w:t>China Kraft Japan, K.K.</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Japan</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Kraft Korea Inc.</w:t>
      </w:r>
    </w:p>
    <w:p>
      <w:pPr>
        <w:ind w:left="280"/>
        <w:spacing w:after="0"/>
        <w:rPr>
          <w:sz w:val="20"/>
          <w:szCs w:val="20"/>
          <w:color w:val="auto"/>
        </w:rPr>
      </w:pPr>
      <w:r>
        <w:rPr>
          <w:rFonts w:ascii="Courier New" w:cs="Courier New" w:eastAsia="Courier New" w:hAnsi="Courier New"/>
          <w:sz w:val="15"/>
          <w:szCs w:val="15"/>
          <w:color w:val="auto"/>
        </w:rPr>
        <w:t>.....................................................................</w:t>
      </w:r>
    </w:p>
    <w:p>
      <w:pPr>
        <w:jc w:val="center"/>
        <w:ind w:right="3579"/>
        <w:spacing w:after="0"/>
        <w:rPr>
          <w:sz w:val="20"/>
          <w:szCs w:val="20"/>
          <w:color w:val="auto"/>
        </w:rPr>
      </w:pPr>
      <w:r>
        <w:rPr>
          <w:rFonts w:ascii="Courier New" w:cs="Courier New" w:eastAsia="Courier New" w:hAnsi="Courier New"/>
          <w:sz w:val="15"/>
          <w:szCs w:val="15"/>
          <w:color w:val="auto"/>
        </w:rPr>
        <w:t>Korea, Republic of Kraft Pizza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Delaware</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Kraft Suchard Nicaragua S.A.</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Nicaragua Kraft</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Tianmei Food (Tianjin) Co., Ltd.</w:t>
      </w:r>
    </w:p>
    <w:p>
      <w:pPr>
        <w:ind w:left="360"/>
        <w:spacing w:after="0"/>
        <w:rPr>
          <w:sz w:val="20"/>
          <w:szCs w:val="20"/>
          <w:color w:val="auto"/>
        </w:rPr>
      </w:pPr>
      <w:r>
        <w:rPr>
          <w:rFonts w:ascii="Courier New" w:cs="Courier New" w:eastAsia="Courier New" w:hAnsi="Courier New"/>
          <w:sz w:val="15"/>
          <w:szCs w:val="15"/>
          <w:color w:val="auto"/>
        </w:rPr>
        <w:t>............................................... China Krema Limited</w:t>
      </w:r>
    </w:p>
    <w:p>
      <w:pPr>
        <w:ind w:left="140"/>
        <w:spacing w:after="0"/>
        <w:rPr>
          <w:sz w:val="20"/>
          <w:szCs w:val="20"/>
          <w:color w:val="auto"/>
        </w:rPr>
      </w:pPr>
      <w:r>
        <w:rPr>
          <w:rFonts w:ascii="Courier New" w:cs="Courier New" w:eastAsia="Courier New" w:hAnsi="Courier New"/>
          <w:sz w:val="15"/>
          <w:szCs w:val="15"/>
          <w:color w:val="auto"/>
        </w:rPr>
        <w:t>........................................................................</w:t>
      </w:r>
    </w:p>
    <w:p>
      <w:pPr>
        <w:jc w:val="center"/>
        <w:ind w:right="3579"/>
        <w:spacing w:after="0" w:line="238" w:lineRule="auto"/>
        <w:rPr>
          <w:sz w:val="20"/>
          <w:szCs w:val="20"/>
          <w:color w:val="auto"/>
        </w:rPr>
      </w:pPr>
      <w:r>
        <w:rPr>
          <w:rFonts w:ascii="Courier New" w:cs="Courier New" w:eastAsia="Courier New" w:hAnsi="Courier New"/>
          <w:sz w:val="15"/>
          <w:szCs w:val="15"/>
          <w:color w:val="auto"/>
        </w:rPr>
        <w:t>Ireland KTL S. de R.L. de C.V.</w:t>
      </w:r>
    </w:p>
    <w:p>
      <w:pPr>
        <w:ind w:left="220"/>
        <w:spacing w:after="0"/>
        <w:rPr>
          <w:sz w:val="20"/>
          <w:szCs w:val="20"/>
          <w:color w:val="auto"/>
        </w:rPr>
      </w:pPr>
      <w:r>
        <w:rPr>
          <w:rFonts w:ascii="Courier New" w:cs="Courier New" w:eastAsia="Courier New" w:hAnsi="Courier New"/>
          <w:sz w:val="15"/>
          <w:szCs w:val="15"/>
          <w:color w:val="auto"/>
        </w:rPr>
        <w:t>............................................................... Mexico</w:t>
      </w:r>
    </w:p>
    <w:p>
      <w:pPr>
        <w:jc w:val="center"/>
        <w:ind w:right="3579"/>
        <w:spacing w:after="0"/>
        <w:rPr>
          <w:sz w:val="20"/>
          <w:szCs w:val="20"/>
          <w:color w:val="auto"/>
        </w:rPr>
      </w:pPr>
      <w:r>
        <w:rPr>
          <w:rFonts w:ascii="Courier New" w:cs="Courier New" w:eastAsia="Courier New" w:hAnsi="Courier New"/>
          <w:sz w:val="15"/>
          <w:szCs w:val="15"/>
          <w:color w:val="auto"/>
        </w:rPr>
        <w:t>Landers y Cia. 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Colombia</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Lanes Biscuits Pty Ltd</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Australia</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Lanes Food (Australia) Pty Ltd</w:t>
      </w:r>
    </w:p>
    <w:p>
      <w:pPr>
        <w:ind w:left="180"/>
        <w:spacing w:after="0"/>
        <w:rPr>
          <w:sz w:val="20"/>
          <w:szCs w:val="20"/>
          <w:color w:val="auto"/>
        </w:rPr>
      </w:pPr>
      <w:r>
        <w:rPr>
          <w:rFonts w:ascii="Courier New" w:cs="Courier New" w:eastAsia="Courier New" w:hAnsi="Courier New"/>
          <w:sz w:val="15"/>
          <w:szCs w:val="15"/>
          <w:color w:val="auto"/>
        </w:rPr>
        <w:t>....................................................... Australia Lanes</w:t>
      </w:r>
    </w:p>
    <w:p>
      <w:pPr>
        <w:jc w:val="center"/>
        <w:ind w:right="3579"/>
        <w:spacing w:after="0"/>
        <w:rPr>
          <w:sz w:val="20"/>
          <w:szCs w:val="20"/>
          <w:color w:val="auto"/>
        </w:rPr>
      </w:pPr>
      <w:r>
        <w:rPr>
          <w:rFonts w:ascii="Courier New" w:cs="Courier New" w:eastAsia="Courier New" w:hAnsi="Courier New"/>
          <w:sz w:val="15"/>
          <w:szCs w:val="15"/>
          <w:color w:val="auto"/>
        </w:rPr>
        <w:t>Food Group Limited</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New Zealand</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Limited Liability Company Kraft Foods</w:t>
      </w:r>
    </w:p>
    <w:p>
      <w:pPr>
        <w:ind w:left="180"/>
        <w:spacing w:after="0"/>
        <w:rPr>
          <w:sz w:val="20"/>
          <w:szCs w:val="20"/>
          <w:color w:val="auto"/>
        </w:rPr>
      </w:pPr>
      <w:r>
        <w:rPr>
          <w:rFonts w:ascii="Courier New" w:cs="Courier New" w:eastAsia="Courier New" w:hAnsi="Courier New"/>
          <w:sz w:val="15"/>
          <w:szCs w:val="15"/>
          <w:color w:val="auto"/>
        </w:rPr>
        <w:t>................................................ Russian Federation LLC</w:t>
      </w:r>
    </w:p>
    <w:p>
      <w:pPr>
        <w:jc w:val="center"/>
        <w:ind w:right="3579"/>
        <w:spacing w:after="0"/>
        <w:rPr>
          <w:sz w:val="20"/>
          <w:szCs w:val="20"/>
          <w:color w:val="auto"/>
        </w:rPr>
      </w:pPr>
      <w:r>
        <w:rPr>
          <w:rFonts w:ascii="Courier New" w:cs="Courier New" w:eastAsia="Courier New" w:hAnsi="Courier New"/>
          <w:sz w:val="15"/>
          <w:szCs w:val="15"/>
          <w:color w:val="auto"/>
        </w:rPr>
        <w:t>(000) Kraft Foods Sales and Marketing</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Russian Federation Lowney Inc.</w:t>
      </w:r>
    </w:p>
    <w:p>
      <w:pPr>
        <w:spacing w:after="0" w:line="11"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5"/>
          <w:szCs w:val="15"/>
          <w:color w:val="auto"/>
        </w:rPr>
        <w:t>Canada Marsa Kraft Foods Sabanci Gida Sanayi ve Ticaret A.S.</w:t>
      </w:r>
    </w:p>
    <w:p>
      <w:pPr>
        <w:ind w:left="720"/>
        <w:spacing w:after="0"/>
        <w:rPr>
          <w:sz w:val="20"/>
          <w:szCs w:val="20"/>
          <w:color w:val="auto"/>
        </w:rPr>
      </w:pPr>
      <w:r>
        <w:rPr>
          <w:rFonts w:ascii="Courier New" w:cs="Courier New" w:eastAsia="Courier New" w:hAnsi="Courier New"/>
          <w:sz w:val="15"/>
          <w:szCs w:val="15"/>
          <w:color w:val="auto"/>
        </w:rPr>
        <w:t>................................ Turkey Merola Finance B.V.</w:t>
      </w:r>
    </w:p>
    <w:p>
      <w:pPr>
        <w:ind w:left="400"/>
        <w:spacing w:after="0"/>
        <w:rPr>
          <w:sz w:val="20"/>
          <w:szCs w:val="20"/>
          <w:color w:val="auto"/>
        </w:rPr>
      </w:pPr>
      <w:r>
        <w:rPr>
          <w:rFonts w:ascii="Courier New" w:cs="Courier New" w:eastAsia="Courier New" w:hAnsi="Courier New"/>
          <w:sz w:val="15"/>
          <w:szCs w:val="15"/>
          <w:color w:val="auto"/>
        </w:rPr>
        <w:t>..................................................................</w:t>
      </w:r>
    </w:p>
    <w:p>
      <w:pPr>
        <w:ind w:left="720"/>
        <w:spacing w:after="0" w:line="238" w:lineRule="auto"/>
        <w:rPr>
          <w:sz w:val="20"/>
          <w:szCs w:val="20"/>
          <w:color w:val="auto"/>
        </w:rPr>
      </w:pPr>
      <w:r>
        <w:rPr>
          <w:rFonts w:ascii="Courier New" w:cs="Courier New" w:eastAsia="Courier New" w:hAnsi="Courier New"/>
          <w:sz w:val="15"/>
          <w:szCs w:val="15"/>
          <w:color w:val="auto"/>
        </w:rPr>
        <w:t>Netherlands Mirabell Salzburger Confiserie-Und Bisquit GmbH</w:t>
      </w:r>
    </w:p>
    <w:p>
      <w:pPr>
        <w:sectPr>
          <w:pgSz w:w="11900" w:h="16838" w:orient="portrait"/>
          <w:cols w:equalWidth="0" w:num="1">
            <w:col w:w="10199"/>
          </w:cols>
          <w:pgMar w:left="260" w:top="136" w:right="1440" w:bottom="0" w:gutter="0" w:footer="0" w:header="0"/>
        </w:sectPr>
      </w:pPr>
    </w:p>
    <w:bookmarkStart w:id="60" w:name="page61"/>
    <w:bookmarkEnd w:id="60"/>
    <w:p>
      <w:pPr>
        <w:ind w:left="120"/>
        <w:spacing w:after="0"/>
        <w:rPr>
          <w:sz w:val="20"/>
          <w:szCs w:val="20"/>
          <w:color w:val="auto"/>
        </w:rPr>
      </w:pPr>
      <w:r>
        <w:rPr>
          <w:rFonts w:ascii="Courier New" w:cs="Courier New" w:eastAsia="Courier New" w:hAnsi="Courier New"/>
          <w:sz w:val="14"/>
          <w:szCs w:val="14"/>
          <w:color w:val="auto"/>
        </w:rPr>
        <w:t>...................................... Austria N.V. Biscuits Delacre S.A.</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Belgium N.V.</w:t>
      </w:r>
    </w:p>
    <w:p>
      <w:pPr>
        <w:jc w:val="center"/>
        <w:ind w:right="3539"/>
        <w:spacing w:after="0"/>
        <w:rPr>
          <w:sz w:val="20"/>
          <w:szCs w:val="20"/>
          <w:color w:val="auto"/>
        </w:rPr>
      </w:pPr>
      <w:r>
        <w:rPr>
          <w:rFonts w:ascii="Courier New" w:cs="Courier New" w:eastAsia="Courier New" w:hAnsi="Courier New"/>
          <w:sz w:val="15"/>
          <w:szCs w:val="15"/>
          <w:color w:val="auto"/>
        </w:rPr>
        <w:t>Westimex Belgium S.A.</w:t>
      </w:r>
    </w:p>
    <w:p>
      <w:pPr>
        <w:spacing w:after="0" w:line="5"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 Belgium Nabisco</w:t>
      </w:r>
    </w:p>
    <w:p>
      <w:pPr>
        <w:spacing w:after="0" w:line="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(China) Limited</w:t>
      </w:r>
    </w:p>
    <w:p>
      <w:pPr>
        <w:ind w:left="340"/>
        <w:spacing w:after="0"/>
        <w:rPr>
          <w:sz w:val="20"/>
          <w:szCs w:val="20"/>
          <w:color w:val="auto"/>
        </w:rPr>
      </w:pPr>
      <w:r>
        <w:rPr>
          <w:rFonts w:ascii="Courier New" w:cs="Courier New" w:eastAsia="Courier New" w:hAnsi="Courier New"/>
          <w:sz w:val="15"/>
          <w:szCs w:val="15"/>
          <w:color w:val="auto"/>
        </w:rPr>
        <w:t>.............................................................. China</w:t>
      </w:r>
    </w:p>
    <w:p>
      <w:pPr>
        <w:jc w:val="center"/>
        <w:ind w:right="3539"/>
        <w:spacing w:after="0"/>
        <w:rPr>
          <w:sz w:val="20"/>
          <w:szCs w:val="20"/>
          <w:color w:val="auto"/>
        </w:rPr>
      </w:pPr>
      <w:r>
        <w:rPr>
          <w:rFonts w:ascii="Courier New" w:cs="Courier New" w:eastAsia="Courier New" w:hAnsi="Courier New"/>
          <w:sz w:val="15"/>
          <w:szCs w:val="15"/>
          <w:color w:val="auto"/>
        </w:rPr>
        <w:t>Nabisco (Thailand) Limited</w:t>
      </w:r>
    </w:p>
    <w:p>
      <w:pPr>
        <w:ind w:left="340"/>
        <w:spacing w:after="0" w:line="238" w:lineRule="auto"/>
        <w:rPr>
          <w:sz w:val="20"/>
          <w:szCs w:val="20"/>
          <w:color w:val="auto"/>
        </w:rPr>
      </w:pPr>
      <w:r>
        <w:rPr>
          <w:rFonts w:ascii="Courier New" w:cs="Courier New" w:eastAsia="Courier New" w:hAnsi="Courier New"/>
          <w:sz w:val="15"/>
          <w:szCs w:val="15"/>
          <w:color w:val="auto"/>
        </w:rPr>
        <w:t>........................................................... Thailand</w:t>
      </w:r>
    </w:p>
    <w:p>
      <w:pPr>
        <w:jc w:val="center"/>
        <w:ind w:right="3539"/>
        <w:spacing w:after="0"/>
        <w:rPr>
          <w:sz w:val="20"/>
          <w:szCs w:val="20"/>
          <w:color w:val="auto"/>
        </w:rPr>
      </w:pPr>
      <w:r>
        <w:rPr>
          <w:rFonts w:ascii="Courier New" w:cs="Courier New" w:eastAsia="Courier New" w:hAnsi="Courier New"/>
          <w:sz w:val="15"/>
          <w:szCs w:val="15"/>
          <w:color w:val="auto"/>
        </w:rPr>
        <w:t>Nabisco Arabia Co. Ltd.</w:t>
      </w:r>
    </w:p>
    <w:p>
      <w:pPr>
        <w:spacing w:after="0" w:line="5"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 Saudi Arabia</w:t>
      </w:r>
    </w:p>
    <w:p>
      <w:pPr>
        <w:spacing w:after="0" w:line="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Nabisco Caribbean Export, Inc.</w:t>
      </w:r>
    </w:p>
    <w:p>
      <w:pPr>
        <w:spacing w:after="0" w:line="5"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 Delaware Nabisco de</w:t>
      </w:r>
    </w:p>
    <w:p>
      <w:pPr>
        <w:spacing w:after="0" w:line="11"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Nicaragua, S.A. ...........................................................</w:t>
      </w:r>
    </w:p>
    <w:p>
      <w:pPr>
        <w:spacing w:after="0" w:line="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Nicaragua Nabisco Euro Holdings Ltd.</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 Cayman Islands</w:t>
      </w:r>
    </w:p>
    <w:p>
      <w:pPr>
        <w:spacing w:after="0" w:line="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Nabisco Food (Suzhou) Co. Ltd.</w:t>
      </w:r>
    </w:p>
    <w:p>
      <w:pPr>
        <w:spacing w:after="0" w:line="5"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 China Nabisco Group</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Ltd. ...................................................................</w:t>
      </w:r>
    </w:p>
    <w:p>
      <w:pPr>
        <w:jc w:val="center"/>
        <w:ind w:right="3539"/>
        <w:spacing w:after="0"/>
        <w:rPr>
          <w:sz w:val="20"/>
          <w:szCs w:val="20"/>
          <w:color w:val="auto"/>
        </w:rPr>
      </w:pPr>
      <w:r>
        <w:rPr>
          <w:rFonts w:ascii="Courier New" w:cs="Courier New" w:eastAsia="Courier New" w:hAnsi="Courier New"/>
          <w:sz w:val="15"/>
          <w:szCs w:val="15"/>
          <w:color w:val="auto"/>
        </w:rPr>
        <w:t>Delaware Nabisco Hong Kong Limited</w:t>
      </w:r>
    </w:p>
    <w:p>
      <w:pPr>
        <w:ind w:left="240"/>
        <w:spacing w:after="0"/>
        <w:rPr>
          <w:sz w:val="20"/>
          <w:szCs w:val="20"/>
          <w:color w:val="auto"/>
        </w:rPr>
      </w:pPr>
      <w:r>
        <w:rPr>
          <w:rFonts w:ascii="Courier New" w:cs="Courier New" w:eastAsia="Courier New" w:hAnsi="Courier New"/>
          <w:sz w:val="15"/>
          <w:szCs w:val="15"/>
          <w:color w:val="auto"/>
        </w:rPr>
        <w:t>............................................................ Hong Kong</w:t>
      </w:r>
    </w:p>
    <w:p>
      <w:pPr>
        <w:jc w:val="center"/>
        <w:ind w:right="3539"/>
        <w:spacing w:after="0" w:line="238" w:lineRule="auto"/>
        <w:rPr>
          <w:sz w:val="20"/>
          <w:szCs w:val="20"/>
          <w:color w:val="auto"/>
        </w:rPr>
      </w:pPr>
      <w:r>
        <w:rPr>
          <w:rFonts w:ascii="Courier New" w:cs="Courier New" w:eastAsia="Courier New" w:hAnsi="Courier New"/>
          <w:sz w:val="15"/>
          <w:szCs w:val="15"/>
          <w:color w:val="auto"/>
        </w:rPr>
        <w:t>Nabisco International, Inc.</w:t>
      </w:r>
    </w:p>
    <w:p>
      <w:pPr>
        <w:spacing w:after="0" w:line="5"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 Delaware Nabisco</w:t>
      </w:r>
    </w:p>
    <w:p>
      <w:pPr>
        <w:spacing w:after="0" w:line="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International, S.A.</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4"/>
          <w:szCs w:val="14"/>
          <w:color w:val="auto"/>
        </w:rPr>
        <w:t>.......................................................... Panama Nabisco</w:t>
      </w:r>
    </w:p>
    <w:p>
      <w:pPr>
        <w:spacing w:after="0" w:line="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Inversiones S.R.L.</w:t>
      </w:r>
    </w:p>
    <w:p>
      <w:pPr>
        <w:ind w:left="300"/>
        <w:spacing w:after="0"/>
        <w:rPr>
          <w:sz w:val="20"/>
          <w:szCs w:val="20"/>
          <w:color w:val="auto"/>
        </w:rPr>
      </w:pPr>
      <w:r>
        <w:rPr>
          <w:rFonts w:ascii="Courier New" w:cs="Courier New" w:eastAsia="Courier New" w:hAnsi="Courier New"/>
          <w:sz w:val="15"/>
          <w:szCs w:val="15"/>
          <w:color w:val="auto"/>
        </w:rPr>
        <w:t>........................................................... Argentina</w:t>
      </w:r>
    </w:p>
    <w:p>
      <w:pPr>
        <w:jc w:val="center"/>
        <w:ind w:right="3539"/>
        <w:spacing w:after="0"/>
        <w:rPr>
          <w:sz w:val="20"/>
          <w:szCs w:val="20"/>
          <w:color w:val="auto"/>
        </w:rPr>
      </w:pPr>
      <w:r>
        <w:rPr>
          <w:rFonts w:ascii="Courier New" w:cs="Courier New" w:eastAsia="Courier New" w:hAnsi="Courier New"/>
          <w:sz w:val="15"/>
          <w:szCs w:val="15"/>
          <w:color w:val="auto"/>
        </w:rPr>
        <w:t>Nabisco Investments, Inc.</w:t>
      </w:r>
    </w:p>
    <w:p>
      <w:pPr>
        <w:ind w:left="300"/>
        <w:spacing w:after="0" w:line="238" w:lineRule="auto"/>
        <w:rPr>
          <w:sz w:val="20"/>
          <w:szCs w:val="20"/>
          <w:color w:val="auto"/>
        </w:rPr>
      </w:pPr>
      <w:r>
        <w:rPr>
          <w:rFonts w:ascii="Courier New" w:cs="Courier New" w:eastAsia="Courier New" w:hAnsi="Courier New"/>
          <w:sz w:val="15"/>
          <w:szCs w:val="15"/>
          <w:color w:val="auto"/>
        </w:rPr>
        <w:t>............................................................ Delaware</w:t>
      </w:r>
    </w:p>
    <w:p>
      <w:pPr>
        <w:jc w:val="center"/>
        <w:ind w:right="3539"/>
        <w:spacing w:after="0"/>
        <w:rPr>
          <w:sz w:val="20"/>
          <w:szCs w:val="20"/>
          <w:color w:val="auto"/>
        </w:rPr>
      </w:pPr>
      <w:r>
        <w:rPr>
          <w:rFonts w:ascii="Courier New" w:cs="Courier New" w:eastAsia="Courier New" w:hAnsi="Courier New"/>
          <w:sz w:val="15"/>
          <w:szCs w:val="15"/>
          <w:color w:val="auto"/>
        </w:rPr>
        <w:t>Nabisco Philippines, Inc.</w:t>
      </w:r>
    </w:p>
    <w:p>
      <w:pPr>
        <w:ind w:left="160"/>
        <w:spacing w:after="0"/>
        <w:rPr>
          <w:sz w:val="20"/>
          <w:szCs w:val="20"/>
          <w:color w:val="auto"/>
        </w:rPr>
      </w:pPr>
      <w:r>
        <w:rPr>
          <w:rFonts w:ascii="Courier New" w:cs="Courier New" w:eastAsia="Courier New" w:hAnsi="Courier New"/>
          <w:sz w:val="15"/>
          <w:szCs w:val="15"/>
          <w:color w:val="auto"/>
        </w:rPr>
        <w:t>............................................................ Philippines</w:t>
      </w:r>
    </w:p>
    <w:p>
      <w:pPr>
        <w:jc w:val="center"/>
        <w:ind w:right="3539"/>
        <w:spacing w:after="0" w:line="238" w:lineRule="auto"/>
        <w:rPr>
          <w:sz w:val="20"/>
          <w:szCs w:val="20"/>
          <w:color w:val="auto"/>
        </w:rPr>
      </w:pPr>
      <w:r>
        <w:rPr>
          <w:rFonts w:ascii="Courier New" w:cs="Courier New" w:eastAsia="Courier New" w:hAnsi="Courier New"/>
          <w:sz w:val="15"/>
          <w:szCs w:val="15"/>
          <w:color w:val="auto"/>
        </w:rPr>
        <w:t>Nabisco Royal Argentina LLC</w:t>
      </w:r>
    </w:p>
    <w:p>
      <w:pPr>
        <w:spacing w:after="0" w:line="5"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 Delaware Nabisco</w:t>
      </w:r>
    </w:p>
    <w:p>
      <w:pPr>
        <w:spacing w:after="0" w:line="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Royal de Honduras, S.A.</w:t>
      </w:r>
    </w:p>
    <w:p>
      <w:pPr>
        <w:ind w:left="200"/>
        <w:spacing w:after="0"/>
        <w:rPr>
          <w:sz w:val="20"/>
          <w:szCs w:val="20"/>
          <w:color w:val="auto"/>
        </w:rPr>
      </w:pPr>
      <w:r>
        <w:rPr>
          <w:rFonts w:ascii="Courier New" w:cs="Courier New" w:eastAsia="Courier New" w:hAnsi="Courier New"/>
          <w:sz w:val="15"/>
          <w:szCs w:val="15"/>
          <w:color w:val="auto"/>
        </w:rPr>
        <w:t>...................................................... Honduras Nabisco</w:t>
      </w:r>
    </w:p>
    <w:p>
      <w:pPr>
        <w:jc w:val="center"/>
        <w:ind w:right="3539"/>
        <w:spacing w:after="0"/>
        <w:rPr>
          <w:sz w:val="20"/>
          <w:szCs w:val="20"/>
          <w:color w:val="auto"/>
        </w:rPr>
      </w:pPr>
      <w:r>
        <w:rPr>
          <w:rFonts w:ascii="Courier New" w:cs="Courier New" w:eastAsia="Courier New" w:hAnsi="Courier New"/>
          <w:sz w:val="15"/>
          <w:szCs w:val="15"/>
          <w:color w:val="auto"/>
        </w:rPr>
        <w:t>Royal, Inc.</w:t>
      </w:r>
    </w:p>
    <w:p>
      <w:pPr>
        <w:spacing w:after="0" w:line="4"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 New York</w:t>
      </w:r>
    </w:p>
    <w:p>
      <w:pPr>
        <w:spacing w:after="0" w:line="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Nabisco Taiwan Corporation</w:t>
      </w:r>
    </w:p>
    <w:p>
      <w:pPr>
        <w:ind w:left="380"/>
        <w:spacing w:after="0"/>
        <w:rPr>
          <w:sz w:val="20"/>
          <w:szCs w:val="20"/>
          <w:color w:val="auto"/>
        </w:rPr>
      </w:pPr>
      <w:r>
        <w:rPr>
          <w:rFonts w:ascii="Courier New" w:cs="Courier New" w:eastAsia="Courier New" w:hAnsi="Courier New"/>
          <w:sz w:val="15"/>
          <w:szCs w:val="15"/>
          <w:color w:val="auto"/>
        </w:rPr>
        <w:t>........................................................... Taiwan,</w:t>
      </w:r>
    </w:p>
    <w:p>
      <w:pPr>
        <w:jc w:val="center"/>
        <w:ind w:right="3539"/>
        <w:spacing w:after="0"/>
        <w:rPr>
          <w:sz w:val="20"/>
          <w:szCs w:val="20"/>
          <w:color w:val="auto"/>
        </w:rPr>
      </w:pPr>
      <w:r>
        <w:rPr>
          <w:rFonts w:ascii="Courier New" w:cs="Courier New" w:eastAsia="Courier New" w:hAnsi="Courier New"/>
          <w:sz w:val="15"/>
          <w:szCs w:val="15"/>
          <w:color w:val="auto"/>
        </w:rPr>
        <w:t>Province of China Nabisco, Inc. Foreign Sales Corporation</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4"/>
          <w:szCs w:val="14"/>
          <w:color w:val="auto"/>
        </w:rPr>
        <w:t>.............................................. Virgin Islands (U.S.) NISA</w:t>
      </w:r>
    </w:p>
    <w:p>
      <w:pPr>
        <w:spacing w:after="0" w:line="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Holdings LLC</w:t>
      </w:r>
    </w:p>
    <w:p>
      <w:pPr>
        <w:ind w:left="340"/>
        <w:spacing w:after="0"/>
        <w:rPr>
          <w:sz w:val="20"/>
          <w:szCs w:val="20"/>
          <w:color w:val="auto"/>
        </w:rPr>
      </w:pPr>
      <w:r>
        <w:rPr>
          <w:rFonts w:ascii="Courier New" w:cs="Courier New" w:eastAsia="Courier New" w:hAnsi="Courier New"/>
          <w:sz w:val="15"/>
          <w:szCs w:val="15"/>
          <w:color w:val="auto"/>
        </w:rPr>
        <w:t>....................................................................</w:t>
      </w:r>
    </w:p>
    <w:p>
      <w:pPr>
        <w:jc w:val="center"/>
        <w:ind w:right="3539"/>
        <w:spacing w:after="0"/>
        <w:rPr>
          <w:sz w:val="20"/>
          <w:szCs w:val="20"/>
          <w:color w:val="auto"/>
        </w:rPr>
      </w:pPr>
      <w:r>
        <w:rPr>
          <w:rFonts w:ascii="Courier New" w:cs="Courier New" w:eastAsia="Courier New" w:hAnsi="Courier New"/>
          <w:sz w:val="15"/>
          <w:szCs w:val="15"/>
          <w:color w:val="auto"/>
        </w:rPr>
        <w:t>Delaware Oy Kraft Foods Finland Ab</w:t>
      </w:r>
    </w:p>
    <w:p>
      <w:pPr>
        <w:jc w:val="center"/>
        <w:ind w:right="3539"/>
        <w:spacing w:after="0" w:line="238" w:lineRule="auto"/>
        <w:rPr>
          <w:sz w:val="20"/>
          <w:szCs w:val="20"/>
          <w:color w:val="auto"/>
        </w:rPr>
      </w:pPr>
      <w:r>
        <w:rPr>
          <w:rFonts w:ascii="Courier New" w:cs="Courier New" w:eastAsia="Courier New" w:hAnsi="Courier New"/>
          <w:sz w:val="15"/>
          <w:szCs w:val="15"/>
          <w:color w:val="auto"/>
        </w:rPr>
        <w:t>............................................................ Finland P.T.</w:t>
      </w:r>
    </w:p>
    <w:p>
      <w:pPr>
        <w:jc w:val="center"/>
        <w:ind w:right="3539"/>
        <w:spacing w:after="0"/>
        <w:rPr>
          <w:sz w:val="20"/>
          <w:szCs w:val="20"/>
          <w:color w:val="auto"/>
        </w:rPr>
      </w:pPr>
      <w:r>
        <w:rPr>
          <w:rFonts w:ascii="Courier New" w:cs="Courier New" w:eastAsia="Courier New" w:hAnsi="Courier New"/>
          <w:sz w:val="15"/>
          <w:szCs w:val="15"/>
          <w:color w:val="auto"/>
        </w:rPr>
        <w:t>Kraft Ultrajaya Indonesia</w:t>
      </w:r>
    </w:p>
    <w:p>
      <w:pPr>
        <w:jc w:val="center"/>
        <w:ind w:right="3539"/>
        <w:spacing w:after="0"/>
        <w:rPr>
          <w:sz w:val="20"/>
          <w:szCs w:val="20"/>
          <w:color w:val="auto"/>
        </w:rPr>
      </w:pPr>
      <w:r>
        <w:rPr>
          <w:rFonts w:ascii="Courier New" w:cs="Courier New" w:eastAsia="Courier New" w:hAnsi="Courier New"/>
          <w:sz w:val="15"/>
          <w:szCs w:val="15"/>
          <w:color w:val="auto"/>
        </w:rPr>
        <w:t>....................................................... Indonesia Pavlides</w:t>
      </w:r>
    </w:p>
    <w:p>
      <w:pPr>
        <w:jc w:val="center"/>
        <w:ind w:right="3539"/>
        <w:spacing w:after="0" w:line="238" w:lineRule="auto"/>
        <w:rPr>
          <w:sz w:val="20"/>
          <w:szCs w:val="20"/>
          <w:color w:val="auto"/>
        </w:rPr>
      </w:pPr>
      <w:r>
        <w:rPr>
          <w:rFonts w:ascii="Courier New" w:cs="Courier New" w:eastAsia="Courier New" w:hAnsi="Courier New"/>
          <w:sz w:val="15"/>
          <w:szCs w:val="15"/>
          <w:color w:val="auto"/>
        </w:rPr>
        <w:t>S.A. Chocolate Manufacturers</w:t>
      </w:r>
    </w:p>
    <w:p>
      <w:pPr>
        <w:spacing w:after="0" w:line="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 Greece Pers Gida Sanayi ve</w:t>
      </w:r>
    </w:p>
    <w:p>
      <w:pPr>
        <w:spacing w:after="0" w:line="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Ticaret Anonim Sirketi ........................................... Turkey</w:t>
      </w:r>
    </w:p>
    <w:p>
      <w:pPr>
        <w:jc w:val="center"/>
        <w:ind w:right="3539"/>
        <w:spacing w:after="0"/>
        <w:rPr>
          <w:sz w:val="20"/>
          <w:szCs w:val="20"/>
          <w:color w:val="auto"/>
        </w:rPr>
      </w:pPr>
      <w:r>
        <w:rPr>
          <w:rFonts w:ascii="Courier New" w:cs="Courier New" w:eastAsia="Courier New" w:hAnsi="Courier New"/>
          <w:sz w:val="15"/>
          <w:szCs w:val="15"/>
          <w:color w:val="auto"/>
        </w:rPr>
        <w:t>Phenix Leasing Corporation</w:t>
      </w:r>
    </w:p>
    <w:p>
      <w:pPr>
        <w:spacing w:after="0" w:line="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 Delaware Phenix</w:t>
      </w:r>
    </w:p>
    <w:p>
      <w:pPr>
        <w:spacing w:after="0" w:line="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Management Corporation</w:t>
      </w:r>
    </w:p>
    <w:p>
      <w:pPr>
        <w:jc w:val="center"/>
        <w:ind w:right="3539"/>
        <w:spacing w:after="0"/>
        <w:rPr>
          <w:sz w:val="20"/>
          <w:szCs w:val="20"/>
          <w:color w:val="auto"/>
        </w:rPr>
      </w:pPr>
      <w:r>
        <w:rPr>
          <w:rFonts w:ascii="Courier New" w:cs="Courier New" w:eastAsia="Courier New" w:hAnsi="Courier New"/>
          <w:sz w:val="15"/>
          <w:szCs w:val="15"/>
          <w:color w:val="auto"/>
        </w:rPr>
        <w:t>........................................................ Delaware Philip</w:t>
      </w:r>
    </w:p>
    <w:p>
      <w:pPr>
        <w:jc w:val="center"/>
        <w:ind w:right="3539"/>
        <w:spacing w:after="0"/>
        <w:rPr>
          <w:sz w:val="20"/>
          <w:szCs w:val="20"/>
          <w:color w:val="auto"/>
        </w:rPr>
      </w:pPr>
      <w:r>
        <w:rPr>
          <w:rFonts w:ascii="Courier New" w:cs="Courier New" w:eastAsia="Courier New" w:hAnsi="Courier New"/>
          <w:sz w:val="15"/>
          <w:szCs w:val="15"/>
          <w:color w:val="auto"/>
        </w:rPr>
        <w:t>Morris (China) Investments Co., Ltd.</w:t>
      </w:r>
    </w:p>
    <w:p>
      <w:pPr>
        <w:jc w:val="center"/>
        <w:ind w:right="3539"/>
        <w:spacing w:after="0" w:line="238" w:lineRule="auto"/>
        <w:rPr>
          <w:sz w:val="20"/>
          <w:szCs w:val="20"/>
          <w:color w:val="auto"/>
        </w:rPr>
      </w:pPr>
      <w:r>
        <w:rPr>
          <w:rFonts w:ascii="Courier New" w:cs="Courier New" w:eastAsia="Courier New" w:hAnsi="Courier New"/>
          <w:sz w:val="15"/>
          <w:szCs w:val="15"/>
          <w:color w:val="auto"/>
        </w:rPr>
        <w:t>.......................................... China Productos Kraft, S. de</w:t>
      </w:r>
    </w:p>
    <w:p>
      <w:pPr>
        <w:jc w:val="center"/>
        <w:ind w:right="3539"/>
        <w:spacing w:after="0"/>
        <w:rPr>
          <w:sz w:val="20"/>
          <w:szCs w:val="20"/>
          <w:color w:val="auto"/>
        </w:rPr>
      </w:pPr>
      <w:r>
        <w:rPr>
          <w:rFonts w:ascii="Courier New" w:cs="Courier New" w:eastAsia="Courier New" w:hAnsi="Courier New"/>
          <w:sz w:val="15"/>
          <w:szCs w:val="15"/>
          <w:color w:val="auto"/>
        </w:rPr>
        <w:t>R.L.de C.V .................................................... Mexico</w:t>
      </w:r>
    </w:p>
    <w:p>
      <w:pPr>
        <w:jc w:val="center"/>
        <w:ind w:right="3539"/>
        <w:spacing w:after="0"/>
        <w:rPr>
          <w:sz w:val="20"/>
          <w:szCs w:val="20"/>
          <w:color w:val="auto"/>
        </w:rPr>
      </w:pPr>
      <w:r>
        <w:rPr>
          <w:rFonts w:ascii="Courier New" w:cs="Courier New" w:eastAsia="Courier New" w:hAnsi="Courier New"/>
          <w:sz w:val="15"/>
          <w:szCs w:val="15"/>
          <w:color w:val="auto"/>
        </w:rPr>
        <w:t>Productos y Alimentos, S.A. de C.V.</w:t>
      </w:r>
    </w:p>
    <w:p>
      <w:pPr>
        <w:jc w:val="center"/>
        <w:ind w:right="3539"/>
        <w:spacing w:after="0" w:line="238" w:lineRule="auto"/>
        <w:rPr>
          <w:sz w:val="20"/>
          <w:szCs w:val="20"/>
          <w:color w:val="auto"/>
        </w:rPr>
      </w:pPr>
      <w:r>
        <w:rPr>
          <w:rFonts w:ascii="Courier New" w:cs="Courier New" w:eastAsia="Courier New" w:hAnsi="Courier New"/>
          <w:sz w:val="15"/>
          <w:szCs w:val="15"/>
          <w:color w:val="auto"/>
        </w:rPr>
        <w:t>................................................. El Salvador PT Nabisco</w:t>
      </w:r>
    </w:p>
    <w:p>
      <w:pPr>
        <w:spacing w:after="0" w:line="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Foods .....................................................................</w:t>
      </w:r>
    </w:p>
    <w:p>
      <w:pPr>
        <w:spacing w:after="0" w:line="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Indonesia Regentrealm Limited</w:t>
      </w:r>
    </w:p>
    <w:p>
      <w:pPr>
        <w:jc w:val="center"/>
        <w:ind w:right="3539"/>
        <w:spacing w:after="0"/>
        <w:rPr>
          <w:sz w:val="20"/>
          <w:szCs w:val="20"/>
          <w:color w:val="auto"/>
        </w:rPr>
      </w:pPr>
      <w:r>
        <w:rPr>
          <w:rFonts w:ascii="Courier New" w:cs="Courier New" w:eastAsia="Courier New" w:hAnsi="Courier New"/>
          <w:sz w:val="15"/>
          <w:szCs w:val="15"/>
          <w:color w:val="auto"/>
        </w:rPr>
        <w:t>.................................................................. United</w:t>
      </w:r>
    </w:p>
    <w:p>
      <w:pPr>
        <w:jc w:val="center"/>
        <w:ind w:right="3539"/>
        <w:spacing w:after="0"/>
        <w:rPr>
          <w:sz w:val="20"/>
          <w:szCs w:val="20"/>
          <w:color w:val="auto"/>
        </w:rPr>
      </w:pPr>
      <w:r>
        <w:rPr>
          <w:rFonts w:ascii="Courier New" w:cs="Courier New" w:eastAsia="Courier New" w:hAnsi="Courier New"/>
          <w:sz w:val="15"/>
          <w:szCs w:val="15"/>
          <w:color w:val="auto"/>
        </w:rPr>
        <w:t>Kingdom Riespri, S.A.</w:t>
      </w:r>
    </w:p>
    <w:p>
      <w:pPr>
        <w:ind w:left="160"/>
        <w:spacing w:after="0" w:line="238" w:lineRule="auto"/>
        <w:rPr>
          <w:sz w:val="20"/>
          <w:szCs w:val="20"/>
          <w:color w:val="auto"/>
        </w:rPr>
      </w:pPr>
      <w:r>
        <w:rPr>
          <w:rFonts w:ascii="Courier New" w:cs="Courier New" w:eastAsia="Courier New" w:hAnsi="Courier New"/>
          <w:sz w:val="15"/>
          <w:szCs w:val="15"/>
          <w:color w:val="auto"/>
        </w:rPr>
        <w:t>........................................................................</w:t>
      </w:r>
    </w:p>
    <w:p>
      <w:pPr>
        <w:jc w:val="center"/>
        <w:ind w:right="3539"/>
        <w:spacing w:after="0"/>
        <w:rPr>
          <w:sz w:val="20"/>
          <w:szCs w:val="20"/>
          <w:color w:val="auto"/>
        </w:rPr>
      </w:pPr>
      <w:r>
        <w:rPr>
          <w:rFonts w:ascii="Courier New" w:cs="Courier New" w:eastAsia="Courier New" w:hAnsi="Courier New"/>
          <w:sz w:val="15"/>
          <w:szCs w:val="15"/>
          <w:color w:val="auto"/>
        </w:rPr>
        <w:t>Spain Runecorp Limited</w:t>
      </w:r>
    </w:p>
    <w:p>
      <w:pPr>
        <w:ind w:left="300"/>
        <w:spacing w:after="0"/>
        <w:rPr>
          <w:sz w:val="20"/>
          <w:szCs w:val="20"/>
          <w:color w:val="auto"/>
        </w:rPr>
      </w:pPr>
      <w:r>
        <w:rPr>
          <w:rFonts w:ascii="Courier New" w:cs="Courier New" w:eastAsia="Courier New" w:hAnsi="Courier New"/>
          <w:sz w:val="15"/>
          <w:szCs w:val="15"/>
          <w:color w:val="auto"/>
        </w:rPr>
        <w:t>.....................................................................</w:t>
      </w:r>
    </w:p>
    <w:p>
      <w:pPr>
        <w:jc w:val="center"/>
        <w:ind w:right="3539"/>
        <w:spacing w:after="0" w:line="238" w:lineRule="auto"/>
        <w:rPr>
          <w:sz w:val="20"/>
          <w:szCs w:val="20"/>
          <w:color w:val="auto"/>
        </w:rPr>
      </w:pPr>
      <w:r>
        <w:rPr>
          <w:rFonts w:ascii="Courier New" w:cs="Courier New" w:eastAsia="Courier New" w:hAnsi="Courier New"/>
          <w:sz w:val="15"/>
          <w:szCs w:val="15"/>
          <w:color w:val="auto"/>
        </w:rPr>
        <w:t>United Kingdom Seven Seas Foods, Inc.</w:t>
      </w:r>
    </w:p>
    <w:p>
      <w:pPr>
        <w:ind w:left="160"/>
        <w:spacing w:after="0"/>
        <w:rPr>
          <w:sz w:val="20"/>
          <w:szCs w:val="20"/>
          <w:color w:val="auto"/>
        </w:rPr>
      </w:pPr>
      <w:r>
        <w:rPr>
          <w:rFonts w:ascii="Courier New" w:cs="Courier New" w:eastAsia="Courier New" w:hAnsi="Courier New"/>
          <w:sz w:val="15"/>
          <w:szCs w:val="15"/>
          <w:color w:val="auto"/>
        </w:rPr>
        <w:t>............................................................... Delaware</w:t>
      </w:r>
    </w:p>
    <w:p>
      <w:pPr>
        <w:jc w:val="center"/>
        <w:ind w:right="3539"/>
        <w:spacing w:after="0"/>
        <w:rPr>
          <w:sz w:val="20"/>
          <w:szCs w:val="20"/>
          <w:color w:val="auto"/>
        </w:rPr>
      </w:pPr>
      <w:r>
        <w:rPr>
          <w:rFonts w:ascii="Courier New" w:cs="Courier New" w:eastAsia="Courier New" w:hAnsi="Courier New"/>
          <w:sz w:val="15"/>
          <w:szCs w:val="15"/>
          <w:color w:val="auto"/>
        </w:rPr>
        <w:t>Stella D'oro Biscuit Co., Inc.</w:t>
      </w:r>
    </w:p>
    <w:p>
      <w:pPr>
        <w:ind w:left="160"/>
        <w:spacing w:after="0"/>
        <w:rPr>
          <w:sz w:val="20"/>
          <w:szCs w:val="20"/>
          <w:color w:val="auto"/>
        </w:rPr>
      </w:pPr>
      <w:r>
        <w:rPr>
          <w:rFonts w:ascii="Courier New" w:cs="Courier New" w:eastAsia="Courier New" w:hAnsi="Courier New"/>
          <w:sz w:val="15"/>
          <w:szCs w:val="15"/>
          <w:color w:val="auto"/>
        </w:rPr>
        <w:t>....................................................... New York Suchard</w:t>
      </w:r>
    </w:p>
    <w:p>
      <w:pPr>
        <w:jc w:val="center"/>
        <w:ind w:right="3539"/>
        <w:spacing w:after="0" w:line="238" w:lineRule="auto"/>
        <w:rPr>
          <w:sz w:val="20"/>
          <w:szCs w:val="20"/>
          <w:color w:val="auto"/>
        </w:rPr>
      </w:pPr>
      <w:r>
        <w:rPr>
          <w:rFonts w:ascii="Courier New" w:cs="Courier New" w:eastAsia="Courier New" w:hAnsi="Courier New"/>
          <w:sz w:val="15"/>
          <w:szCs w:val="15"/>
          <w:color w:val="auto"/>
        </w:rPr>
        <w:t>Limited</w:t>
      </w:r>
    </w:p>
    <w:p>
      <w:pPr>
        <w:ind w:left="240"/>
        <w:spacing w:after="0"/>
        <w:rPr>
          <w:sz w:val="20"/>
          <w:szCs w:val="20"/>
          <w:color w:val="auto"/>
        </w:rPr>
      </w:pPr>
      <w:r>
        <w:rPr>
          <w:rFonts w:ascii="Courier New" w:cs="Courier New" w:eastAsia="Courier New" w:hAnsi="Courier New"/>
          <w:sz w:val="15"/>
          <w:szCs w:val="15"/>
          <w:color w:val="auto"/>
        </w:rPr>
        <w:t>......................................................................</w:t>
      </w:r>
    </w:p>
    <w:p>
      <w:pPr>
        <w:jc w:val="center"/>
        <w:ind w:right="3539"/>
        <w:spacing w:after="0"/>
        <w:rPr>
          <w:sz w:val="20"/>
          <w:szCs w:val="20"/>
          <w:color w:val="auto"/>
        </w:rPr>
      </w:pPr>
      <w:r>
        <w:rPr>
          <w:rFonts w:ascii="Courier New" w:cs="Courier New" w:eastAsia="Courier New" w:hAnsi="Courier New"/>
          <w:sz w:val="15"/>
          <w:szCs w:val="15"/>
          <w:color w:val="auto"/>
        </w:rPr>
        <w:t>United Kingdom Suchard Schokolade Ges. MbH</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4"/>
          <w:szCs w:val="14"/>
          <w:color w:val="auto"/>
        </w:rPr>
        <w:t>.......................................................... Austria Taloca</w:t>
      </w:r>
    </w:p>
    <w:p>
      <w:pPr>
        <w:spacing w:after="0" w:line="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AG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Switzerland Taloca Cafe Ltda</w:t>
      </w:r>
    </w:p>
    <w:p>
      <w:pPr>
        <w:spacing w:after="0" w:line="5"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 Brazil</w:t>
      </w:r>
    </w:p>
    <w:p>
      <w:pPr>
        <w:spacing w:after="0" w:line="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Taloca y Cia Ltda.</w:t>
      </w:r>
    </w:p>
    <w:p>
      <w:pPr>
        <w:ind w:left="380"/>
        <w:spacing w:after="0"/>
        <w:rPr>
          <w:sz w:val="20"/>
          <w:szCs w:val="20"/>
          <w:color w:val="auto"/>
        </w:rPr>
      </w:pPr>
      <w:r>
        <w:rPr>
          <w:rFonts w:ascii="Courier New" w:cs="Courier New" w:eastAsia="Courier New" w:hAnsi="Courier New"/>
          <w:sz w:val="15"/>
          <w:szCs w:val="15"/>
          <w:color w:val="auto"/>
        </w:rPr>
        <w:t>...................................................................</w:t>
      </w:r>
    </w:p>
    <w:p>
      <w:pPr>
        <w:jc w:val="center"/>
        <w:ind w:right="3539"/>
        <w:spacing w:after="0"/>
        <w:rPr>
          <w:sz w:val="20"/>
          <w:szCs w:val="20"/>
          <w:color w:val="auto"/>
        </w:rPr>
      </w:pPr>
      <w:r>
        <w:rPr>
          <w:rFonts w:ascii="Courier New" w:cs="Courier New" w:eastAsia="Courier New" w:hAnsi="Courier New"/>
          <w:sz w:val="15"/>
          <w:szCs w:val="15"/>
          <w:color w:val="auto"/>
        </w:rPr>
        <w:t>Colombia Tevalca Holding C.A.</w:t>
      </w:r>
    </w:p>
    <w:p>
      <w:pPr>
        <w:spacing w:after="0" w:line="4"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 Venezuela</w:t>
      </w:r>
    </w:p>
    <w:p>
      <w:pPr>
        <w:spacing w:after="0" w:line="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The Fleischmann Corporation</w:t>
      </w:r>
    </w:p>
    <w:p>
      <w:pPr>
        <w:ind w:left="200"/>
        <w:spacing w:after="0"/>
        <w:rPr>
          <w:sz w:val="20"/>
          <w:szCs w:val="20"/>
          <w:color w:val="auto"/>
        </w:rPr>
      </w:pPr>
      <w:r>
        <w:rPr>
          <w:rFonts w:ascii="Courier New" w:cs="Courier New" w:eastAsia="Courier New" w:hAnsi="Courier New"/>
          <w:sz w:val="15"/>
          <w:szCs w:val="15"/>
          <w:color w:val="auto"/>
        </w:rPr>
        <w:t>.......................................................... Delaware The</w:t>
      </w:r>
    </w:p>
    <w:p>
      <w:pPr>
        <w:jc w:val="center"/>
        <w:ind w:right="3539"/>
        <w:spacing w:after="0"/>
        <w:rPr>
          <w:sz w:val="20"/>
          <w:szCs w:val="20"/>
          <w:color w:val="auto"/>
        </w:rPr>
      </w:pPr>
      <w:r>
        <w:rPr>
          <w:rFonts w:ascii="Courier New" w:cs="Courier New" w:eastAsia="Courier New" w:hAnsi="Courier New"/>
          <w:sz w:val="15"/>
          <w:szCs w:val="15"/>
          <w:color w:val="auto"/>
        </w:rPr>
        <w:t>Hervin Company</w:t>
      </w:r>
    </w:p>
    <w:p>
      <w:pPr>
        <w:spacing w:after="0" w:line="4"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 Oregon.</w:t>
      </w:r>
    </w:p>
    <w:p>
      <w:pPr>
        <w:spacing w:after="0" w:line="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U. B. Europe, Middle East and Africa Trading, S.A.</w:t>
      </w:r>
    </w:p>
    <w:p>
      <w:pPr>
        <w:ind w:left="920"/>
        <w:spacing w:after="0"/>
        <w:rPr>
          <w:sz w:val="20"/>
          <w:szCs w:val="20"/>
          <w:color w:val="auto"/>
        </w:rPr>
      </w:pPr>
      <w:r>
        <w:rPr>
          <w:rFonts w:ascii="Courier New" w:cs="Courier New" w:eastAsia="Courier New" w:hAnsi="Courier New"/>
          <w:sz w:val="15"/>
          <w:szCs w:val="15"/>
          <w:color w:val="auto"/>
        </w:rPr>
        <w:t>................................... Spain UB China Ltd.</w:t>
      </w:r>
    </w:p>
    <w:p>
      <w:pPr>
        <w:ind w:left="160"/>
        <w:spacing w:after="0"/>
        <w:rPr>
          <w:sz w:val="20"/>
          <w:szCs w:val="20"/>
          <w:color w:val="auto"/>
        </w:rPr>
      </w:pPr>
      <w:r>
        <w:rPr>
          <w:rFonts w:ascii="Courier New" w:cs="Courier New" w:eastAsia="Courier New" w:hAnsi="Courier New"/>
          <w:sz w:val="15"/>
          <w:szCs w:val="15"/>
          <w:color w:val="auto"/>
        </w:rPr>
        <w:t>........................................................................</w:t>
      </w:r>
    </w:p>
    <w:p>
      <w:pPr>
        <w:jc w:val="center"/>
        <w:ind w:right="3539"/>
        <w:spacing w:after="0" w:line="238" w:lineRule="auto"/>
        <w:rPr>
          <w:sz w:val="20"/>
          <w:szCs w:val="20"/>
          <w:color w:val="auto"/>
        </w:rPr>
      </w:pPr>
      <w:r>
        <w:rPr>
          <w:rFonts w:ascii="Courier New" w:cs="Courier New" w:eastAsia="Courier New" w:hAnsi="Courier New"/>
          <w:sz w:val="15"/>
          <w:szCs w:val="15"/>
          <w:color w:val="auto"/>
        </w:rPr>
        <w:t>China UB Finance B.V.</w:t>
      </w:r>
    </w:p>
    <w:p>
      <w:pPr>
        <w:ind w:left="240"/>
        <w:spacing w:after="0"/>
        <w:rPr>
          <w:sz w:val="20"/>
          <w:szCs w:val="20"/>
          <w:color w:val="auto"/>
        </w:rPr>
      </w:pPr>
      <w:r>
        <w:rPr>
          <w:rFonts w:ascii="Courier New" w:cs="Courier New" w:eastAsia="Courier New" w:hAnsi="Courier New"/>
          <w:sz w:val="15"/>
          <w:szCs w:val="15"/>
          <w:color w:val="auto"/>
        </w:rPr>
        <w:t>......................................................................</w:t>
      </w:r>
    </w:p>
    <w:p>
      <w:pPr>
        <w:jc w:val="center"/>
        <w:ind w:right="3539"/>
        <w:spacing w:after="0"/>
        <w:rPr>
          <w:sz w:val="20"/>
          <w:szCs w:val="20"/>
          <w:color w:val="auto"/>
        </w:rPr>
      </w:pPr>
      <w:r>
        <w:rPr>
          <w:rFonts w:ascii="Courier New" w:cs="Courier New" w:eastAsia="Courier New" w:hAnsi="Courier New"/>
          <w:sz w:val="15"/>
          <w:szCs w:val="15"/>
          <w:color w:val="auto"/>
        </w:rPr>
        <w:t>Netherlands UB Group Limited</w:t>
      </w:r>
    </w:p>
    <w:p>
      <w:pPr>
        <w:ind w:left="300"/>
        <w:spacing w:after="0" w:line="238" w:lineRule="auto"/>
        <w:rPr>
          <w:sz w:val="20"/>
          <w:szCs w:val="20"/>
          <w:color w:val="auto"/>
        </w:rPr>
      </w:pPr>
      <w:r>
        <w:rPr>
          <w:rFonts w:ascii="Courier New" w:cs="Courier New" w:eastAsia="Courier New" w:hAnsi="Courier New"/>
          <w:sz w:val="15"/>
          <w:szCs w:val="15"/>
          <w:color w:val="auto"/>
        </w:rPr>
        <w:t>.....................................................................</w:t>
      </w:r>
    </w:p>
    <w:p>
      <w:pPr>
        <w:jc w:val="center"/>
        <w:ind w:right="3539"/>
        <w:spacing w:after="0"/>
        <w:rPr>
          <w:sz w:val="20"/>
          <w:szCs w:val="20"/>
          <w:color w:val="auto"/>
        </w:rPr>
      </w:pPr>
      <w:r>
        <w:rPr>
          <w:rFonts w:ascii="Courier New" w:cs="Courier New" w:eastAsia="Courier New" w:hAnsi="Courier New"/>
          <w:sz w:val="15"/>
          <w:szCs w:val="15"/>
          <w:color w:val="auto"/>
        </w:rPr>
        <w:t>United Kingdom UB Humber Limited</w:t>
      </w:r>
    </w:p>
    <w:p>
      <w:pPr>
        <w:spacing w:after="0" w:line="5"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 United</w:t>
      </w:r>
    </w:p>
    <w:p>
      <w:pPr>
        <w:spacing w:after="0" w:line="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Kingdom UB International Sales Limited</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4"/>
          <w:szCs w:val="14"/>
          <w:color w:val="auto"/>
        </w:rPr>
        <w:t>....................................................... United Kingdom UB</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Investments (Netherlands) B.V.</w:t>
      </w:r>
    </w:p>
    <w:p>
      <w:pPr>
        <w:sectPr>
          <w:pgSz w:w="11900" w:h="16838" w:orient="portrait"/>
          <w:cols w:equalWidth="0" w:num="1">
            <w:col w:w="10219"/>
          </w:cols>
          <w:pgMar w:left="240" w:top="141" w:right="1440" w:bottom="0" w:gutter="0" w:footer="0" w:header="0"/>
        </w:sectPr>
      </w:pPr>
    </w:p>
    <w:bookmarkStart w:id="61" w:name="page62"/>
    <w:bookmarkEnd w:id="61"/>
    <w:p>
      <w:pPr>
        <w:spacing w:after="0"/>
        <w:rPr>
          <w:sz w:val="20"/>
          <w:szCs w:val="20"/>
          <w:color w:val="auto"/>
        </w:rPr>
      </w:pPr>
      <w:r>
        <w:rPr>
          <w:rFonts w:ascii="Courier New" w:cs="Courier New" w:eastAsia="Courier New" w:hAnsi="Courier New"/>
          <w:sz w:val="14"/>
          <w:szCs w:val="14"/>
          <w:color w:val="auto"/>
        </w:rPr>
        <w:t>.................................................... Netherlands UB Limited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United Kingdom UB Overseas Limited</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United</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Kingdom United Biscuits (East China) Limited</w:t>
      </w:r>
    </w:p>
    <w:p>
      <w:pPr>
        <w:ind w:left="180"/>
        <w:spacing w:after="0"/>
        <w:rPr>
          <w:sz w:val="20"/>
          <w:szCs w:val="20"/>
          <w:color w:val="auto"/>
        </w:rPr>
      </w:pPr>
      <w:r>
        <w:rPr>
          <w:rFonts w:ascii="Courier New" w:cs="Courier New" w:eastAsia="Courier New" w:hAnsi="Courier New"/>
          <w:sz w:val="15"/>
          <w:szCs w:val="15"/>
          <w:color w:val="auto"/>
        </w:rPr>
        <w:t>................................................. China United Biscuits</w:t>
      </w:r>
    </w:p>
    <w:p>
      <w:pPr>
        <w:ind w:left="220"/>
        <w:spacing w:after="0"/>
        <w:rPr>
          <w:sz w:val="20"/>
          <w:szCs w:val="20"/>
          <w:color w:val="auto"/>
        </w:rPr>
      </w:pPr>
      <w:r>
        <w:rPr>
          <w:rFonts w:ascii="Courier New" w:cs="Courier New" w:eastAsia="Courier New" w:hAnsi="Courier New"/>
          <w:sz w:val="15"/>
          <w:szCs w:val="15"/>
          <w:color w:val="auto"/>
        </w:rPr>
        <w:t>(Properties) Limited .................................................</w:t>
      </w:r>
    </w:p>
    <w:p>
      <w:pPr>
        <w:jc w:val="center"/>
        <w:ind w:right="3579"/>
        <w:spacing w:after="0" w:line="238" w:lineRule="auto"/>
        <w:rPr>
          <w:sz w:val="20"/>
          <w:szCs w:val="20"/>
          <w:color w:val="auto"/>
        </w:rPr>
      </w:pPr>
      <w:r>
        <w:rPr>
          <w:rFonts w:ascii="Courier New" w:cs="Courier New" w:eastAsia="Courier New" w:hAnsi="Courier New"/>
          <w:sz w:val="15"/>
          <w:szCs w:val="15"/>
          <w:color w:val="auto"/>
        </w:rPr>
        <w:t>United Kingdom United Biscuits Asia Pacific Limited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Hong Kong United Biscuits</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Finance plc ..........................................................</w:t>
      </w:r>
    </w:p>
    <w:p>
      <w:pPr>
        <w:jc w:val="center"/>
        <w:ind w:right="3579"/>
        <w:spacing w:after="0"/>
        <w:rPr>
          <w:sz w:val="20"/>
          <w:szCs w:val="20"/>
          <w:color w:val="auto"/>
        </w:rPr>
      </w:pPr>
      <w:r>
        <w:rPr>
          <w:rFonts w:ascii="Courier New" w:cs="Courier New" w:eastAsia="Courier New" w:hAnsi="Courier New"/>
          <w:sz w:val="15"/>
          <w:szCs w:val="15"/>
          <w:color w:val="auto"/>
        </w:rPr>
        <w:t>United Kingdom United Biscuits France S.A.</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 France United</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Biscuits Iberia Limitada</w:t>
      </w:r>
    </w:p>
    <w:p>
      <w:pPr>
        <w:ind w:left="220"/>
        <w:spacing w:after="0"/>
        <w:rPr>
          <w:sz w:val="20"/>
          <w:szCs w:val="20"/>
          <w:color w:val="auto"/>
        </w:rPr>
      </w:pPr>
      <w:r>
        <w:rPr>
          <w:rFonts w:ascii="Courier New" w:cs="Courier New" w:eastAsia="Courier New" w:hAnsi="Courier New"/>
          <w:sz w:val="15"/>
          <w:szCs w:val="15"/>
          <w:color w:val="auto"/>
        </w:rPr>
        <w:t>...................................................... Portugal United</w:t>
      </w:r>
    </w:p>
    <w:p>
      <w:pPr>
        <w:jc w:val="center"/>
        <w:ind w:right="3579"/>
        <w:spacing w:after="0"/>
        <w:rPr>
          <w:sz w:val="20"/>
          <w:szCs w:val="20"/>
          <w:color w:val="auto"/>
        </w:rPr>
      </w:pPr>
      <w:r>
        <w:rPr>
          <w:rFonts w:ascii="Courier New" w:cs="Courier New" w:eastAsia="Courier New" w:hAnsi="Courier New"/>
          <w:sz w:val="15"/>
          <w:szCs w:val="15"/>
          <w:color w:val="auto"/>
        </w:rPr>
        <w:t>Biscuits Iberia, S.L.</w:t>
      </w:r>
    </w:p>
    <w:p>
      <w:pPr>
        <w:ind w:left="280"/>
        <w:spacing w:after="0" w:line="238" w:lineRule="auto"/>
        <w:rPr>
          <w:sz w:val="20"/>
          <w:szCs w:val="20"/>
          <w:color w:val="auto"/>
        </w:rPr>
      </w:pPr>
      <w:r>
        <w:rPr>
          <w:rFonts w:ascii="Courier New" w:cs="Courier New" w:eastAsia="Courier New" w:hAnsi="Courier New"/>
          <w:sz w:val="15"/>
          <w:szCs w:val="15"/>
          <w:color w:val="auto"/>
        </w:rPr>
        <w:t>........................................................ Spain United</w:t>
      </w:r>
    </w:p>
    <w:p>
      <w:pPr>
        <w:jc w:val="center"/>
        <w:ind w:right="3579"/>
        <w:spacing w:after="0"/>
        <w:rPr>
          <w:sz w:val="20"/>
          <w:szCs w:val="20"/>
          <w:color w:val="auto"/>
        </w:rPr>
      </w:pPr>
      <w:r>
        <w:rPr>
          <w:rFonts w:ascii="Courier New" w:cs="Courier New" w:eastAsia="Courier New" w:hAnsi="Courier New"/>
          <w:sz w:val="15"/>
          <w:szCs w:val="15"/>
          <w:color w:val="auto"/>
        </w:rPr>
        <w:t>Biscuits Industries S.A.S.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France United Biscuits</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Tunisia S.A. .........................................................</w:t>
      </w:r>
    </w:p>
    <w:p>
      <w:pPr>
        <w:jc w:val="center"/>
        <w:ind w:right="3579"/>
        <w:spacing w:after="0"/>
        <w:rPr>
          <w:sz w:val="20"/>
          <w:szCs w:val="20"/>
          <w:color w:val="auto"/>
        </w:rPr>
      </w:pPr>
      <w:r>
        <w:rPr>
          <w:rFonts w:ascii="Courier New" w:cs="Courier New" w:eastAsia="Courier New" w:hAnsi="Courier New"/>
          <w:sz w:val="15"/>
          <w:szCs w:val="15"/>
          <w:color w:val="auto"/>
        </w:rPr>
        <w:t>Tunisia Vict. Th. Engwall &amp; Co., Inc.</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Delaware Votesor</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BV</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Netherlands Yili-Nabisco Biscuit &amp; Food Company Limited</w:t>
      </w:r>
    </w:p>
    <w:p>
      <w:pPr>
        <w:ind w:left="1200"/>
        <w:spacing w:after="0"/>
        <w:rPr>
          <w:sz w:val="20"/>
          <w:szCs w:val="20"/>
          <w:color w:val="auto"/>
        </w:rPr>
      </w:pPr>
      <w:r>
        <w:rPr>
          <w:rFonts w:ascii="Courier New" w:cs="Courier New" w:eastAsia="Courier New" w:hAnsi="Courier New"/>
          <w:sz w:val="15"/>
          <w:szCs w:val="15"/>
          <w:color w:val="auto"/>
        </w:rPr>
        <w:t>.......................................... China</w:t>
      </w:r>
    </w:p>
    <w:p>
      <w:pPr>
        <w:sectPr>
          <w:pgSz w:w="11900" w:h="16838" w:orient="portrait"/>
          <w:cols w:equalWidth="0" w:num="1">
            <w:col w:w="10199"/>
          </w:cols>
          <w:pgMar w:left="260" w:top="141" w:right="1440" w:bottom="1440" w:gutter="0" w:footer="0" w:header="0"/>
        </w:sectPr>
      </w:pPr>
    </w:p>
    <w:bookmarkStart w:id="62" w:name="page63"/>
    <w:bookmarkEnd w:id="62"/>
    <w:p>
      <w:pPr>
        <w:jc w:val="right"/>
        <w:ind w:right="3179"/>
        <w:spacing w:after="0"/>
        <w:rPr>
          <w:sz w:val="20"/>
          <w:szCs w:val="20"/>
          <w:color w:val="auto"/>
        </w:rPr>
      </w:pPr>
      <w:r>
        <w:rPr>
          <w:rFonts w:ascii="Courier New" w:cs="Courier New" w:eastAsia="Courier New" w:hAnsi="Courier New"/>
          <w:sz w:val="15"/>
          <w:szCs w:val="15"/>
          <w:color w:val="auto"/>
        </w:rPr>
        <w:t>Exhibit 23</w:t>
      </w:r>
    </w:p>
    <w:p>
      <w:pPr>
        <w:spacing w:after="0" w:line="33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hereby consent to the incorporation by reference in the Registration Statements of Kraft Foods Inc (the "Company") on Form S-8 (File Nos. 333-71266 and 333-84616) and Form S-3 (File Nos. 333-67770, 333-86478 and 333-101829), of our report dated January 27, 2003 relating to the consolidated financial statements of the Company, which appears in the Annual Report to Shareholders, which is incorporated in this Annual Report on Form 10-K. We also consent to the incorporation by reference of our report dated January 27, 2003 relating to the financial statement schedule, which appears in this Form 10-K.</w:t>
      </w:r>
    </w:p>
    <w:p>
      <w:pPr>
        <w:spacing w:after="0" w:line="17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/s/</w:t>
        <w:tab/>
        <w:t>PRICEWATERHOUSECOOPERS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Chicago, Illinois</w:t>
      </w:r>
    </w:p>
    <w:p>
      <w:pPr>
        <w:spacing w:after="0"/>
        <w:rPr>
          <w:sz w:val="20"/>
          <w:szCs w:val="20"/>
          <w:color w:val="auto"/>
        </w:rPr>
      </w:pPr>
      <w:r>
        <w:rPr>
          <w:rFonts w:ascii="Courier New" w:cs="Courier New" w:eastAsia="Courier New" w:hAnsi="Courier New"/>
          <w:sz w:val="15"/>
          <w:szCs w:val="15"/>
          <w:color w:val="auto"/>
        </w:rPr>
        <w:t>March 25, 2003</w:t>
      </w:r>
    </w:p>
    <w:p>
      <w:pPr>
        <w:sectPr>
          <w:pgSz w:w="11900" w:h="16838" w:orient="portrait"/>
          <w:cols w:equalWidth="0" w:num="1">
            <w:col w:w="10219"/>
          </w:cols>
          <w:pgMar w:left="240" w:top="475" w:right="1440" w:bottom="1440" w:gutter="0" w:footer="0" w:header="0"/>
        </w:sectPr>
      </w:pPr>
    </w:p>
    <w:bookmarkStart w:id="63" w:name="page64"/>
    <w:bookmarkEnd w:id="63"/>
    <w:p>
      <w:pPr>
        <w:jc w:val="right"/>
        <w:ind w:right="3179"/>
        <w:spacing w:after="0"/>
        <w:rPr>
          <w:sz w:val="20"/>
          <w:szCs w:val="20"/>
          <w:color w:val="auto"/>
        </w:rPr>
      </w:pPr>
      <w:r>
        <w:rPr>
          <w:rFonts w:ascii="Courier New" w:cs="Courier New" w:eastAsia="Courier New" w:hAnsi="Courier New"/>
          <w:sz w:val="15"/>
          <w:szCs w:val="15"/>
          <w:color w:val="auto"/>
        </w:rPr>
        <w:t>Exhibit 24</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POWER OF ATTORNEY</w:t>
      </w:r>
    </w:p>
    <w:p>
      <w:pPr>
        <w:spacing w:after="0" w:line="344" w:lineRule="exact"/>
        <w:rPr>
          <w:sz w:val="20"/>
          <w:szCs w:val="20"/>
          <w:color w:val="auto"/>
        </w:rPr>
      </w:pPr>
    </w:p>
    <w:p>
      <w:pPr>
        <w:ind w:right="3179" w:firstLine="1058"/>
        <w:spacing w:after="0" w:line="238" w:lineRule="auto"/>
        <w:rPr>
          <w:sz w:val="20"/>
          <w:szCs w:val="20"/>
          <w:color w:val="auto"/>
        </w:rPr>
      </w:pPr>
      <w:r>
        <w:rPr>
          <w:rFonts w:ascii="Courier New" w:cs="Courier New" w:eastAsia="Courier New" w:hAnsi="Courier New"/>
          <w:sz w:val="15"/>
          <w:szCs w:val="15"/>
          <w:color w:val="auto"/>
        </w:rPr>
        <w:t>KNOW ALL MEN BY THESE PRESENT THAT the undersigned, a Director of Kraft Foods Inc., a Virginia corporation (the "Company"), does hereby constitute and appoint Louis C. Camilleri, Calvin J. Collier and James P. Dollive, or any one or more of them, his true and lawful attorney, for him and in his name, place and stead, to execute, by manual or facsimile signature, electronic transmission or otherwise, the Annual Report on Form 10-K of the Company for the year ended December 31, 2002 and any amendments or supplements to said Annual Report and to cause the same to be filed with the Securities and Exchange Commission, together with any exhibits, financial statements and schedules included or to be incorporated by reference therein, hereby granting to said attorneys full power and authority to do and perform all and every act and thing whatsoever requisite or desirable to be done in and about the premises as fully to all intents and purposes as the undersigned might or could do in person, hereby ratifying and confirming all acts and things which said attorneys may do or cause to be done by virtue of these present.</w:t>
      </w:r>
    </w:p>
    <w:p>
      <w:pPr>
        <w:spacing w:after="0" w:line="185" w:lineRule="exact"/>
        <w:rPr>
          <w:sz w:val="20"/>
          <w:szCs w:val="20"/>
          <w:color w:val="auto"/>
        </w:rPr>
      </w:pPr>
    </w:p>
    <w:p>
      <w:pPr>
        <w:ind w:right="3439" w:firstLine="1058"/>
        <w:spacing w:after="0" w:line="235" w:lineRule="auto"/>
        <w:rPr>
          <w:sz w:val="20"/>
          <w:szCs w:val="20"/>
          <w:color w:val="auto"/>
        </w:rPr>
      </w:pPr>
      <w:r>
        <w:rPr>
          <w:rFonts w:ascii="Courier New" w:cs="Courier New" w:eastAsia="Courier New" w:hAnsi="Courier New"/>
          <w:sz w:val="15"/>
          <w:szCs w:val="15"/>
          <w:color w:val="auto"/>
        </w:rPr>
        <w:t>IN WITNESS WHEREOF, the undersigned has hereunto set his hand and seal this 4th day of March, 2003.</w:t>
      </w:r>
    </w:p>
    <w:p>
      <w:pPr>
        <w:spacing w:after="0" w:line="340"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/s/ Louis C. Camilleri</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Louis C. Camilleri</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POWER OF ATTORNEY</w:t>
      </w:r>
    </w:p>
    <w:p>
      <w:pPr>
        <w:spacing w:after="0" w:line="344" w:lineRule="exact"/>
        <w:rPr>
          <w:sz w:val="20"/>
          <w:szCs w:val="20"/>
          <w:color w:val="auto"/>
        </w:rPr>
      </w:pPr>
    </w:p>
    <w:p>
      <w:pPr>
        <w:ind w:right="3179" w:firstLine="1058"/>
        <w:spacing w:after="0" w:line="238" w:lineRule="auto"/>
        <w:rPr>
          <w:sz w:val="20"/>
          <w:szCs w:val="20"/>
          <w:color w:val="auto"/>
        </w:rPr>
      </w:pPr>
      <w:r>
        <w:rPr>
          <w:rFonts w:ascii="Courier New" w:cs="Courier New" w:eastAsia="Courier New" w:hAnsi="Courier New"/>
          <w:sz w:val="15"/>
          <w:szCs w:val="15"/>
          <w:color w:val="auto"/>
        </w:rPr>
        <w:t>KNOW ALL MEN BY THESE PRESENT THAT the undersigned, a Director of Kraft Foods Inc., a Virginia corporation (the "Company"), does hereby constitute and appoint Louis C. Camilleri, Calvin J. Collier and James P. Dollive, or any one or more of them, his true and lawful attorney, for him and in his name, place and stead, to execute, by manual or facsimile signature, electronic transmission or otherwise, the Annual Report on Form 10-K of the Company for the year ended December 31, 2002 and any amendments or supplements to said Annual Report and to cause the same to be filed with the Securities and Exchange Commission, together with any exhibits, financial statements and schedules included or to be incorporated by reference therein, hereby granting to said attorneys full power and authority to do and perform all and every act and thing whatsoever requisite or desirable to be done in and about the premises as fully to all intents and purposes as the undersigned might or could do in person, hereby ratifying and confirming all acts and things which said attorneys may do or cause to be done by virtue of these present.</w:t>
      </w:r>
    </w:p>
    <w:p>
      <w:pPr>
        <w:spacing w:after="0" w:line="185" w:lineRule="exact"/>
        <w:rPr>
          <w:sz w:val="20"/>
          <w:szCs w:val="20"/>
          <w:color w:val="auto"/>
        </w:rPr>
      </w:pPr>
    </w:p>
    <w:p>
      <w:pPr>
        <w:ind w:right="3439" w:firstLine="1058"/>
        <w:spacing w:after="0" w:line="235" w:lineRule="auto"/>
        <w:rPr>
          <w:sz w:val="20"/>
          <w:szCs w:val="20"/>
          <w:color w:val="auto"/>
        </w:rPr>
      </w:pPr>
      <w:r>
        <w:rPr>
          <w:rFonts w:ascii="Courier New" w:cs="Courier New" w:eastAsia="Courier New" w:hAnsi="Courier New"/>
          <w:sz w:val="15"/>
          <w:szCs w:val="15"/>
          <w:color w:val="auto"/>
        </w:rPr>
        <w:t>IN WITNESS WHEREOF, the undersigned has hereunto set his hand and seal this 4th day of March, 2003.</w:t>
      </w:r>
    </w:p>
    <w:p>
      <w:pPr>
        <w:spacing w:after="0" w:line="340"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/s/ Dinyar S. Devitre</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Dinyar S. Devitre</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POWER OF ATTORNEY</w:t>
      </w:r>
    </w:p>
    <w:p>
      <w:pPr>
        <w:spacing w:after="0" w:line="344" w:lineRule="exact"/>
        <w:rPr>
          <w:sz w:val="20"/>
          <w:szCs w:val="20"/>
          <w:color w:val="auto"/>
        </w:rPr>
      </w:pPr>
    </w:p>
    <w:p>
      <w:pPr>
        <w:ind w:right="3179" w:firstLine="1058"/>
        <w:spacing w:after="0" w:line="238" w:lineRule="auto"/>
        <w:rPr>
          <w:sz w:val="20"/>
          <w:szCs w:val="20"/>
          <w:color w:val="auto"/>
        </w:rPr>
      </w:pPr>
      <w:r>
        <w:rPr>
          <w:rFonts w:ascii="Courier New" w:cs="Courier New" w:eastAsia="Courier New" w:hAnsi="Courier New"/>
          <w:sz w:val="15"/>
          <w:szCs w:val="15"/>
          <w:color w:val="auto"/>
        </w:rPr>
        <w:t>KNOW ALL MEN BY THESE PRESENT THAT the undersigned, a Director of Kraft Foods Inc., a Virginia corporation (the "Company"), does hereby constitute and appoint Louis C. Camilleri, Calvin J. Collier and James P. Dollive, or any one or more of them, his true and lawful attorney, for him and in his name, place and stead, to execute, by manual or facsimile signature, electronic transmission or otherwise, the Annual Report on Form 10-K of the Company for the year ended December 31, 2002 and any amendments or supplements to said Annual Report and to cause the same to be filed with the Securities and Exchange Commission, together with any exhibits, financial statements and schedules included or to be incorporated by reference therein, hereby granting to said attorneys full power and authority to do and perform all and every act and thing whatsoever requisite or desirable to be done in and about the premises as fully to all intents and purposes as the undersigned might or could do in person, hereby ratifying and confirming all acts and things which said attorneys may do or cause to be done by virtue of these present.</w:t>
      </w:r>
    </w:p>
    <w:p>
      <w:pPr>
        <w:spacing w:after="0" w:line="185" w:lineRule="exact"/>
        <w:rPr>
          <w:sz w:val="20"/>
          <w:szCs w:val="20"/>
          <w:color w:val="auto"/>
        </w:rPr>
      </w:pPr>
    </w:p>
    <w:p>
      <w:pPr>
        <w:ind w:right="3439" w:firstLine="1058"/>
        <w:spacing w:after="0" w:line="235" w:lineRule="auto"/>
        <w:rPr>
          <w:sz w:val="20"/>
          <w:szCs w:val="20"/>
          <w:color w:val="auto"/>
        </w:rPr>
      </w:pPr>
      <w:r>
        <w:rPr>
          <w:rFonts w:ascii="Courier New" w:cs="Courier New" w:eastAsia="Courier New" w:hAnsi="Courier New"/>
          <w:sz w:val="15"/>
          <w:szCs w:val="15"/>
          <w:color w:val="auto"/>
        </w:rPr>
        <w:t>IN WITNESS WHEREOF, the undersigned has hereunto set his hand and seal this 4th day of March, 2003.</w:t>
      </w:r>
    </w:p>
    <w:p>
      <w:pPr>
        <w:spacing w:after="0" w:line="340"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/s/ W. James Farrell</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W. James Farrell</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POWER OF ATTORNEY</w:t>
      </w:r>
    </w:p>
    <w:p>
      <w:pPr>
        <w:spacing w:after="0" w:line="344" w:lineRule="exact"/>
        <w:rPr>
          <w:sz w:val="20"/>
          <w:szCs w:val="20"/>
          <w:color w:val="auto"/>
        </w:rPr>
      </w:pPr>
    </w:p>
    <w:p>
      <w:pPr>
        <w:ind w:right="3179" w:firstLine="1058"/>
        <w:spacing w:after="0" w:line="258" w:lineRule="auto"/>
        <w:rPr>
          <w:sz w:val="20"/>
          <w:szCs w:val="20"/>
          <w:color w:val="auto"/>
        </w:rPr>
      </w:pPr>
      <w:r>
        <w:rPr>
          <w:rFonts w:ascii="Courier New" w:cs="Courier New" w:eastAsia="Courier New" w:hAnsi="Courier New"/>
          <w:sz w:val="14"/>
          <w:szCs w:val="14"/>
          <w:color w:val="auto"/>
        </w:rPr>
        <w:t>KNOW ALL MEN BY THESE PRESENT THAT the undersigned, a Director of Kraft Foods Inc., a Virginia corporation (the "Company"), does hereby constitute and appoint Louis C. Camilleri, Calvin J. Collier and James P. Dollive, or any one or more of them, his true and lawful attorney, for him and in his name, place and stead, to execute, by manual or facsimile signature, electronic</w:t>
      </w:r>
    </w:p>
    <w:p>
      <w:pPr>
        <w:sectPr>
          <w:pgSz w:w="11900" w:h="16838" w:orient="portrait"/>
          <w:cols w:equalWidth="0" w:num="1">
            <w:col w:w="10219"/>
          </w:cols>
          <w:pgMar w:left="240" w:top="475" w:right="1440" w:bottom="0" w:gutter="0" w:footer="0" w:header="0"/>
        </w:sectPr>
      </w:pPr>
    </w:p>
    <w:bookmarkStart w:id="64" w:name="page65"/>
    <w:bookmarkEnd w:id="64"/>
    <w:p>
      <w:pPr>
        <w:ind w:right="3179"/>
        <w:spacing w:after="0" w:line="238" w:lineRule="auto"/>
        <w:rPr>
          <w:sz w:val="20"/>
          <w:szCs w:val="20"/>
          <w:color w:val="auto"/>
        </w:rPr>
      </w:pPr>
      <w:r>
        <w:rPr>
          <w:rFonts w:ascii="Courier New" w:cs="Courier New" w:eastAsia="Courier New" w:hAnsi="Courier New"/>
          <w:sz w:val="15"/>
          <w:szCs w:val="15"/>
          <w:color w:val="auto"/>
        </w:rPr>
        <w:t>transmission or otherwise, the Annual Report on Form 10-K of the Company for the year ended December 31, 2002 and any amendments or supplements to said Annual Report and to cause the same to be filed with the Securities and Exchange Commission, together with any exhibits, financial statements and schedules included or to be incorporated by reference therein, hereby granting to said attorneys full power and authority to do and perform all and every act and thing whatsoever requisite or desirable to be done in and about the premises as fully to all intents and purposes as the undersigned might or could do in person, hereby ratifying and confirming all acts and things which said attorneys may do or cause to be done by virtue of these present.</w:t>
      </w:r>
    </w:p>
    <w:p>
      <w:pPr>
        <w:spacing w:after="0" w:line="180" w:lineRule="exact"/>
        <w:rPr>
          <w:sz w:val="20"/>
          <w:szCs w:val="20"/>
          <w:color w:val="auto"/>
        </w:rPr>
      </w:pPr>
    </w:p>
    <w:p>
      <w:pPr>
        <w:ind w:right="3439" w:firstLine="1058"/>
        <w:spacing w:after="0" w:line="235" w:lineRule="auto"/>
        <w:rPr>
          <w:sz w:val="20"/>
          <w:szCs w:val="20"/>
          <w:color w:val="auto"/>
        </w:rPr>
      </w:pPr>
      <w:r>
        <w:rPr>
          <w:rFonts w:ascii="Courier New" w:cs="Courier New" w:eastAsia="Courier New" w:hAnsi="Courier New"/>
          <w:sz w:val="15"/>
          <w:szCs w:val="15"/>
          <w:color w:val="auto"/>
        </w:rPr>
        <w:t>IN WITNESS WHEREOF, the undersigned has hereunto set his hand and seal this 4th day of March, 2003.</w:t>
      </w:r>
    </w:p>
    <w:p>
      <w:pPr>
        <w:spacing w:after="0" w:line="340"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/s/ John C. Pope</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John C. Pope</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POWER OF ATTORNEY</w:t>
      </w:r>
    </w:p>
    <w:p>
      <w:pPr>
        <w:spacing w:after="0" w:line="344" w:lineRule="exact"/>
        <w:rPr>
          <w:sz w:val="20"/>
          <w:szCs w:val="20"/>
          <w:color w:val="auto"/>
        </w:rPr>
      </w:pPr>
    </w:p>
    <w:p>
      <w:pPr>
        <w:ind w:right="3179" w:firstLine="1058"/>
        <w:spacing w:after="0" w:line="238" w:lineRule="auto"/>
        <w:rPr>
          <w:sz w:val="20"/>
          <w:szCs w:val="20"/>
          <w:color w:val="auto"/>
        </w:rPr>
      </w:pPr>
      <w:r>
        <w:rPr>
          <w:rFonts w:ascii="Courier New" w:cs="Courier New" w:eastAsia="Courier New" w:hAnsi="Courier New"/>
          <w:sz w:val="15"/>
          <w:szCs w:val="15"/>
          <w:color w:val="auto"/>
        </w:rPr>
        <w:t>KNOW ALL MEN BY THESE PRESENT THAT the undersigned, a Director of Kraft Foods Inc., a Virginia corporation (the "Company"), does hereby constitute and appoint Louis C. Camilleri, Calvin J. Collier and James P. Dollive, or any one or more of them, her true and lawful attorney, for her and in her name, place and stead, to execute, by manual or facsimile signature, electronic transmission or otherwise, the Annual Report on Form 10-K of the Company for the year ended December 31, 2002 and any amendments or supplements to said Annual Report and to cause the same to be filed with the Securities and Exchange Commission, together with any exhibits, financial statements and schedules included or to be incorporated by reference therein, hereby granting to said attorneys full power and authority to do and perform all and every act and thing whatsoever requisite or desirable to be done in and about the premises as fully to all intents and purposes as the undersigned might or could do in person, hereby ratifying and confirming all acts and things which said attorneys may do or cause to be done by virtue of these present.</w:t>
      </w:r>
    </w:p>
    <w:p>
      <w:pPr>
        <w:spacing w:after="0" w:line="185" w:lineRule="exact"/>
        <w:rPr>
          <w:sz w:val="20"/>
          <w:szCs w:val="20"/>
          <w:color w:val="auto"/>
        </w:rPr>
      </w:pPr>
    </w:p>
    <w:p>
      <w:pPr>
        <w:ind w:right="3439" w:firstLine="1058"/>
        <w:spacing w:after="0" w:line="235" w:lineRule="auto"/>
        <w:rPr>
          <w:sz w:val="20"/>
          <w:szCs w:val="20"/>
          <w:color w:val="auto"/>
        </w:rPr>
      </w:pPr>
      <w:r>
        <w:rPr>
          <w:rFonts w:ascii="Courier New" w:cs="Courier New" w:eastAsia="Courier New" w:hAnsi="Courier New"/>
          <w:sz w:val="15"/>
          <w:szCs w:val="15"/>
          <w:color w:val="auto"/>
        </w:rPr>
        <w:t>IN WITNESS WHEREOF, the undersigned has hereunto set her hand and seal this 4th day of March, 2003.</w:t>
      </w:r>
    </w:p>
    <w:p>
      <w:pPr>
        <w:spacing w:after="0" w:line="340"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/s/ Mary L. Schapiro</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Mary L. Schapiro</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POWER OF ATTORNEY</w:t>
      </w:r>
    </w:p>
    <w:p>
      <w:pPr>
        <w:spacing w:after="0" w:line="344" w:lineRule="exact"/>
        <w:rPr>
          <w:sz w:val="20"/>
          <w:szCs w:val="20"/>
          <w:color w:val="auto"/>
        </w:rPr>
      </w:pPr>
    </w:p>
    <w:p>
      <w:pPr>
        <w:ind w:right="3179" w:firstLine="1058"/>
        <w:spacing w:after="0" w:line="238" w:lineRule="auto"/>
        <w:rPr>
          <w:sz w:val="20"/>
          <w:szCs w:val="20"/>
          <w:color w:val="auto"/>
        </w:rPr>
      </w:pPr>
      <w:r>
        <w:rPr>
          <w:rFonts w:ascii="Courier New" w:cs="Courier New" w:eastAsia="Courier New" w:hAnsi="Courier New"/>
          <w:sz w:val="15"/>
          <w:szCs w:val="15"/>
          <w:color w:val="auto"/>
        </w:rPr>
        <w:t>KNOW ALL MEN BY THESE PRESENT THAT the undersigned, a Director of Kraft Foods Inc., a Virginia corporation (the "Company"), does hereby constitute and appoint Louis C. Camilleri, Calvin J. Collier and James P. Dollive, or any one or more of them, his true and lawful attorney, for him and in his name, place and stead, to execute, by manual or facsimile signature, electronic transmission or otherwise, the Annual Report on Form 10-K of the Company for the year ended December 31, 2002 and any amendments or supplements to said Annual Report and to cause the same to be filed with the Securities and Exchange Commission, together with any exhibits, financial statements and schedules included or to be incorporated by reference therein, hereby granting to said attorneys full power and authority to do and perform all and every act and thing whatsoever requisite or desirable to be done in and about the premises as fully to all intents and purposes as the undersigned might or could do in person, hereby ratifying and confirming all acts and things which said attorneys may do or cause to be done by virtue of these present.</w:t>
      </w:r>
    </w:p>
    <w:p>
      <w:pPr>
        <w:spacing w:after="0" w:line="185" w:lineRule="exact"/>
        <w:rPr>
          <w:sz w:val="20"/>
          <w:szCs w:val="20"/>
          <w:color w:val="auto"/>
        </w:rPr>
      </w:pPr>
    </w:p>
    <w:p>
      <w:pPr>
        <w:ind w:right="3439" w:firstLine="1058"/>
        <w:spacing w:after="0" w:line="235" w:lineRule="auto"/>
        <w:rPr>
          <w:sz w:val="20"/>
          <w:szCs w:val="20"/>
          <w:color w:val="auto"/>
        </w:rPr>
      </w:pPr>
      <w:r>
        <w:rPr>
          <w:rFonts w:ascii="Courier New" w:cs="Courier New" w:eastAsia="Courier New" w:hAnsi="Courier New"/>
          <w:sz w:val="15"/>
          <w:szCs w:val="15"/>
          <w:color w:val="auto"/>
        </w:rPr>
        <w:t>IN WITNESS WHEREOF, the undersigned has hereunto set his hand and seal this 4th day of March, 2003.</w:t>
      </w:r>
    </w:p>
    <w:p>
      <w:pPr>
        <w:spacing w:after="0" w:line="340"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/s/ Charles R. Wall</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Charles R. Wall</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POWER OF ATTORNEY</w:t>
      </w:r>
    </w:p>
    <w:p>
      <w:pPr>
        <w:spacing w:after="0" w:line="344" w:lineRule="exact"/>
        <w:rPr>
          <w:sz w:val="20"/>
          <w:szCs w:val="20"/>
          <w:color w:val="auto"/>
        </w:rPr>
      </w:pPr>
    </w:p>
    <w:p>
      <w:pPr>
        <w:ind w:right="3179" w:firstLine="1058"/>
        <w:spacing w:after="0" w:line="238" w:lineRule="auto"/>
        <w:rPr>
          <w:sz w:val="20"/>
          <w:szCs w:val="20"/>
          <w:color w:val="auto"/>
        </w:rPr>
      </w:pPr>
      <w:r>
        <w:rPr>
          <w:rFonts w:ascii="Courier New" w:cs="Courier New" w:eastAsia="Courier New" w:hAnsi="Courier New"/>
          <w:sz w:val="15"/>
          <w:szCs w:val="15"/>
          <w:color w:val="auto"/>
        </w:rPr>
        <w:t>KNOW ALL MEN BY THESE PRESENT THAT the undersigned, a Director of Kraft Foods Inc., a Virginia corporation (the "Company"), does hereby constitute and appoint Louis C. Camilleri, Calvin J. Collier and James P. Dollive, or any one or more of them, her true and lawful attorney, for her and in her name, place and stead, to execute, by manual or facsimile signature, electronic transmission or otherwise, the Annual Report on Form 10-K of the Company for the year ended December 31, 2002 and any amendments or supplements to said Annual Report and to cause the same to be filed with the Securities and Exchange Commission, together with any exhibits, financial statements and schedules included or to be incorporated by reference therein, hereby granting to said attorneys full power and authority to do and perform all and every act and thing whatsoever requisite or desirable to be done in and about the premises as fully to all intents and purposes as the undersigned might or could do in person, hereby ratifying and confirming all acts and things which said attorneys may do or cause to be done by virtue of these present.</w:t>
      </w:r>
    </w:p>
    <w:p>
      <w:pPr>
        <w:spacing w:after="0" w:line="185" w:lineRule="exact"/>
        <w:rPr>
          <w:sz w:val="20"/>
          <w:szCs w:val="20"/>
          <w:color w:val="auto"/>
        </w:rPr>
      </w:pPr>
    </w:p>
    <w:p>
      <w:pPr>
        <w:ind w:right="3439" w:firstLine="1058"/>
        <w:spacing w:after="0" w:line="235" w:lineRule="auto"/>
        <w:rPr>
          <w:sz w:val="20"/>
          <w:szCs w:val="20"/>
          <w:color w:val="auto"/>
        </w:rPr>
      </w:pPr>
      <w:r>
        <w:rPr>
          <w:rFonts w:ascii="Courier New" w:cs="Courier New" w:eastAsia="Courier New" w:hAnsi="Courier New"/>
          <w:sz w:val="15"/>
          <w:szCs w:val="15"/>
          <w:color w:val="auto"/>
        </w:rPr>
        <w:t>IN WITNESS WHEREOF, the undersigned has hereunto set her hand and seal this 4th day of March, 2003.</w:t>
      </w:r>
    </w:p>
    <w:p>
      <w:pPr>
        <w:sectPr>
          <w:pgSz w:w="11900" w:h="16838" w:orient="portrait"/>
          <w:cols w:equalWidth="0" w:num="1">
            <w:col w:w="10219"/>
          </w:cols>
          <w:pgMar w:left="240" w:top="141" w:right="1440" w:bottom="0" w:gutter="0" w:footer="0" w:header="0"/>
        </w:sectPr>
      </w:pPr>
    </w:p>
    <w:bookmarkStart w:id="65" w:name="page66"/>
    <w:bookmarkEnd w:id="65"/>
    <w:p>
      <w:pPr>
        <w:ind w:left="3640"/>
        <w:spacing w:after="0"/>
        <w:rPr>
          <w:sz w:val="20"/>
          <w:szCs w:val="20"/>
          <w:color w:val="auto"/>
        </w:rPr>
      </w:pPr>
      <w:r>
        <w:rPr>
          <w:rFonts w:ascii="Courier New" w:cs="Courier New" w:eastAsia="Courier New" w:hAnsi="Courier New"/>
          <w:sz w:val="15"/>
          <w:szCs w:val="15"/>
          <w:color w:val="auto"/>
        </w:rPr>
        <w:t>/s/ Deborah C. Wright</w:t>
      </w:r>
    </w:p>
    <w:p>
      <w:pPr>
        <w:spacing w:after="0" w:line="5"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Deborah C. Wright</w:t>
      </w:r>
    </w:p>
    <w:p>
      <w:pPr>
        <w:sectPr>
          <w:pgSz w:w="11900" w:h="16838" w:orient="portrait"/>
          <w:cols w:equalWidth="0" w:num="1">
            <w:col w:w="9019"/>
          </w:cols>
          <w:pgMar w:left="1440" w:top="475" w:right="1440" w:bottom="1440" w:gutter="0" w:footer="0" w:header="0"/>
        </w:sectPr>
      </w:pPr>
    </w:p>
    <w:bookmarkStart w:id="66" w:name="page67"/>
    <w:bookmarkEnd w:id="66"/>
    <w:p>
      <w:pPr>
        <w:jc w:val="right"/>
        <w:ind w:right="3179"/>
        <w:spacing w:after="0"/>
        <w:rPr>
          <w:sz w:val="20"/>
          <w:szCs w:val="20"/>
          <w:color w:val="auto"/>
        </w:rPr>
      </w:pPr>
      <w:r>
        <w:rPr>
          <w:rFonts w:ascii="Courier New" w:cs="Courier New" w:eastAsia="Courier New" w:hAnsi="Courier New"/>
          <w:sz w:val="15"/>
          <w:szCs w:val="15"/>
          <w:color w:val="auto"/>
        </w:rPr>
        <w:t>EXHIBIT 99</w:t>
      </w:r>
    </w:p>
    <w:p>
      <w:pPr>
        <w:jc w:val="right"/>
        <w:ind w:right="3179"/>
        <w:spacing w:after="0"/>
        <w:rPr>
          <w:sz w:val="20"/>
          <w:szCs w:val="20"/>
          <w:color w:val="auto"/>
        </w:rPr>
      </w:pPr>
      <w:r>
        <w:rPr>
          <w:rFonts w:ascii="Courier New" w:cs="Courier New" w:eastAsia="Courier New" w:hAnsi="Courier New"/>
          <w:sz w:val="15"/>
          <w:szCs w:val="15"/>
          <w:color w:val="auto"/>
        </w:rPr>
        <w:t>ADDITIONAL EXHIBIT</w:t>
      </w:r>
    </w:p>
    <w:p>
      <w:pPr>
        <w:spacing w:after="0" w:line="169" w:lineRule="exact"/>
        <w:rPr>
          <w:sz w:val="20"/>
          <w:szCs w:val="20"/>
          <w:color w:val="auto"/>
        </w:rPr>
      </w:pPr>
    </w:p>
    <w:p>
      <w:pPr>
        <w:jc w:val="center"/>
        <w:ind w:right="3430"/>
        <w:spacing w:after="0"/>
        <w:rPr>
          <w:sz w:val="20"/>
          <w:szCs w:val="20"/>
          <w:color w:val="auto"/>
        </w:rPr>
      </w:pPr>
      <w:r>
        <w:rPr>
          <w:rFonts w:ascii="Courier New" w:cs="Courier New" w:eastAsia="Courier New" w:hAnsi="Courier New"/>
          <w:sz w:val="15"/>
          <w:szCs w:val="15"/>
          <w:color w:val="auto"/>
        </w:rPr>
        <w:t>CERTIFICATION PURSUANT TO</w:t>
      </w:r>
    </w:p>
    <w:p>
      <w:pPr>
        <w:jc w:val="center"/>
        <w:ind w:right="3430"/>
        <w:spacing w:after="0"/>
        <w:rPr>
          <w:sz w:val="20"/>
          <w:szCs w:val="20"/>
          <w:color w:val="auto"/>
        </w:rPr>
      </w:pPr>
      <w:r>
        <w:rPr>
          <w:rFonts w:ascii="Courier New" w:cs="Courier New" w:eastAsia="Courier New" w:hAnsi="Courier New"/>
          <w:sz w:val="15"/>
          <w:szCs w:val="15"/>
          <w:color w:val="auto"/>
        </w:rPr>
        <w:t>18 U.S.C. SECTION 1350,</w:t>
      </w:r>
    </w:p>
    <w:p>
      <w:pPr>
        <w:jc w:val="center"/>
        <w:ind w:right="3350"/>
        <w:spacing w:after="0"/>
        <w:rPr>
          <w:sz w:val="20"/>
          <w:szCs w:val="20"/>
          <w:color w:val="auto"/>
        </w:rPr>
      </w:pPr>
      <w:r>
        <w:rPr>
          <w:rFonts w:ascii="Courier New" w:cs="Courier New" w:eastAsia="Courier New" w:hAnsi="Courier New"/>
          <w:sz w:val="15"/>
          <w:szCs w:val="15"/>
          <w:color w:val="auto"/>
        </w:rPr>
        <w:t>AS ADOPTED PURSUANT TO</w:t>
      </w:r>
    </w:p>
    <w:p>
      <w:pPr>
        <w:jc w:val="center"/>
        <w:ind w:right="3430"/>
        <w:spacing w:after="0" w:line="238" w:lineRule="auto"/>
        <w:rPr>
          <w:sz w:val="20"/>
          <w:szCs w:val="20"/>
          <w:color w:val="auto"/>
        </w:rPr>
      </w:pPr>
      <w:r>
        <w:rPr>
          <w:rFonts w:ascii="Courier New" w:cs="Courier New" w:eastAsia="Courier New" w:hAnsi="Courier New"/>
          <w:sz w:val="15"/>
          <w:szCs w:val="15"/>
          <w:color w:val="auto"/>
        </w:rPr>
        <w:t>SECTION 906 OF THE SARBANES-OXLEY ACT OF 2002</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In connection with the Annual Report of Kraft Foods Inc. (the "Company") on Form 10-K for the year ended December 31, 2002 as filed with the Securities and Exchange Commission on the date hereof (the "Report"), I, Roger K. Deromedi, Co-Chief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10" w:right="3439" w:firstLine="431"/>
        <w:spacing w:after="0" w:line="235" w:lineRule="auto"/>
        <w:tabs>
          <w:tab w:leader="none" w:pos="891"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or 15(d) of the Securities Exchange Act of 1934; and</w:t>
      </w:r>
    </w:p>
    <w:p>
      <w:pPr>
        <w:spacing w:after="0" w:line="175" w:lineRule="exact"/>
        <w:rPr>
          <w:rFonts w:ascii="Courier New" w:cs="Courier New" w:eastAsia="Courier New" w:hAnsi="Courier New"/>
          <w:sz w:val="15"/>
          <w:szCs w:val="15"/>
          <w:color w:val="auto"/>
        </w:rPr>
      </w:pPr>
    </w:p>
    <w:p>
      <w:pPr>
        <w:ind w:left="10" w:right="3619" w:firstLine="431"/>
        <w:spacing w:after="0" w:line="237" w:lineRule="auto"/>
        <w:tabs>
          <w:tab w:leader="none" w:pos="891"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Roger K. Deromedi</w:t>
      </w:r>
    </w:p>
    <w:p>
      <w:pPr>
        <w:ind w:left="170" w:hanging="170"/>
        <w:spacing w:after="0"/>
        <w:tabs>
          <w:tab w:leader="none" w:pos="17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 w:right="79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Roger K. Deromedi Co-Chief Executive Officer March 25, 2003</w:t>
      </w:r>
    </w:p>
    <w:p>
      <w:pPr>
        <w:spacing w:after="0" w:line="175" w:lineRule="exact"/>
        <w:rPr>
          <w:sz w:val="20"/>
          <w:szCs w:val="20"/>
          <w:color w:val="auto"/>
        </w:rPr>
      </w:pPr>
    </w:p>
    <w:p>
      <w:pPr>
        <w:ind w:left="10" w:right="3359"/>
        <w:spacing w:after="0" w:line="260" w:lineRule="auto"/>
        <w:rPr>
          <w:sz w:val="20"/>
          <w:szCs w:val="20"/>
          <w:color w:val="auto"/>
        </w:rPr>
      </w:pPr>
      <w:r>
        <w:rPr>
          <w:rFonts w:ascii="Courier New" w:cs="Courier New" w:eastAsia="Courier New" w:hAnsi="Courier New"/>
          <w:sz w:val="14"/>
          <w:szCs w:val="14"/>
          <w:color w:val="auto"/>
        </w:rPr>
        <w:t>A SIGNED ORIGINAL OF THIS WRITTEN STATEMENT REQUIRED BY SECTION 906 HAS BEEN PROVIDED TO KRAFT FOODS INC. AND WILL BE RETAINED BY KRAFT FOODS INC. AND FURNISHED TO THE SECURITIES AND EXCHANGE COMMISSION OR ITS STAFF UPON REQUEST.</w:t>
      </w:r>
    </w:p>
    <w:p>
      <w:pPr>
        <w:spacing w:after="0" w:line="157"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18 U.S.C. SECTION 1350,</w:t>
      </w:r>
    </w:p>
    <w:p>
      <w:pPr>
        <w:ind w:left="2470"/>
        <w:spacing w:after="0"/>
        <w:rPr>
          <w:sz w:val="20"/>
          <w:szCs w:val="20"/>
          <w:color w:val="auto"/>
        </w:rPr>
      </w:pPr>
      <w:r>
        <w:rPr>
          <w:rFonts w:ascii="Courier New" w:cs="Courier New" w:eastAsia="Courier New" w:hAnsi="Courier New"/>
          <w:sz w:val="15"/>
          <w:szCs w:val="15"/>
          <w:color w:val="auto"/>
        </w:rPr>
        <w:t>AS ADOPTED PURSUANT TO</w:t>
      </w:r>
    </w:p>
    <w:p>
      <w:pPr>
        <w:ind w:left="1410"/>
        <w:spacing w:after="0"/>
        <w:rPr>
          <w:sz w:val="20"/>
          <w:szCs w:val="20"/>
          <w:color w:val="auto"/>
        </w:rPr>
      </w:pPr>
      <w:r>
        <w:rPr>
          <w:rFonts w:ascii="Courier New" w:cs="Courier New" w:eastAsia="Courier New" w:hAnsi="Courier New"/>
          <w:sz w:val="15"/>
          <w:szCs w:val="15"/>
          <w:color w:val="auto"/>
        </w:rPr>
        <w:t>SECTION 906 OF THE SARBANES-OXLEY ACT OF 2002</w:t>
      </w:r>
    </w:p>
    <w:p>
      <w:pPr>
        <w:spacing w:after="0" w:line="174"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In connection with the Annual Report of Kraft Foods Inc. (the "Company") on Form 10-K for the year ended December 31, 2002 as filed with the Securities and Exchange Commission on the date hereof (the "Report"), I, Betsy D. Holden, Co-Chief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10" w:right="3439" w:firstLine="431"/>
        <w:spacing w:after="0" w:line="235" w:lineRule="auto"/>
        <w:tabs>
          <w:tab w:leader="none" w:pos="891"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or 15(d) of the Securities Exchange Act of 1934; and</w:t>
      </w:r>
    </w:p>
    <w:p>
      <w:pPr>
        <w:spacing w:after="0" w:line="175" w:lineRule="exact"/>
        <w:rPr>
          <w:rFonts w:ascii="Courier New" w:cs="Courier New" w:eastAsia="Courier New" w:hAnsi="Courier New"/>
          <w:sz w:val="15"/>
          <w:szCs w:val="15"/>
          <w:color w:val="auto"/>
        </w:rPr>
      </w:pPr>
    </w:p>
    <w:p>
      <w:pPr>
        <w:ind w:left="10" w:right="3619" w:firstLine="431"/>
        <w:spacing w:after="0" w:line="237" w:lineRule="auto"/>
        <w:tabs>
          <w:tab w:leader="none" w:pos="891"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Betsy D. Holden</w:t>
      </w:r>
    </w:p>
    <w:p>
      <w:pPr>
        <w:ind w:left="170" w:hanging="170"/>
        <w:spacing w:after="0"/>
        <w:tabs>
          <w:tab w:leader="none" w:pos="17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 w:right="79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Betsy D. Holden Co-Chief Executive Officer March 25, 2003</w:t>
      </w:r>
    </w:p>
    <w:p>
      <w:pPr>
        <w:spacing w:after="0" w:line="175" w:lineRule="exact"/>
        <w:rPr>
          <w:sz w:val="20"/>
          <w:szCs w:val="20"/>
          <w:color w:val="auto"/>
        </w:rPr>
      </w:pPr>
    </w:p>
    <w:p>
      <w:pPr>
        <w:ind w:left="10" w:right="3359"/>
        <w:spacing w:after="0" w:line="260" w:lineRule="auto"/>
        <w:rPr>
          <w:sz w:val="20"/>
          <w:szCs w:val="20"/>
          <w:color w:val="auto"/>
        </w:rPr>
      </w:pPr>
      <w:r>
        <w:rPr>
          <w:rFonts w:ascii="Courier New" w:cs="Courier New" w:eastAsia="Courier New" w:hAnsi="Courier New"/>
          <w:sz w:val="14"/>
          <w:szCs w:val="14"/>
          <w:color w:val="auto"/>
        </w:rPr>
        <w:t>A SIGNED ORIGINAL OF THIS WRITTEN STATEMENT REQUIRED BY SECTION 906 HAS BEEN PROVIDED TO KRAFT FOODS INC. AND WILL BE RETAINED BY KRAFT FOODS INC. AND FURNISHED TO THE SECURITIES AND EXCHANGE COMMISSION OR ITS STAFF UPON REQUEST.</w:t>
      </w:r>
    </w:p>
    <w:p>
      <w:pPr>
        <w:spacing w:after="0" w:line="157" w:lineRule="exact"/>
        <w:rPr>
          <w:sz w:val="20"/>
          <w:szCs w:val="20"/>
          <w:color w:val="auto"/>
        </w:rPr>
      </w:pPr>
    </w:p>
    <w:p>
      <w:pPr>
        <w:jc w:val="center"/>
        <w:ind w:right="3430"/>
        <w:spacing w:after="0"/>
        <w:rPr>
          <w:sz w:val="20"/>
          <w:szCs w:val="20"/>
          <w:color w:val="auto"/>
        </w:rPr>
      </w:pPr>
      <w:r>
        <w:rPr>
          <w:rFonts w:ascii="Courier New" w:cs="Courier New" w:eastAsia="Courier New" w:hAnsi="Courier New"/>
          <w:sz w:val="15"/>
          <w:szCs w:val="15"/>
          <w:color w:val="auto"/>
        </w:rPr>
        <w:t>CERTIFICATION PURSUANT TO</w:t>
      </w:r>
    </w:p>
    <w:p>
      <w:pPr>
        <w:jc w:val="center"/>
        <w:ind w:right="3430"/>
        <w:spacing w:after="0"/>
        <w:rPr>
          <w:sz w:val="20"/>
          <w:szCs w:val="20"/>
          <w:color w:val="auto"/>
        </w:rPr>
      </w:pPr>
      <w:r>
        <w:rPr>
          <w:rFonts w:ascii="Courier New" w:cs="Courier New" w:eastAsia="Courier New" w:hAnsi="Courier New"/>
          <w:sz w:val="15"/>
          <w:szCs w:val="15"/>
          <w:color w:val="auto"/>
        </w:rPr>
        <w:t>18 U.S.C. SECTION 1350,</w:t>
      </w:r>
    </w:p>
    <w:p>
      <w:pPr>
        <w:jc w:val="center"/>
        <w:ind w:right="3350"/>
        <w:spacing w:after="0"/>
        <w:rPr>
          <w:sz w:val="20"/>
          <w:szCs w:val="20"/>
          <w:color w:val="auto"/>
        </w:rPr>
      </w:pPr>
      <w:r>
        <w:rPr>
          <w:rFonts w:ascii="Courier New" w:cs="Courier New" w:eastAsia="Courier New" w:hAnsi="Courier New"/>
          <w:sz w:val="15"/>
          <w:szCs w:val="15"/>
          <w:color w:val="auto"/>
        </w:rPr>
        <w:t>AS ADOPTED PURSUANT TO</w:t>
      </w:r>
    </w:p>
    <w:p>
      <w:pPr>
        <w:jc w:val="center"/>
        <w:ind w:right="3430"/>
        <w:spacing w:after="0" w:line="238" w:lineRule="auto"/>
        <w:rPr>
          <w:sz w:val="20"/>
          <w:szCs w:val="20"/>
          <w:color w:val="auto"/>
        </w:rPr>
      </w:pPr>
      <w:r>
        <w:rPr>
          <w:rFonts w:ascii="Courier New" w:cs="Courier New" w:eastAsia="Courier New" w:hAnsi="Courier New"/>
          <w:sz w:val="15"/>
          <w:szCs w:val="15"/>
          <w:color w:val="auto"/>
        </w:rPr>
        <w:t>SECTION 906 OF THE SARBANES-OXLEY ACT OF 2002</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In connection with the Annual Report of Kraft Foods Inc. (the "Company") on Form 10-K for the year ended December 31, 2002 as filed with the Securities and Exchange Commission on the date hereof (the "Report"), I, James P. Dollive, Senior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10" w:right="3439" w:firstLine="431"/>
        <w:spacing w:after="0" w:line="235" w:lineRule="auto"/>
        <w:tabs>
          <w:tab w:leader="none" w:pos="89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or 15(d) of the Securities Exchange Act of 1934; and</w:t>
      </w:r>
    </w:p>
    <w:p>
      <w:pPr>
        <w:spacing w:after="0" w:line="175" w:lineRule="exact"/>
        <w:rPr>
          <w:rFonts w:ascii="Courier New" w:cs="Courier New" w:eastAsia="Courier New" w:hAnsi="Courier New"/>
          <w:sz w:val="15"/>
          <w:szCs w:val="15"/>
          <w:color w:val="auto"/>
        </w:rPr>
      </w:pPr>
    </w:p>
    <w:p>
      <w:pPr>
        <w:ind w:left="10" w:right="3619" w:firstLine="431"/>
        <w:spacing w:after="0" w:line="237" w:lineRule="auto"/>
        <w:tabs>
          <w:tab w:leader="none" w:pos="89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James P. Dollive</w:t>
      </w:r>
    </w:p>
    <w:p>
      <w:pPr>
        <w:ind w:left="170" w:hanging="170"/>
        <w:spacing w:after="0"/>
        <w:tabs>
          <w:tab w:leader="none" w:pos="17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P. Dollive</w:t>
      </w:r>
    </w:p>
    <w:p>
      <w:pPr>
        <w:spacing w:after="0" w:line="4" w:lineRule="exact"/>
        <w:rPr>
          <w:rFonts w:ascii="Courier New" w:cs="Courier New" w:eastAsia="Courier New" w:hAnsi="Courier New"/>
          <w:sz w:val="15"/>
          <w:szCs w:val="15"/>
          <w:color w:val="auto"/>
        </w:rPr>
      </w:pPr>
    </w:p>
    <w:p>
      <w:pPr>
        <w:ind w:left="10" w:right="801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Senior Vice President and Chief Financial Officer March 25, 2003</w:t>
      </w:r>
    </w:p>
    <w:p>
      <w:pPr>
        <w:spacing w:after="0" w:line="175" w:lineRule="exact"/>
        <w:rPr>
          <w:sz w:val="20"/>
          <w:szCs w:val="20"/>
          <w:color w:val="auto"/>
        </w:rPr>
      </w:pPr>
    </w:p>
    <w:p>
      <w:pPr>
        <w:ind w:left="10" w:right="3359"/>
        <w:spacing w:after="0" w:line="260" w:lineRule="auto"/>
        <w:rPr>
          <w:sz w:val="20"/>
          <w:szCs w:val="20"/>
          <w:color w:val="auto"/>
        </w:rPr>
      </w:pPr>
      <w:r>
        <w:rPr>
          <w:rFonts w:ascii="Courier New" w:cs="Courier New" w:eastAsia="Courier New" w:hAnsi="Courier New"/>
          <w:sz w:val="14"/>
          <w:szCs w:val="14"/>
          <w:color w:val="auto"/>
        </w:rPr>
        <w:t>A SIGNED ORIGINAL OF THIS WRITTEN STATEMENT REQUIRED BY SECTION 906 HAS BEEN PROVIDED TO KRAFT FOODS INC. AND WILL BE RETAINED BY KRAFT FOODS INC. AND FURNISHED TO THE SECURITIES AND EXCHANGE COMMISSION OR ITS STAFF UPON REQUEST.</w:t>
      </w:r>
    </w:p>
    <w:sectPr>
      <w:pgSz w:w="11900" w:h="16838" w:orient="portrait"/>
      <w:cols w:equalWidth="0" w:num="1">
        <w:col w:w="10229"/>
      </w:cols>
      <w:pgMar w:left="230" w:top="305" w:right="1440" w:bottom="87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1)"/>
      <w:numFmt w:val="lowerLetter"/>
      <w:start w:val="1"/>
    </w:lvl>
  </w:abstractNum>
  <w:abstractNum w:abstractNumId="1">
    <w:nsid w:val="440BADFC"/>
    <w:multiLevelType w:val="hybridMultilevel"/>
    <w:lvl w:ilvl="0">
      <w:lvlJc w:val="left"/>
      <w:lvlText w:val="(%1)"/>
      <w:numFmt w:val="lowerLetter"/>
      <w:start w:val="2"/>
    </w:lvl>
  </w:abstractNum>
  <w:abstractNum w:abstractNumId="2">
    <w:nsid w:val="5072367"/>
    <w:multiLevelType w:val="hybridMultilevel"/>
    <w:lvl w:ilvl="0">
      <w:lvlJc w:val="left"/>
      <w:lvlText w:val="(%1)"/>
      <w:numFmt w:val="lowerLetter"/>
      <w:start w:val="3"/>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1)"/>
      <w:numFmt w:val="decimal"/>
      <w:start w:val="1"/>
    </w:lvl>
  </w:abstractNum>
  <w:abstractNum w:abstractNumId="7">
    <w:nsid w:val="2463B9EA"/>
    <w:multiLevelType w:val="hybridMultilevel"/>
    <w:lvl w:ilvl="0">
      <w:lvlJc w:val="left"/>
      <w:lvlText w:val="(%1)"/>
      <w:numFmt w:val="lowerLetter"/>
      <w:start w:val="4"/>
    </w:lvl>
  </w:abstractNum>
  <w:abstractNum w:abstractNumId="8">
    <w:nsid w:val="5E884ADC"/>
    <w:multiLevelType w:val="hybridMultilevel"/>
    <w:lvl w:ilvl="0">
      <w:lvlJc w:val="left"/>
      <w:lvlText w:val="(%1)"/>
      <w:numFmt w:val="lowerLetter"/>
      <w:start w:val="2"/>
    </w:lvl>
  </w:abstractNum>
  <w:abstractNum w:abstractNumId="9">
    <w:nsid w:val="51EAD36B"/>
    <w:multiLevelType w:val="hybridMultilevel"/>
    <w:lvl w:ilvl="0">
      <w:lvlJc w:val="left"/>
      <w:lvlText w:val="%1"/>
      <w:numFmt w:val="decimal"/>
      <w:start w:val="12"/>
    </w:lvl>
  </w:abstractNum>
  <w:abstractNum w:abstractNumId="10">
    <w:nsid w:val="2D517796"/>
    <w:multiLevelType w:val="hybridMultilevel"/>
    <w:lvl w:ilvl="0">
      <w:lvlJc w:val="left"/>
      <w:lvlText w:val="%1"/>
      <w:numFmt w:val="decimal"/>
      <w:start w:val="23"/>
    </w:lvl>
  </w:abstractNum>
  <w:abstractNum w:abstractNumId="11">
    <w:nsid w:val="580BD78F"/>
    <w:multiLevelType w:val="hybridMultilevel"/>
    <w:lvl w:ilvl="0">
      <w:lvlJc w:val="left"/>
      <w:lvlText w:val="%1"/>
      <w:numFmt w:val="decimal"/>
      <w:start w:val="1"/>
    </w:lvl>
    <w:lvl w:ilvl="1">
      <w:lvlJc w:val="left"/>
      <w:lvlText w:val="%2"/>
      <w:numFmt w:val="decimal"/>
      <w:start w:val="99"/>
    </w:lvl>
  </w:abstractNum>
  <w:abstractNum w:abstractNumId="12">
    <w:nsid w:val="153EA438"/>
    <w:multiLevelType w:val="hybridMultilevel"/>
    <w:lvl w:ilvl="0">
      <w:lvlJc w:val="left"/>
      <w:lvlText w:val="(%1)"/>
      <w:numFmt w:val="decimal"/>
      <w:start w:val="1"/>
    </w:lvl>
    <w:lvl w:ilvl="1">
      <w:lvlJc w:val="left"/>
      <w:lvlText w:val="%2"/>
      <w:numFmt w:val="decimal"/>
      <w:start w:val="1"/>
    </w:lvl>
  </w:abstractNum>
  <w:abstractNum w:abstractNumId="13">
    <w:nsid w:val="3855585C"/>
    <w:multiLevelType w:val="hybridMultilevel"/>
    <w:lvl w:ilvl="0">
      <w:lvlJc w:val="left"/>
      <w:lvlText w:val="%1."/>
      <w:numFmt w:val="decimal"/>
      <w:start w:val="1"/>
    </w:lvl>
  </w:abstractNum>
  <w:abstractNum w:abstractNumId="14">
    <w:nsid w:val="70A64E2A"/>
    <w:multiLevelType w:val="hybridMultilevel"/>
    <w:lvl w:ilvl="0">
      <w:lvlJc w:val="left"/>
      <w:lvlText w:val="%1)"/>
      <w:numFmt w:val="lowerLetter"/>
      <w:start w:val="1"/>
    </w:lvl>
  </w:abstractNum>
  <w:abstractNum w:abstractNumId="15">
    <w:nsid w:val="6A2342EC"/>
    <w:multiLevelType w:val="hybridMultilevel"/>
    <w:lvl w:ilvl="0">
      <w:lvlJc w:val="left"/>
      <w:lvlText w:val="%1."/>
      <w:numFmt w:val="decimal"/>
      <w:start w:val="5"/>
    </w:lvl>
  </w:abstractNum>
  <w:abstractNum w:abstractNumId="16">
    <w:nsid w:val="2A487CB0"/>
    <w:multiLevelType w:val="hybridMultilevel"/>
    <w:lvl w:ilvl="0">
      <w:lvlJc w:val="left"/>
      <w:lvlText w:val="%1)"/>
      <w:numFmt w:val="lowerLetter"/>
      <w:start w:val="1"/>
    </w:lvl>
  </w:abstractNum>
  <w:abstractNum w:abstractNumId="17">
    <w:nsid w:val="1D4ED43B"/>
    <w:multiLevelType w:val="hybridMultilevel"/>
    <w:lvl w:ilvl="0">
      <w:lvlJc w:val="left"/>
      <w:lvlText w:val="%1."/>
      <w:numFmt w:val="decimal"/>
      <w:start w:val="6"/>
    </w:lvl>
  </w:abstractNum>
  <w:abstractNum w:abstractNumId="18">
    <w:nsid w:val="725A06FB"/>
    <w:multiLevelType w:val="hybridMultilevel"/>
    <w:lvl w:ilvl="0">
      <w:lvlJc w:val="left"/>
      <w:lvlText w:val="%1."/>
      <w:numFmt w:val="decimal"/>
      <w:start w:val="1"/>
    </w:lvl>
  </w:abstractNum>
  <w:abstractNum w:abstractNumId="19">
    <w:nsid w:val="2CD89A32"/>
    <w:multiLevelType w:val="hybridMultilevel"/>
    <w:lvl w:ilvl="0">
      <w:lvlJc w:val="left"/>
      <w:lvlText w:val="%1)"/>
      <w:numFmt w:val="lowerLetter"/>
      <w:start w:val="1"/>
    </w:lvl>
  </w:abstractNum>
  <w:abstractNum w:abstractNumId="20">
    <w:nsid w:val="57E4CCAF"/>
    <w:multiLevelType w:val="hybridMultilevel"/>
    <w:lvl w:ilvl="0">
      <w:lvlJc w:val="left"/>
      <w:lvlText w:val="%1."/>
      <w:numFmt w:val="decimal"/>
      <w:start w:val="5"/>
    </w:lvl>
  </w:abstractNum>
  <w:abstractNum w:abstractNumId="21">
    <w:nsid w:val="7A6D8D3C"/>
    <w:multiLevelType w:val="hybridMultilevel"/>
    <w:lvl w:ilvl="0">
      <w:lvlJc w:val="left"/>
      <w:lvlText w:val="%1)"/>
      <w:numFmt w:val="lowerLetter"/>
      <w:start w:val="1"/>
    </w:lvl>
  </w:abstractNum>
  <w:abstractNum w:abstractNumId="22">
    <w:nsid w:val="4B588F54"/>
    <w:multiLevelType w:val="hybridMultilevel"/>
    <w:lvl w:ilvl="0">
      <w:lvlJc w:val="left"/>
      <w:lvlText w:val="%1."/>
      <w:numFmt w:val="decimal"/>
      <w:start w:val="6"/>
    </w:lvl>
  </w:abstractNum>
  <w:abstractNum w:abstractNumId="23">
    <w:nsid w:val="542289EC"/>
    <w:multiLevelType w:val="hybridMultilevel"/>
    <w:lvl w:ilvl="0">
      <w:lvlJc w:val="left"/>
      <w:lvlText w:val="%1."/>
      <w:numFmt w:val="decimal"/>
      <w:start w:val="1"/>
    </w:lvl>
  </w:abstractNum>
  <w:abstractNum w:abstractNumId="24">
    <w:nsid w:val="6DE91B18"/>
    <w:multiLevelType w:val="hybridMultilevel"/>
    <w:lvl w:ilvl="0">
      <w:lvlJc w:val="left"/>
      <w:lvlText w:val="%1)"/>
      <w:numFmt w:val="lowerLetter"/>
      <w:start w:val="1"/>
    </w:lvl>
  </w:abstractNum>
  <w:abstractNum w:abstractNumId="25">
    <w:nsid w:val="38437FDB"/>
    <w:multiLevelType w:val="hybridMultilevel"/>
    <w:lvl w:ilvl="0">
      <w:lvlJc w:val="left"/>
      <w:lvlText w:val="%1."/>
      <w:numFmt w:val="decimal"/>
      <w:start w:val="5"/>
    </w:lvl>
  </w:abstractNum>
  <w:abstractNum w:abstractNumId="26">
    <w:nsid w:val="7644A45C"/>
    <w:multiLevelType w:val="hybridMultilevel"/>
    <w:lvl w:ilvl="0">
      <w:lvlJc w:val="left"/>
      <w:lvlText w:val="%1)"/>
      <w:numFmt w:val="lowerLetter"/>
      <w:start w:val="1"/>
    </w:lvl>
  </w:abstractNum>
  <w:abstractNum w:abstractNumId="27">
    <w:nsid w:val="32FFF902"/>
    <w:multiLevelType w:val="hybridMultilevel"/>
    <w:lvl w:ilvl="0">
      <w:lvlJc w:val="left"/>
      <w:lvlText w:val="%1."/>
      <w:numFmt w:val="decimal"/>
      <w:start w:val="6"/>
    </w:lvl>
  </w:abstractNum>
  <w:abstractNum w:abstractNumId="28">
    <w:nsid w:val="684A481A"/>
    <w:multiLevelType w:val="hybridMultilevel"/>
    <w:lvl w:ilvl="0">
      <w:lvlJc w:val="left"/>
      <w:lvlText w:val="(%1)"/>
      <w:numFmt w:val="lowerLetter"/>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lvl w:ilvl="1">
      <w:lvlJc w:val="left"/>
      <w:lvlText w:val="---"/>
      <w:numFmt w:val="bullet"/>
      <w:start w:val="1"/>
    </w:lvl>
  </w:abstractNum>
  <w:abstractNum w:abstractNumId="31">
    <w:nsid w:val="3DC240FB"/>
    <w:multiLevelType w:val="hybridMultilevel"/>
    <w:lvl w:ilvl="0">
      <w:lvlJc w:val="left"/>
      <w:lvlText w:val="-"/>
      <w:numFmt w:val="bullet"/>
      <w:start w:val="1"/>
    </w:lvl>
    <w:lvl w:ilvl="1">
      <w:lvlJc w:val="left"/>
      <w:lvlText w:val="---"/>
      <w:numFmt w:val="bullet"/>
      <w:start w:val="1"/>
    </w:lvl>
  </w:abstractNum>
  <w:abstractNum w:abstractNumId="32">
    <w:nsid w:val="1BA026FA"/>
    <w:multiLevelType w:val="hybridMultilevel"/>
    <w:lvl w:ilvl="0">
      <w:lvlJc w:val="left"/>
      <w:lvlText w:val="(%1)"/>
      <w:numFmt w:val="decimal"/>
      <w:start w:val="1"/>
    </w:lvl>
  </w:abstractNum>
  <w:abstractNum w:abstractNumId="33">
    <w:nsid w:val="79A1DEAA"/>
    <w:multiLevelType w:val="hybridMultilevel"/>
    <w:lvl w:ilvl="0">
      <w:lvlJc w:val="left"/>
      <w:lvlText w:val="(%1)"/>
      <w:numFmt w:val="decimal"/>
      <w:start w:val="12"/>
    </w:lvl>
  </w:abstractNum>
  <w:abstractNum w:abstractNumId="34">
    <w:nsid w:val="75C6C33A"/>
    <w:multiLevelType w:val="hybridMultilevel"/>
    <w:lvl w:ilvl="0">
      <w:lvlJc w:val="left"/>
      <w:lvlText w:val="(%1)"/>
      <w:numFmt w:val="decimal"/>
      <w:start w:val="3"/>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lvl w:ilvl="1">
      <w:lvlJc w:val="left"/>
      <w:lvlText w:val="-----"/>
      <w:numFmt w:val="bullet"/>
      <w:start w:val="1"/>
    </w:lvl>
  </w:abstractNum>
  <w:abstractNum w:abstractNumId="37">
    <w:nsid w:val="520EEDD1"/>
    <w:multiLevelType w:val="hybridMultilevel"/>
    <w:lvl w:ilvl="0">
      <w:lvlJc w:val="left"/>
      <w:lvlText w:val="-"/>
      <w:numFmt w:val="bullet"/>
      <w:start w:val="1"/>
    </w:lvl>
    <w:lvl w:ilvl="1">
      <w:lvlJc w:val="left"/>
      <w:lvlText w:val="-"/>
      <w:numFmt w:val="bullet"/>
      <w:start w:val="1"/>
    </w:lvl>
  </w:abstractNum>
  <w:abstractNum w:abstractNumId="38">
    <w:nsid w:val="374A3FE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lvl w:ilvl="1">
      <w:lvlJc w:val="left"/>
      <w:lvlText w:val="-"/>
      <w:numFmt w:val="bullet"/>
      <w:start w:val="1"/>
    </w:lvl>
  </w:abstractNum>
  <w:abstractNum w:abstractNumId="41">
    <w:nsid w:val="649BB77C"/>
    <w:multiLevelType w:val="hybridMultilevel"/>
    <w:lvl w:ilvl="0">
      <w:lvlJc w:val="left"/>
      <w:lvlText w:val="%1"/>
      <w:numFmt w:val="decimal"/>
      <w:start w:val="1"/>
    </w:lvl>
    <w:lvl w:ilvl="1">
      <w:lvlJc w:val="left"/>
      <w:lvlText w:val="(%2)"/>
      <w:numFmt w:val="decimal"/>
      <w:start w:val="117"/>
    </w:lvl>
  </w:abstractNum>
  <w:abstractNum w:abstractNumId="42">
    <w:nsid w:val="275AC794"/>
    <w:multiLevelType w:val="hybridMultilevel"/>
    <w:lvl w:ilvl="0">
      <w:lvlJc w:val="left"/>
      <w:lvlText w:val="(%1)"/>
      <w:numFmt w:val="decimal"/>
      <w:start w:val="117"/>
    </w:lvl>
    <w:lvl w:ilvl="1">
      <w:lvlJc w:val="left"/>
      <w:lvlText w:val="%2"/>
      <w:numFmt w:val="decimal"/>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lvl w:ilvl="1">
      <w:lvlJc w:val="left"/>
      <w:lvlText w:val="-"/>
      <w:numFmt w:val="bullet"/>
      <w:start w:val="1"/>
    </w:lvl>
  </w:abstractNum>
  <w:abstractNum w:abstractNumId="45">
    <w:nsid w:val="180115BE"/>
    <w:multiLevelType w:val="hybridMultilevel"/>
    <w:lvl w:ilvl="0">
      <w:lvlJc w:val="left"/>
      <w:lvlText w:val="(%1)"/>
      <w:numFmt w:val="decimal"/>
      <w:start w:val="971"/>
    </w:lvl>
  </w:abstractNum>
  <w:abstractNum w:abstractNumId="46">
    <w:nsid w:val="235BA861"/>
    <w:multiLevelType w:val="hybridMultilevel"/>
    <w:lvl w:ilvl="0">
      <w:lvlJc w:val="left"/>
      <w:lvlText w:val="-"/>
      <w:numFmt w:val="bullet"/>
      <w:start w:val="1"/>
    </w:lvl>
    <w:lvl w:ilvl="1">
      <w:lvlJc w:val="left"/>
      <w:lvlText w:val="(%2)"/>
      <w:numFmt w:val="decimal"/>
      <w:start w:val="170"/>
    </w:lvl>
  </w:abstractNum>
  <w:abstractNum w:abstractNumId="47">
    <w:nsid w:val="47398C89"/>
    <w:multiLevelType w:val="hybridMultilevel"/>
    <w:lvl w:ilvl="0">
      <w:lvlJc w:val="left"/>
      <w:lvlText w:val="-"/>
      <w:numFmt w:val="bullet"/>
      <w:start w:val="1"/>
    </w:lvl>
    <w:lvl w:ilvl="1">
      <w:lvlJc w:val="left"/>
      <w:lvlText w:val="---"/>
      <w:numFmt w:val="bullet"/>
      <w:start w:val="1"/>
    </w:lvl>
  </w:abstractNum>
  <w:abstractNum w:abstractNumId="48">
    <w:nsid w:val="354FE9F9"/>
    <w:multiLevelType w:val="hybridMultilevel"/>
    <w:lvl w:ilvl="0">
      <w:lvlJc w:val="left"/>
      <w:lvlText w:val="-"/>
      <w:numFmt w:val="bullet"/>
      <w:start w:val="1"/>
    </w:lvl>
    <w:lvl w:ilvl="1">
      <w:lvlJc w:val="left"/>
      <w:lvlText w:val="--"/>
      <w:numFmt w:val="bullet"/>
      <w:start w:val="1"/>
    </w:lvl>
  </w:abstractNum>
  <w:abstractNum w:abstractNumId="49">
    <w:nsid w:val="15B5AF5C"/>
    <w:multiLevelType w:val="hybridMultilevel"/>
    <w:lvl w:ilvl="0">
      <w:lvlJc w:val="left"/>
      <w:lvlText w:val="%1"/>
      <w:numFmt w:val="decimal"/>
      <w:start w:val="352"/>
    </w:lvl>
  </w:abstractNum>
  <w:abstractNum w:abstractNumId="50">
    <w:nsid w:val="741226BB"/>
    <w:multiLevelType w:val="hybridMultilevel"/>
    <w:lvl w:ilvl="0">
      <w:lvlJc w:val="left"/>
      <w:lvlText w:val="%1"/>
      <w:numFmt w:val="decimal"/>
      <w:start w:val="838"/>
    </w:lvl>
  </w:abstractNum>
  <w:abstractNum w:abstractNumId="51">
    <w:nsid w:val="D34B6A8"/>
    <w:multiLevelType w:val="hybridMultilevel"/>
    <w:lvl w:ilvl="0">
      <w:lvlJc w:val="left"/>
      <w:lvlText w:val="%1"/>
      <w:numFmt w:val="decimal"/>
      <w:start w:val="732"/>
    </w:lvl>
  </w:abstractNum>
  <w:abstractNum w:abstractNumId="52">
    <w:nsid w:val="10233C99"/>
    <w:multiLevelType w:val="hybridMultilevel"/>
    <w:lvl w:ilvl="0">
      <w:lvlJc w:val="left"/>
      <w:lvlText w:val="-"/>
      <w:numFmt w:val="bullet"/>
      <w:start w:val="1"/>
    </w:lvl>
    <w:lvl w:ilvl="1">
      <w:lvlJc w:val="left"/>
      <w:lvlText w:val="--"/>
      <w:numFmt w:val="bullet"/>
      <w:start w:val="1"/>
    </w:lvl>
  </w:abstractNum>
  <w:abstractNum w:abstractNumId="53">
    <w:nsid w:val="3F6AB60F"/>
    <w:multiLevelType w:val="hybridMultilevel"/>
    <w:lvl w:ilvl="0">
      <w:lvlJc w:val="left"/>
      <w:lvlText w:val="-"/>
      <w:numFmt w:val="bullet"/>
      <w:start w:val="1"/>
    </w:lvl>
    <w:lvl w:ilvl="1">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5"/>
      <w:numFmt w:val="bullet"/>
      <w:start w:val="1"/>
    </w:lvl>
  </w:abstractNum>
  <w:abstractNum w:abstractNumId="57">
    <w:nsid w:val="579BE4F1"/>
    <w:multiLevelType w:val="hybridMultilevel"/>
    <w:lvl w:ilvl="0">
      <w:lvlJc w:val="left"/>
      <w:lvlText w:val="-"/>
      <w:numFmt w:val="bullet"/>
      <w:start w:val="1"/>
    </w:lvl>
    <w:lvl w:ilvl="1">
      <w:lvlJc w:val="left"/>
      <w:lvlText w:val="---"/>
      <w:numFmt w:val="bullet"/>
      <w:start w:val="1"/>
    </w:lvl>
  </w:abstractNum>
  <w:abstractNum w:abstractNumId="58">
    <w:nsid w:val="310C50B3"/>
    <w:multiLevelType w:val="hybridMultilevel"/>
    <w:lvl w:ilvl="0">
      <w:lvlJc w:val="left"/>
      <w:lvlText w:val="-"/>
      <w:numFmt w:val="bullet"/>
      <w:start w:val="1"/>
    </w:lvl>
    <w:lvl w:ilvl="1">
      <w:lvlJc w:val="left"/>
      <w:lvlText w:val="---"/>
      <w:numFmt w:val="bullet"/>
      <w:start w:val="1"/>
    </w:lvl>
  </w:abstractNum>
  <w:abstractNum w:abstractNumId="59">
    <w:nsid w:val="5FF87E05"/>
    <w:multiLevelType w:val="hybridMultilevel"/>
    <w:lvl w:ilvl="0">
      <w:lvlJc w:val="left"/>
      <w:lvlText w:val="-"/>
      <w:numFmt w:val="bullet"/>
      <w:start w:val="1"/>
    </w:lvl>
    <w:lvl w:ilvl="1">
      <w:lvlJc w:val="left"/>
      <w:lvlText w:val="---"/>
      <w:numFmt w:val="bullet"/>
      <w:start w:val="1"/>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
      <w:numFmt w:val="bullet"/>
      <w:start w:val="1"/>
    </w:lvl>
    <w:lvl w:ilvl="1">
      <w:lvlJc w:val="left"/>
      <w:lvlText w:val="%2"/>
      <w:numFmt w:val="decimal"/>
      <w:start w:val="90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1)"/>
      <w:numFmt w:val="decimal"/>
      <w:start w:val="1"/>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1)"/>
      <w:numFmt w:val="decimal"/>
      <w:start w:val="1"/>
    </w:lvl>
  </w:abstractNum>
  <w:abstractNum w:abstractNumId="66">
    <w:nsid w:val="5DB70AE5"/>
    <w:multiLevelType w:val="hybridMultilevel"/>
    <w:lvl w:ilvl="0">
      <w:lvlJc w:val="left"/>
      <w:lvlText w:val="-"/>
      <w:numFmt w:val="bullet"/>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2019-12-15T02:13:01Z</dcterms:created>
  <dcterms:modified xsi:type="dcterms:W3CDTF">2019-12-15T02:13:01Z</dcterms:modified>
</cp:coreProperties>
</file>