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1560" w:right="1280" w:hanging="600"/>
        <w:spacing w:after="0" w:line="237"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2" w:lineRule="exact"/>
        <w:rPr>
          <w:sz w:val="24"/>
          <w:szCs w:val="24"/>
          <w:color w:val="auto"/>
        </w:rPr>
      </w:pPr>
    </w:p>
    <w:p>
      <w:pPr>
        <w:ind w:left="1560" w:right="1280" w:hanging="594"/>
        <w:spacing w:after="0" w:line="209"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83"/>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(I.R.S. Employer</w:t>
            </w:r>
          </w:p>
        </w:tc>
      </w:tr>
      <w:tr>
        <w:trPr>
          <w:trHeight w:val="195"/>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70"/>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3"/>
                <w:szCs w:val="23"/>
                <w:color w:val="auto"/>
              </w:rPr>
            </w:pPr>
          </w:p>
        </w:tc>
      </w:tr>
      <w:tr>
        <w:trPr>
          <w:trHeight w:val="216"/>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16"/>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699"/>
              <w:spacing w:after="0"/>
              <w:rPr>
                <w:sz w:val="20"/>
                <w:szCs w:val="20"/>
                <w:color w:val="auto"/>
              </w:rPr>
            </w:pPr>
            <w:r>
              <w:rPr>
                <w:rFonts w:ascii="Arial" w:cs="Arial" w:eastAsia="Arial" w:hAnsi="Arial"/>
                <w:sz w:val="16"/>
                <w:szCs w:val="16"/>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00" w:type="dxa"/>
            <w:vAlign w:val="bottom"/>
            <w:vMerge w:val="restart"/>
          </w:tcPr>
          <w:p>
            <w:pPr>
              <w:spacing w:after="0"/>
              <w:rPr>
                <w:sz w:val="24"/>
                <w:szCs w:val="2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MDLZ28</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October 29, 2021, there were 1,394,972,132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 -</w:t>
            </w:r>
          </w:p>
        </w:tc>
        <w:tc>
          <w:tcPr>
            <w:tcW w:w="87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9"/>
        </w:trPr>
        <w:tc>
          <w:tcPr>
            <w:tcW w:w="1240" w:type="dxa"/>
            <w:vAlign w:val="bottom"/>
            <w:gridSpan w:val="2"/>
            <w:vMerge w:val="continue"/>
          </w:tcPr>
          <w:p>
            <w:pPr>
              <w:spacing w:after="0"/>
              <w:rPr>
                <w:sz w:val="18"/>
                <w:szCs w:val="18"/>
                <w:color w:val="auto"/>
              </w:rPr>
            </w:pPr>
          </w:p>
        </w:tc>
        <w:tc>
          <w:tcPr>
            <w:tcW w:w="8760" w:type="dxa"/>
            <w:vAlign w:val="bottom"/>
            <w:gridSpan w:val="19"/>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76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Earnings</w:t>
              </w:r>
            </w:hyperlink>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800" w:type="dxa"/>
            <w:vAlign w:val="bottom"/>
            <w:tcBorders>
              <w:top w:val="single" w:sz="8" w:color="0000FF"/>
            </w:tcBorders>
            <w:gridSpan w:val="7"/>
          </w:tcPr>
          <w:p>
            <w:pPr>
              <w:spacing w:after="0" w:line="157"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for the Three and Nine Month Ended September</w:t>
              </w:r>
            </w:hyperlink>
          </w:p>
        </w:tc>
        <w:tc>
          <w:tcPr>
            <w:tcW w:w="20" w:type="dxa"/>
            <w:vAlign w:val="bottom"/>
          </w:tcPr>
          <w:p>
            <w:pPr>
              <w:spacing w:after="0"/>
              <w:rPr>
                <w:sz w:val="13"/>
                <w:szCs w:val="13"/>
                <w:color w:val="auto"/>
              </w:rPr>
            </w:pPr>
          </w:p>
        </w:tc>
        <w:tc>
          <w:tcPr>
            <w:tcW w:w="4800" w:type="dxa"/>
            <w:vAlign w:val="bottom"/>
            <w:gridSpan w:val="10"/>
          </w:tcPr>
          <w:p>
            <w:pPr>
              <w:ind w:left="80"/>
              <w:spacing w:after="0" w:line="157" w:lineRule="exact"/>
              <w:rPr>
                <w:rFonts w:ascii="Arial" w:cs="Arial" w:eastAsia="Arial" w:hAnsi="Arial"/>
                <w:sz w:val="18"/>
                <w:szCs w:val="18"/>
                <w:color w:val="0000FF"/>
              </w:rPr>
            </w:pPr>
            <w:hyperlink w:anchor="page4">
              <w:r>
                <w:rPr>
                  <w:rFonts w:ascii="Arial" w:cs="Arial" w:eastAsia="Arial" w:hAnsi="Arial"/>
                  <w:sz w:val="18"/>
                  <w:szCs w:val="18"/>
                  <w:color w:val="0000FF"/>
                </w:rPr>
                <w:t>30, 2021 and 2020</w:t>
              </w:r>
            </w:hyperlink>
          </w:p>
        </w:tc>
        <w:tc>
          <w:tcPr>
            <w:tcW w:w="1200" w:type="dxa"/>
            <w:vAlign w:val="bottom"/>
          </w:tcPr>
          <w:p>
            <w:pPr>
              <w:jc w:val="right"/>
              <w:spacing w:after="0" w:line="157" w:lineRule="exact"/>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Earnings</w:t>
              </w:r>
            </w:hyperlink>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100" w:type="dxa"/>
            <w:vAlign w:val="bottom"/>
            <w:tcBorders>
              <w:top w:val="single" w:sz="8" w:color="0000FF"/>
              <w:bottom w:val="single" w:sz="8" w:color="0000FF"/>
            </w:tcBorders>
            <w:gridSpan w:val="14"/>
          </w:tcPr>
          <w:p>
            <w:pPr>
              <w:spacing w:after="0" w:line="157" w:lineRule="exact"/>
              <w:rPr>
                <w:rFonts w:ascii="Arial" w:cs="Arial" w:eastAsia="Arial" w:hAnsi="Arial"/>
                <w:sz w:val="18"/>
                <w:szCs w:val="18"/>
                <w:color w:val="0000FF"/>
              </w:rPr>
            </w:pPr>
            <w:hyperlink w:anchor="page4">
              <w:r>
                <w:rPr>
                  <w:rFonts w:ascii="Arial" w:cs="Arial" w:eastAsia="Arial" w:hAnsi="Arial"/>
                  <w:sz w:val="18"/>
                  <w:szCs w:val="18"/>
                  <w:color w:val="0000FF"/>
                </w:rPr>
                <w:t>for the Three and Nine Months Ended September 30, 2021 and</w:t>
              </w:r>
            </w:hyperlink>
          </w:p>
        </w:tc>
        <w:tc>
          <w:tcPr>
            <w:tcW w:w="400" w:type="dxa"/>
            <w:vAlign w:val="bottom"/>
            <w:tcBorders>
              <w:bottom w:val="single" w:sz="8" w:color="0000FF"/>
            </w:tcBorders>
            <w:gridSpan w:val="2"/>
          </w:tcPr>
          <w:p>
            <w:pPr>
              <w:jc w:val="right"/>
              <w:spacing w:after="0" w:line="157"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2020</w:t>
              </w:r>
            </w:hyperlink>
          </w:p>
        </w:tc>
        <w:tc>
          <w:tcPr>
            <w:tcW w:w="1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tcPr>
          <w:p>
            <w:pPr>
              <w:jc w:val="right"/>
              <w:spacing w:after="0" w:line="157"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20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20" w:type="dxa"/>
            <w:vAlign w:val="bottom"/>
            <w:tcBorders>
              <w:bottom w:val="single" w:sz="8" w:color="0000FF"/>
            </w:tcBorders>
            <w:gridSpan w:val="8"/>
          </w:tcPr>
          <w:p>
            <w:pPr>
              <w:spacing w:after="0" w:line="15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at September 30, 2021 and December 31, 2020</w:t>
              </w:r>
            </w:hyperlink>
          </w:p>
        </w:tc>
        <w:tc>
          <w:tcPr>
            <w:tcW w:w="4800" w:type="dxa"/>
            <w:vAlign w:val="bottom"/>
            <w:gridSpan w:val="10"/>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Equity</w:t>
              </w:r>
            </w:hyperlink>
          </w:p>
        </w:tc>
        <w:tc>
          <w:tcPr>
            <w:tcW w:w="120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500" w:type="dxa"/>
            <w:vAlign w:val="bottom"/>
            <w:tcBorders>
              <w:bottom w:val="single" w:sz="8" w:color="0000FF"/>
            </w:tcBorders>
            <w:gridSpan w:val="16"/>
          </w:tcPr>
          <w:p>
            <w:pPr>
              <w:spacing w:after="0" w:line="15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for the Three and Nine Months Ended September 30, 2021 and 2020</w:t>
              </w:r>
            </w:hyperlink>
          </w:p>
        </w:tc>
        <w:tc>
          <w:tcPr>
            <w:tcW w:w="3120" w:type="dxa"/>
            <w:vAlign w:val="bottom"/>
            <w:gridSpan w:val="2"/>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1200" w:type="dxa"/>
            <w:vAlign w:val="bottom"/>
            <w:vMerge w:val="restart"/>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20" w:type="dxa"/>
            <w:vAlign w:val="bottom"/>
            <w:gridSpan w:val="18"/>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for the Nine Months Ended September 30, 2021 and 2020</w:t>
              </w:r>
            </w:hyperlink>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2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Management’s Discussion and Analysis of Financial Condition and Results of Operations</w:t>
              </w:r>
            </w:hyperlink>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19"/>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Quantitative and Qualitative Disclosures about Market Risk</w:t>
              </w:r>
            </w:hyperlink>
          </w:p>
        </w:tc>
        <w:tc>
          <w:tcPr>
            <w:tcW w:w="120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Controls and Procedures</w:t>
              </w:r>
            </w:hyperlink>
          </w:p>
        </w:tc>
        <w:tc>
          <w:tcPr>
            <w:tcW w:w="4080" w:type="dxa"/>
            <w:vAlign w:val="bottom"/>
            <w:gridSpan w:val="7"/>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780" w:type="dxa"/>
            <w:vAlign w:val="bottom"/>
            <w:gridSpan w:val="14"/>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Legal Proceedings</w:t>
              </w:r>
            </w:hyperlink>
          </w:p>
        </w:tc>
        <w:tc>
          <w:tcPr>
            <w:tcW w:w="12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68">
              <w:r>
                <w:rPr>
                  <w:rFonts w:ascii="Arial" w:cs="Arial" w:eastAsia="Arial" w:hAnsi="Arial"/>
                  <w:sz w:val="18"/>
                  <w:szCs w:val="18"/>
                  <w:color w:val="0000FF"/>
                  <w:w w:val="97"/>
                </w:rPr>
                <w:t>Risk Factors</w:t>
              </w:r>
            </w:hyperlink>
          </w:p>
        </w:tc>
        <w:tc>
          <w:tcPr>
            <w:tcW w:w="480" w:type="dxa"/>
            <w:vAlign w:val="bottom"/>
            <w:tcBorders>
              <w:top w:val="single" w:sz="8" w:color="0000FF"/>
            </w:tcBorders>
          </w:tcPr>
          <w:p>
            <w:pPr>
              <w:spacing w:after="0"/>
              <w:rPr>
                <w:sz w:val="22"/>
                <w:szCs w:val="22"/>
                <w:color w:val="auto"/>
              </w:rPr>
            </w:pPr>
          </w:p>
        </w:tc>
        <w:tc>
          <w:tcPr>
            <w:tcW w:w="7280" w:type="dxa"/>
            <w:vAlign w:val="bottom"/>
            <w:gridSpan w:val="15"/>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Unregistered Sales of Equity Securities and Use of Proceeds</w:t>
              </w:r>
            </w:hyperlink>
          </w:p>
        </w:tc>
        <w:tc>
          <w:tcPr>
            <w:tcW w:w="12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FF"/>
            </w:tcBorders>
            <w:gridSpan w:val="14"/>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Exhibits</w:t>
              </w:r>
            </w:hyperlink>
          </w:p>
        </w:tc>
        <w:tc>
          <w:tcPr>
            <w:tcW w:w="3920" w:type="dxa"/>
            <w:vAlign w:val="bottom"/>
            <w:gridSpan w:val="5"/>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64"/>
        </w:trPr>
        <w:tc>
          <w:tcPr>
            <w:tcW w:w="780" w:type="dxa"/>
            <w:vAlign w:val="bottom"/>
            <w:tcBorders>
              <w:bottom w:val="single" w:sz="8" w:color="0000FF"/>
            </w:tcBorders>
          </w:tcPr>
          <w:p>
            <w:pPr>
              <w:spacing w:after="0"/>
              <w:rPr>
                <w:rFonts w:ascii="Arial" w:cs="Arial" w:eastAsia="Arial" w:hAnsi="Arial"/>
                <w:sz w:val="18"/>
                <w:szCs w:val="18"/>
                <w:color w:val="0000FF"/>
                <w:w w:val="98"/>
              </w:rPr>
            </w:pPr>
            <w:hyperlink w:anchor="page69">
              <w:r>
                <w:rPr>
                  <w:rFonts w:ascii="Arial" w:cs="Arial" w:eastAsia="Arial" w:hAnsi="Arial"/>
                  <w:sz w:val="18"/>
                  <w:szCs w:val="18"/>
                  <w:color w:val="0000FF"/>
                  <w:w w:val="98"/>
                </w:rPr>
                <w:t>Signature</w:t>
              </w:r>
            </w:hyperlink>
          </w:p>
        </w:tc>
        <w:tc>
          <w:tcPr>
            <w:tcW w:w="46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66</w:t>
              </w:r>
            </w:hyperlink>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4,358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1,436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equity method investment transactions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8"/>
        </w:trPr>
        <w:tc>
          <w:tcPr>
            <w:tcW w:w="520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Net earnings attributable to</w:t>
            </w: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1,258</w:t>
            </w:r>
          </w:p>
        </w:tc>
        <w:tc>
          <w:tcPr>
            <w:tcW w:w="1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Basic earnings per share attributable to</w:t>
            </w: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880" w:type="dxa"/>
            <w:vAlign w:val="bottom"/>
            <w:vMerge w:val="restart"/>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1"/>
                <w:szCs w:val="11"/>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1"/>
                <w:szCs w:val="11"/>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1"/>
                <w:szCs w:val="11"/>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5"/>
        </w:trPr>
        <w:tc>
          <w:tcPr>
            <w:tcW w:w="5200" w:type="dxa"/>
            <w:vAlign w:val="bottom"/>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188"/>
        </w:trPr>
        <w:tc>
          <w:tcPr>
            <w:tcW w:w="520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earnings/(losses)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68"/>
        </w:trPr>
        <w:tc>
          <w:tcPr>
            <w:tcW w:w="520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Comprehensive earnings/(losses) attributable to</w:t>
            </w:r>
          </w:p>
        </w:tc>
        <w:tc>
          <w:tcPr>
            <w:tcW w:w="880" w:type="dxa"/>
            <w:vAlign w:val="bottom"/>
            <w:tcBorders>
              <w:top w:val="single" w:sz="8" w:color="auto"/>
            </w:tcBorders>
            <w:vMerge w:val="restart"/>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3,619</w:t>
            </w:r>
          </w:p>
        </w:tc>
      </w:tr>
      <w:tr>
        <w:trPr>
          <w:trHeight w:val="188"/>
        </w:trPr>
        <w:tc>
          <w:tcPr>
            <w:tcW w:w="79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Trade receivables (net of allowances of $39 at September 30, 2021</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$42 at December 31, 2020)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Other receivables (net of allowances of $53 at September 30, 2021</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and $42 at December 31, 2020)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9,026</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21,895</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6,036</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15,159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Common Stock, no par value (5,000,000,000 shares authorized and</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September 30, 2021 and December 31, 2020)</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28,402</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Treasury stock, at cost (601,655,289 shares at September 30, 2021 and</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577,363,557 shares at December 31, 2020)</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(Losses)</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4"/>
        </w:trPr>
        <w:tc>
          <w:tcPr>
            <w:tcW w:w="3200" w:type="dxa"/>
            <w:vAlign w:val="bottom"/>
          </w:tcPr>
          <w:p>
            <w:pPr>
              <w:ind w:left="20"/>
              <w:spacing w:after="0" w:line="147" w:lineRule="exact"/>
              <w:rPr>
                <w:sz w:val="20"/>
                <w:szCs w:val="20"/>
                <w:color w:val="auto"/>
              </w:rPr>
            </w:pPr>
            <w:r>
              <w:rPr>
                <w:rFonts w:ascii="Arial" w:cs="Arial" w:eastAsia="Arial" w:hAnsi="Arial"/>
                <w:sz w:val="13"/>
                <w:szCs w:val="13"/>
                <w:b w:val="1"/>
                <w:bCs w:val="1"/>
                <w:color w:val="auto"/>
              </w:rPr>
              <w:t>Three Months Ended September 30, 2021</w:t>
            </w: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July 1, 2021</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27,620</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r>
        <w:trPr>
          <w:trHeight w:val="129"/>
        </w:trPr>
        <w:tc>
          <w:tcPr>
            <w:tcW w:w="3200" w:type="dxa"/>
            <w:vAlign w:val="bottom"/>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60"/>
        </w:trPr>
        <w:tc>
          <w:tcPr>
            <w:tcW w:w="3200" w:type="dxa"/>
            <w:vAlign w:val="bottom"/>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($0.350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Balances at September 30, 2021</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32,070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28,402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(10,690)</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(22,204)</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27,654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3,309</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($0.980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(1,378)</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39" w:lineRule="exact"/>
              <w:rPr>
                <w:sz w:val="20"/>
                <w:szCs w:val="20"/>
                <w:color w:val="auto"/>
              </w:rPr>
            </w:pPr>
            <w:r>
              <w:rPr>
                <w:rFonts w:ascii="Arial" w:cs="Arial" w:eastAsia="Arial" w:hAnsi="Arial"/>
                <w:sz w:val="13"/>
                <w:szCs w:val="13"/>
                <w:color w:val="auto"/>
              </w:rPr>
              <w:t>Balances at September 30,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32,066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30,305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(10,904)</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(23,769)</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27,754</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September 30, 2020</w:t>
            </w: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32,022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27,040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(11,419)</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(21,625)</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26,097</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1,122</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($0.315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Balances at September 30, 2020</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32,019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26,615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(10,254)</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(21,139)</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27,317</w:t>
            </w: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2,410</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0" w:type="dxa"/>
            <w:vAlign w:val="bottom"/>
          </w:tcPr>
          <w:p>
            <w:pPr>
              <w:spacing w:after="0"/>
              <w:rPr>
                <w:sz w:val="1"/>
                <w:szCs w:val="1"/>
                <w:color w:val="auto"/>
              </w:rPr>
            </w:pPr>
          </w:p>
        </w:tc>
      </w:tr>
      <w:tr>
        <w:trPr>
          <w:trHeight w:val="167"/>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($0.885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39" w:lineRule="exact"/>
              <w:rPr>
                <w:sz w:val="20"/>
                <w:szCs w:val="20"/>
                <w:color w:val="auto"/>
              </w:rPr>
            </w:pPr>
            <w:r>
              <w:rPr>
                <w:rFonts w:ascii="Arial" w:cs="Arial" w:eastAsia="Arial" w:hAnsi="Arial"/>
                <w:sz w:val="13"/>
                <w:szCs w:val="13"/>
                <w:color w:val="auto"/>
              </w:rPr>
              <w:t>Balances at September 30,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32,054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27,702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(11,255)</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(21,558)</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27,028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Nine Months Ended</w:t>
      </w:r>
    </w:p>
    <w:p>
      <w:pPr>
        <w:jc w:val="center"/>
        <w:ind w:left="7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Deferred income tax provision/(benefit)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Gain on equity method investment transactions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Change in current assets and current liabilities, net of acquisitions: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750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50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Acquisitions, net of cash received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by/(used in)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commercial paper, maturities greater than 90 days</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Repayments of commercial paper, maturities greater than 90 days</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issuances of other short-term borrowings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5,987</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repaid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168"/>
        </w:trPr>
        <w:tc>
          <w:tcPr>
            <w:tcW w:w="7500" w:type="dxa"/>
            <w:vAlign w:val="bottom"/>
          </w:tcPr>
          <w:p>
            <w:pPr>
              <w:ind w:left="20"/>
              <w:spacing w:after="0" w:line="168" w:lineRule="exact"/>
              <w:rPr>
                <w:sz w:val="20"/>
                <w:szCs w:val="20"/>
                <w:color w:val="auto"/>
              </w:rPr>
            </w:pPr>
            <w:r>
              <w:rPr>
                <w:rFonts w:ascii="Arial" w:cs="Arial" w:eastAsia="Arial" w:hAnsi="Arial"/>
                <w:sz w:val="18"/>
                <w:szCs w:val="18"/>
                <w:color w:val="auto"/>
              </w:rPr>
              <w:t>Effect of exchange rate changes on cash, cash equivalents and</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7"/>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cash</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(Decrease)/Increase</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r>
      <w:tr>
        <w:trPr>
          <w:trHeight w:val="21"/>
        </w:trPr>
        <w:tc>
          <w:tcPr>
            <w:tcW w:w="7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are no readily determinable fair values for the equity interests, these investments are carried at cost with changes in the investment recognized to the extent cash is received.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2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On July 1, 2018, both monetary and non-monetary assets and liabilities denominated in Argentinean pesos were remeasured into U.S. dollars using the exchange rate as of the balance sheet date, with remeasurement and other transaction gains and losses recorded in net earnings. As of September 30, 2021, our Argentinean operations had $1 million of Argentinean peso denominated net monetary liabilities. Our Argentinean operations contributed $111 million, or 1.5% of consolidated net revenues in the three months and $296 million, or 1.4% of consolidated net revenues in the nine months ended September 30, 2021. Within selling, general and administrative expenses, we recorded a remeasurement loss of $2 million during the three months and $10 million during the nine months ended September 30, 2021 as well as a remeasurement loss of $2 million during the three months and $7 million during the nine months ended September 30, 2020 related to the revaluation of the Argentinean peso denominated net monetary position over these periods.</w:t>
      </w:r>
    </w:p>
    <w:p>
      <w:pPr>
        <w:spacing w:after="0" w:line="20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Following the separation of the United Kingdom from the European Union ("Brexit") in 2020, a new trade arrangement was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U.K. and E.U. that began on January 1, 2021. The main trade provisions include the continuation of no tariffs or quotas on trade between the U.K. and E.U. subject to prescribed trade terms, including but not limited to meeting product and labeling standards for both the U.K. and E.U. Cross-border trade between the U.K. and E.U. is also subject to new customs regulations, documentation and reviews. To comply with the new requirements, we increased resources in customer service and logistics, in our factories, and on our customs support teams. We adapted our processes and systems for the new and increased number of customs transactions. We continue to closely monitor and manage our inventory levels of imported raw materials, packaging and finished goods in the U.K. We have made investments in resources, systems and processes to meet the new</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ongoing requirements and we work to mitigate disruptions to our local supply chain and distribution, including those related to the recent transportation labor shortage in the U.K., to reduce the impact on our input and distribution costs. Despite our efforts to control costs, we have seen inflationary cost pressures rise in our U.K. business this year, as we have also experienced in other markets. If the U.K.’s separation from, or new trade arrangements with, the E.U. negatively impact the U.K. economy or result in disagreements on trade terms, delays affecting our supply chain or distribution, disruptions to sales or collections, or further increases in inflationary cost pressures, the impact to our results of operations, financial condition and cash flows could be material. In the nine months ended September 30, 2021, we generated 9.1% of our consolidated net revenues in the U.K.</w:t>
      </w:r>
    </w:p>
    <w:p>
      <w:pPr>
        <w:spacing w:after="0" w:line="2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potential exposures. We continue to monitor the ongoing COVID-19 global pandemic and related impacts to our business operations, currencies and net monetary exposures. Since the global onset of COVID-19 in early 2020, most countries in which we do business experienced periods of significant economic uncertainty as well as exchange rate volatility. At this time, except for Argentina which is accounted for as a highly inflationary economy, we do not anticipate any other countries in which we operate to be at risk of becoming highly inflationary countries.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of $ 7 million as of September 30, 2021 and $31 million as of December 31, 2020. Total cash, cash equivalents and restricted cash was $3,408 million as of September 30, 2021 and $3,650 million as of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1"/>
                <w:szCs w:val="11"/>
                <w:color w:val="auto"/>
              </w:rPr>
            </w:pP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6"/>
        </w:trPr>
        <w:tc>
          <w:tcPr>
            <w:tcW w:w="68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$819 million as of September 30, 2021 and $760 million as of December 31, 2020.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recorded $159 million in operating lease and $59 million in finance lease right-of-use assets obtained in exchange for lease obligations during the nine months ended September 30, 2021 and $187 million in operating lease and $129 million in finance lease right-of-use assets obtained in exchange for lease obligations during the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2020 and subsequently in January 2021, the Financial Accounting Standards Board ("FASB") issued an Accounting Standards Update ("ASU") to provide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LIBOR, to alternative reference rates, if certain criteria are met. The new accounting requirements can be applied as of the beginning of the interim period including March 12, 2020, or any date thereafter, through December 31, 2022. We are currently evaluating our contracts and the optional expedients provided by the new standard.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6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On May 26, 2021, we announced an agreement to acquire Chipita S.A., a leading croissants and baked snacks company in the Central and Eastern European markets. We expect the acquisition to close in the first half of 2022 after all regulatory and acquisition-related reviews are completed. We expect purchase consideration of approximately €1.7 billion ($2.0 billion). We incurred acquisition-related costs of $ 6 million in the nine months ended September 30, 2021. We incurred acquisition integration costs of $6 million in the three and nine months ended September 30, 2021, as these expenses were incurred in preparation of the acquisition closing in the first half of 2022.</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April 1, 2021, we acquired Gourmet Food Holdings Pty Ltd ("Gourmet Food"), a leading Australian food company in the premium biscuit and cracker category, for closing cash consideration of approximately $ 450 million Australian dollars ($343 million), net of cash received. We are working to complete the valuation and have recorded a preliminary purchase price allocation of $ 41 million to indefinite-lived intangible assets, $80 million to definite-lived intangible assets, $176 million to goodwill, $19 million to property, plant and equipment, $18 million to inventory, $25 million to accounts receivable, $5 million to operating right of use assets, $3 million to other current assets, $19 million to current liabilities and $ 5 million to long-term operating lease liabilities. The acquisition added incremental net revenues of $32 million in the three months and $59 million in the nine months ended September 30, 2021, and operating income of $4 million in the three months and $7 million in the nine months ended September 30, 2021. We incurred acquisition-related costs of $7 million in the nine months ended September 30, 2021.</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($261 million), net of cash received. The acquisition of Grenade expands our position into the premium nutrition market. We are working to complete the valuation and have recorded a preliminary purchase price allocation of $82 million to indefinite-lived intangible assets, $28 million to definite-lived intangible assets, $181 million to goodwill, $1 million to property, plant and equipment, $11 million to inventory, $18 million to accounts receivable, $25 million to current liabilities, $20 million to deferred tax liabilities and $15 million to long-term other liabilities. The acquisition added incremental net revenues of $ 22 million in the three months and $45 million in the nine months ended September 30, 2021, and operating income of $2 million in the three months and $4 million in the nine months ended September 30, 2021. We incurred acquisition-related costs of $2 million in the nine months ended September 30, 2021.</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categories in the well-being category. The initial cash consideration paid was $229 million, net of cash received, and the Company may be required to pay additional contingent consideration. The estimated fair value of the contingent consideration obligation at the acquisition date was $132 million and was determined using a Monte Carlo simulation based on forecasted future results. During the third quarter, based on latest estimates, we recorded a $70 million reduction to the liability as recent economic and market conditions related to COVID-19 and supply chain challenges in the U.S. have impacted the pace of growth. This reduction was recorded in selling, general and administrative expenses. As a result of acquiring the remaining equity interest, we consolidated the operations prospectively from the date of acquisition and recorded a pre-tax gain of $9 million ($7 million after-tax) related to stepping up our previously-held $8 million (7%) investment to fair value. We are working to complete the valuation and have recorded a preliminary purchase price allocation of $123</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million to indefinite-lived intangible assets, $51 million to definite-lived intangible assets, $202 million to goodwill, $1 million to property, plant and equipment, $2 million to inventory, $4 million to accounts receivable, $ 5 million to current liabilities and $ 132 million to long-term other liabilities. The acquisition added incremental net revenues of $11 million in the three months and $27 million in the nine months ended September 30, 2021, and operating income (inclusive of the adjustment to the contingent consideration liability) of $63 million in the three months and $50 million in the nine months ended September 30, 2021. We incurred acquisition-related costs of $9 million in the nine months ended September 30, 2021.</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$1,136 million, net of cash received. We have recorded a purchase price allocation of net tangible and intangible assets acquired and liabilities assumed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 of use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Definite-life intangible assets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other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bl>
    <w:p>
      <w:pPr>
        <w:spacing w:after="0" w:line="3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Within definite-life intangible assets, we allocated $ 416 million to customer relationships which have an estimated useful life of 17 years. Goodwill arises principally as a result of expansion opportunities and synergies across both new and legacy product categories. None of the goodwill recognized is expected to be deductible for income tax purposes.</w:t>
      </w:r>
    </w:p>
    <w:p>
      <w:pPr>
        <w:spacing w:after="0" w:line="215"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fair value for customer relationships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Through the one-year anniversary of the acquisition, Give &amp; Go added incremental net revenues of $106 million and operating income of $6 million in 2021. We incurred acquisition-related costs of $15 million in the nine months ended September 30, 2020. We incurred acquisition integration costs of $3 million in the nine months ended September 30, 2021.</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6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Borders>
              <w:bottom w:val="single" w:sz="8" w:color="auto"/>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the nine months ended September 30, 2021, capital expenditures of $639 million excluded $237 million of accrued capital expenditures remaining unpaid at September 30, 2021 and included payment for $275 million of capital expenditures that were accrued and unpaid at December 31, 2020. For the nine months ended September 30, 2020, capital expenditures of $630 million excluded $203 million of accrued capital expenditures remaining unpaid at September 30, 2020 and included payment for $334 million of capital expenditures that were accrued and unpaid at December 31, 2019.</w:t>
      </w:r>
    </w:p>
    <w:p>
      <w:pPr>
        <w:spacing w:after="0" w:line="23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210"/>
        </w:trPr>
        <w:tc>
          <w:tcPr>
            <w:tcW w:w="5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10"/>
        </w:trPr>
        <w:tc>
          <w:tcPr>
            <w:tcW w:w="5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AMEA</w:t>
            </w:r>
          </w:p>
        </w:tc>
        <w:tc>
          <w:tcPr>
            <w:tcW w:w="9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200" w:type="dxa"/>
            <w:vAlign w:val="bottom"/>
          </w:tcPr>
          <w:p>
            <w:pPr>
              <w:spacing w:after="0"/>
              <w:rPr>
                <w:sz w:val="24"/>
                <w:szCs w:val="24"/>
                <w:color w:val="auto"/>
              </w:rPr>
            </w:pPr>
          </w:p>
        </w:tc>
        <w:tc>
          <w:tcPr>
            <w:tcW w:w="920" w:type="dxa"/>
            <w:vAlign w:val="bottom"/>
          </w:tcPr>
          <w:p>
            <w:pPr>
              <w:jc w:val="right"/>
              <w:ind w:right="317"/>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9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AMEA</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5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520" w:type="dxa"/>
            <w:vAlign w:val="bottom"/>
          </w:tcPr>
          <w:p>
            <w:pPr>
              <w:spacing w:after="0"/>
              <w:rPr>
                <w:sz w:val="24"/>
                <w:szCs w:val="24"/>
                <w:color w:val="auto"/>
              </w:rPr>
            </w:pPr>
          </w:p>
        </w:tc>
        <w:tc>
          <w:tcPr>
            <w:tcW w:w="19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Definite-life intangible assets consist primarily of brands, customer-related intangibles, process technology, licenses and non-compete agreements.</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Amortization expense for intangible assets was $32 million for the three months and $102 million for the nine months ended September 30, 2021 and $50 million for the three months and $143 million for the nine months ended September 30, 2020. For the next five years, we currently estimate annual amortization expense of approximately $135 million in 2021, approximately $130 million in 2022-2024 and approximately $105 million in 2025 (reflecting September 30, 2021 exchange rates).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jc w:val="both"/>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connection with our acquisitions of Gourmet Food, Grenade and the remaining interest in Hu during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of 2021, we recorded preliminary purchase price allocations totaling $559 million of goodwill and $405 million of intangible assets.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 further described below, during the second quarter of 2021, we recorded $32 million of intangible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resulting primarily from lower than expected sales growth for one brand across our North America segment.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evaluate our goodwill and intangible asset impairment risk quarterly using qualitative analysis. In light of the ongoing COVID-19 global pandemic, we performed further quantitative analysis over indefinite-life intangible assets and recorded approximately $32 million of intangible asset charges in the second quarter of 2021 and $90 million in the second quarter of 2020.</w:t>
      </w:r>
    </w:p>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third quarter of 2021, we performed our annual impairment assessment test for goodwill and indefinite-life intangible assets as of July 1, 2021.</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2021 annual testing of goodwill resulted in no impairments as each reporting unit had sufficient fair value in excess of its carrying value. As part of our goodwill quantitative annual impairment testing, we compare a reporting unit's estimated fair value with its carrying value. If the carrying value of a reporting unit's net assets exceeds its fair value, we would record an impairment based on the difference between the carrying value and fair value of the reporting unit. We estimate a reporting unit's fair value using a discounted cash flow method that incorporates planned growth rates, market-based discount rates and estimates of residual value. This year, for our Europe and North America reporting units, we used a market based, weighted-average cost of capital of 6.4% to discount the projected cash flows of those operations. For our Latin America and AMEA reporting units, we used a risk-rated discount rate of 9.4%. Estimating the fair value of individual reporting units requires us to make assumptions and estimates regarding our future plans and industry and economic conditions based on available information. Given the uncertainty of the global economic environment and the continued impact of COVID-19, those estimates could be significantly different than future performance.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3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During our 2021 annual testing of indefinite-life intangible assets, there were no impairments noted. We identified eight brands that each had a fair value in excess of book value of 10% or less. The aggregate book value of the eight brands was $1,156 million as of September 30, 2021. During our annual testing, we use several accepted valuation methods, including relief of royalty, excess earnings and excess margin, that utilize estimates of future sales, earnings growth rates, royalty rates and discount rates in determining a brand's global fair value. We continue to monitor our brand performance, particularly in light of the significant uncertainty due to the COVID-19 pandemic and related impacts to our business. If a brand's earnings expectations, including the timing of the expected recovery from the COVID-19 pandemic impacts, are not met or specific valuation factors outside of our control, such as discount rates, change significantly, then a brand or brands could become impaired in the future. During our prior-year testing, we recorded approximately $54 million of impairment charges in the third quarter of 2020 related to three gum and chocolate brands. In 2020, the ongoing impact of the pandemic resulted in greater declines in the sales and earnings for certain brands, particularly our gum brands. We incorporated the latest results, projections and expected recovery for these brands in our annual 2020 impairment testing. The impairment charges were calculated as the excess of the carrying value over the estimated fair value of the intangible assets on a global basis and were recorded within asset impairment and exit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2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Our ownership interests may change over time due to investee stock-based compensation arrangements, share issuances or other equity-related transactions. As of September 30, 2021, we owned 22.8%, 5.3%, 50.0% and 49.0%, respectively, of these companies' outstanding shares.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investments accounted for under the equity method of accounting totaled $5,269 million as of September 30, 2021 and $6,036 million as of December 31, 2020. We recorded equity earnings of $ 105 million and cash dividends of $64 million in the third quarter of 2021 and equity earnings of $84 million and cash dividends of $27 million in the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third quarter of 2020. We recorded equity earnings of $290 million and cash dividends of $158 million in the first nine months of 2021 and equity earnings of $311 million and cash dividends of $220 million in the first nine months of 2020.</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Based on the quoted closing prices as of September 30, 2021, the combined fair value of our publicly-traded investments in JDEP and KDP was $6.0 billion, and for each investment, its fair value exceeded its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 2021, we sold approximately 14.7 million shares of KDP, which reduced our ownership interest by 1% of the total outstanding shares. We received $500 million of proceeds and recorded a pre-tax gain of $248 million (or $189 million after-tax) during the third quarter of 2021. As we continue to have significant influence, we continue to account for our investment in KDP under the equity method, resulting in recognizing our share of their earnings within our earnings and our share of their dividends within our cash flows. We continue to have board representation with one director on the KDP Board of Directors and we retained certain additional governance rights.</w:t>
      </w:r>
    </w:p>
    <w:p>
      <w:pPr>
        <w:spacing w:after="0" w:line="2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by 2% of the total outstanding shares. We received $997 million of proceeds and recorded a pre-tax gain of $520 million (or $392 million after-tax) during the second quarter of 2021.</w:t>
      </w:r>
    </w:p>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On September 9, 2020, we sold approximately 12.5 million shares of KDP, which reduced our ownership interest by 0.9% of the total outstanding shares. We received $363 million of proceeds and recorded a pre-tax gain of $154 million (or $119 million after-tax) during the third quarter of 2020.</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 2020, we sold approximately 14.1 million shares of KDP, which reduced our ownership interest by 1.0% of the total outstanding shares. We received $414 million of proceeds and recorded a pre-tax gain of $181 million (or $139 million after-tax) during the third quarter of 2020.</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of the total outstanding shares. We received $185 million of proceeds and recorded a pre-tax gain of $71 million (or $54 million after-tax) during the first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19, 2020, JDE Peet’s B.V. (renamed JDE Peet’s N.V. immediately prior to Settlement (as defined below), “JDE Peet’s”) announced its intention to launch an offering of its ordinary shares (the “offering”) and to apply for admission to listing and trading of all of its ordinary shares on Euronext Amsterdam, a regulated market operated by Euronext Amsterdam N.V. (the “admission”). On May 26, 2020, JDE Peet’s published a prospectus in connection with the offering and the admission. On May 29, 2020, JDE Peet’s announced the final pricing terms of the offering, and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Prior to Settlement, we exchanged our 26.4% ownership interest in Jacobs Douwe Egberts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€ 46 million ($51 million) upon exercise of the over-allotment option. Following Settlement and the exercise of the over-allotment option, we held a 22.9% equity interest in JDE Peet’s. During the second quarter of 2020, we recorded a preliminary gain of $121 million, net of $33 million released from accumulated other comprehensive losses, and $48 million of transaction costs. During the third quarter of 2020, we increased our preliminary gain by $10 million to $131 million.</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20, 2021, we issued €300 million exchangeable bonds, which are redeemable at maturity at their principal amount in cash or, at our option, through the delivery of an equivalent number of JDE Peet’s ordinary shares based on an initial exchange price of €35.40 and, as the case may be, an additional amount in cash. If all bonds were redeemed in exchange for JDE Peet's shares, this would represent approximately 8.5 million shares or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 xml:space="preserve">approximately 7% of our equity interest in JDE Peet's.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further details on this transaction.</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was the case in our ownership interest in JDE, we have significant influence with respect to JDE Peet’s, and we continue to account for our investment in JDE Peet’s under the equity method, resulting in recognizing our share of JDE Peet’s earnings within our earnings and our share of JDE Peet’s dividends within our cash flows. In the second quarter of 2020, in connection with this transaction, we changed our accounting principle to reflect our share of JDE’s historical and JDE Peet’s ongoing earnings on a one-quarter lag basis, although we continue to record dividends when cash is received. We determined a lag was preferable as it enables us to continue to report our quarterly and annual results on a timely basis, while recording our share of JDE Peet’s ongoing results after JDE Peet’s has publicly reported its results. This change in accounting principle was applied retrospectively to all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6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$5.1 billion related to the Simplify to Grow Program. We expect to incur the remainder of the program charges by year-end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nine months ended September 30, 2021 was: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and related</w:t>
            </w:r>
          </w:p>
        </w:tc>
        <w:tc>
          <w:tcPr>
            <w:tcW w:w="2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8"/>
              </w:rPr>
              <w:t>costs</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Non-cash settlements/adjustments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Liability balance, September 30, 2021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1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restructuring charges of $62 million in the third quarter of 2021 and $68 million in the third quarter of 2020 and $250 million in the first nine months of 2021 and $111 million in the first nine months of 2020 within asset impairment and exit costs and benefit plan non-service income.</w:t>
      </w:r>
    </w:p>
    <w:p>
      <w:pPr>
        <w:spacing w:after="0" w:line="1" w:lineRule="exact"/>
        <w:rPr>
          <w:rFonts w:ascii="Arial" w:cs="Arial" w:eastAsia="Arial" w:hAnsi="Arial"/>
          <w:sz w:val="18"/>
          <w:szCs w:val="18"/>
          <w:color w:val="auto"/>
        </w:rPr>
      </w:pPr>
    </w:p>
    <w:p>
      <w:pPr>
        <w:ind w:left="340" w:right="2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spent $65 million in the third quarter of 2021 and $44 million in the third quarter of 2020 and $129 million in the first nine months of 2021 and $113 million in the first nine months of 2020 in cash severance and related costs.</w:t>
      </w:r>
    </w:p>
    <w:p>
      <w:pPr>
        <w:ind w:left="340" w:right="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also recognized non-cash asset write-downs (including accelerated depreciation and asset impairments), including any gains on sale of restructuring program assets, non-cash pension settlement losses and other adjustments, which totaled $54 million in the third quarter of 2021 and a gain of $13 million in the third quarter of 2020 and $170 million in the first nine months of 2021 and $1 million in the first nine months of 2020.</w:t>
      </w:r>
    </w:p>
    <w:p>
      <w:pPr>
        <w:spacing w:after="0" w:line="1" w:lineRule="exact"/>
        <w:rPr>
          <w:rFonts w:ascii="Arial" w:cs="Arial" w:eastAsia="Arial" w:hAnsi="Arial"/>
          <w:sz w:val="18"/>
          <w:szCs w:val="18"/>
          <w:color w:val="auto"/>
        </w:rPr>
      </w:pPr>
    </w:p>
    <w:p>
      <w:pPr>
        <w:ind w:left="340" w:right="48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September 30, 2021, $198 million of our net restructuring liability was recorded within other current liabilities and $47 million was recorded within other long-term liabilities.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$65 million in the third quarter of 2021 and $46 million in the third quarter of 2020 and $132 million in the first nine months of 2021 and $141 million in the first nine months of 2020. We recorded these costs within cost of sales and general corporate expense within selling, general and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three and nine months ended September 30, 2021 and September 30, 2020, and since inception of the Simplify to Grow Program, we recorded the following restructuring and implementation costs within segment operating income and earnings before income taxes: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AMEA</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4"/>
                <w:szCs w:val="14"/>
                <w:b w:val="1"/>
                <w:bCs w:val="1"/>
                <w:color w:val="auto"/>
              </w:rPr>
              <w:t>As of September 30, 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Amount</w:t>
            </w:r>
          </w:p>
        </w:tc>
        <w:tc>
          <w:tcPr>
            <w:tcW w:w="2160" w:type="dxa"/>
            <w:vAlign w:val="bottom"/>
            <w:gridSpan w:val="3"/>
          </w:tcPr>
          <w:p>
            <w:pPr>
              <w:jc w:val="right"/>
              <w:ind w:right="860"/>
              <w:spacing w:after="0" w:line="142" w:lineRule="exact"/>
              <w:rPr>
                <w:sz w:val="20"/>
                <w:szCs w:val="20"/>
                <w:color w:val="auto"/>
              </w:rPr>
            </w:pPr>
            <w:r>
              <w:rPr>
                <w:rFonts w:ascii="Arial" w:cs="Arial" w:eastAsia="Arial" w:hAnsi="Arial"/>
                <w:sz w:val="14"/>
                <w:szCs w:val="14"/>
                <w:b w:val="1"/>
                <w:bCs w:val="1"/>
                <w:color w:val="auto"/>
              </w:rPr>
              <w:t>Weighted-</w:t>
            </w:r>
          </w:p>
        </w:tc>
        <w:tc>
          <w:tcPr>
            <w:tcW w:w="132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Amount</w:t>
            </w:r>
          </w:p>
        </w:tc>
        <w:tc>
          <w:tcPr>
            <w:tcW w:w="180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Weighted-</w:t>
            </w:r>
          </w:p>
        </w:tc>
      </w:tr>
      <w:tr>
        <w:trPr>
          <w:trHeight w:val="176"/>
        </w:trPr>
        <w:tc>
          <w:tcPr>
            <w:tcW w:w="4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21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Average Rate</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Average Rate</w:t>
            </w:r>
          </w:p>
        </w:tc>
      </w:tr>
      <w:tr>
        <w:trPr>
          <w:trHeight w:val="183"/>
        </w:trPr>
        <w:tc>
          <w:tcPr>
            <w:tcW w:w="4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8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(in millions, except percentages)</w:t>
            </w:r>
          </w:p>
        </w:tc>
        <w:tc>
          <w:tcPr>
            <w:tcW w:w="1800" w:type="dxa"/>
            <w:vAlign w:val="bottom"/>
          </w:tcPr>
          <w:p>
            <w:pPr>
              <w:spacing w:after="0"/>
              <w:rPr>
                <w:sz w:val="15"/>
                <w:szCs w:val="15"/>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0.1 %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0" w:type="dxa"/>
            <w:vAlign w:val="bottom"/>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September 30, 2021 and December 31, 2020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As of September 30, 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Borrowed Amount</w:t>
            </w:r>
          </w:p>
        </w:tc>
      </w:tr>
      <w:tr>
        <w:trPr>
          <w:trHeight w:val="18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Credit facility expiry</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24, 2021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6" w:lineRule="exact"/>
        <w:rPr>
          <w:sz w:val="20"/>
          <w:szCs w:val="20"/>
          <w:color w:val="auto"/>
        </w:rPr>
      </w:pPr>
    </w:p>
    <w:p>
      <w:pPr>
        <w:ind w:left="260" w:right="160" w:hanging="252"/>
        <w:spacing w:after="0" w:line="244" w:lineRule="auto"/>
        <w:tabs>
          <w:tab w:leader="none" w:pos="233"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September 30, 2021, we complied with this covenant as our shareholders' equity, as defined by the covenant, was $38.6 billion. The revolving credit facility also contains customary representations, covenants and events of default. There are no credit rating triggers, provisions or other financial covenants that could require us to post collateral as security.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During the nine months ended September 30, 2021, we completed early redemptions of euro and U.S. dollar denominated notes for the following amounts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jc w:val="center"/>
              <w:ind w:right="52"/>
              <w:spacing w:after="0"/>
              <w:rPr>
                <w:sz w:val="20"/>
                <w:szCs w:val="20"/>
                <w:color w:val="auto"/>
              </w:rPr>
            </w:pPr>
            <w:r>
              <w:rPr>
                <w:rFonts w:ascii="Arial" w:cs="Arial" w:eastAsia="Arial" w:hAnsi="Arial"/>
                <w:sz w:val="14"/>
                <w:szCs w:val="14"/>
                <w:b w:val="1"/>
                <w:bCs w:val="1"/>
                <w:color w:val="auto"/>
              </w:rPr>
              <w:t>Interest Rate</w:t>
            </w:r>
          </w:p>
        </w:tc>
        <w:tc>
          <w:tcPr>
            <w:tcW w:w="2200" w:type="dxa"/>
            <w:vAlign w:val="bottom"/>
          </w:tcPr>
          <w:p>
            <w:pPr>
              <w:jc w:val="center"/>
              <w:ind w:right="12"/>
              <w:spacing w:after="0"/>
              <w:rPr>
                <w:sz w:val="20"/>
                <w:szCs w:val="20"/>
                <w:color w:val="auto"/>
              </w:rPr>
            </w:pPr>
            <w:r>
              <w:rPr>
                <w:rFonts w:ascii="Arial" w:cs="Arial" w:eastAsia="Arial" w:hAnsi="Arial"/>
                <w:sz w:val="14"/>
                <w:szCs w:val="14"/>
                <w:b w:val="1"/>
                <w:bCs w:val="1"/>
                <w:color w:val="auto"/>
              </w:rPr>
              <w:t>Redemption Date</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2380" w:type="dxa"/>
            <w:vAlign w:val="bottom"/>
          </w:tcPr>
          <w:p>
            <w:pPr>
              <w:ind w:left="520"/>
              <w:spacing w:after="0"/>
              <w:rPr>
                <w:sz w:val="20"/>
                <w:szCs w:val="20"/>
                <w:color w:val="auto"/>
              </w:rPr>
            </w:pPr>
            <w:r>
              <w:rPr>
                <w:rFonts w:ascii="Arial" w:cs="Arial" w:eastAsia="Arial" w:hAnsi="Arial"/>
                <w:sz w:val="14"/>
                <w:szCs w:val="14"/>
                <w:b w:val="1"/>
                <w:bCs w:val="1"/>
                <w:color w:val="auto"/>
              </w:rPr>
              <w:t>Amount Redeemed</w:t>
            </w:r>
          </w:p>
        </w:tc>
        <w:tc>
          <w:tcPr>
            <w:tcW w:w="2160" w:type="dxa"/>
            <w:vAlign w:val="bottom"/>
          </w:tcPr>
          <w:p>
            <w:pPr>
              <w:ind w:left="540"/>
              <w:spacing w:after="0"/>
              <w:rPr>
                <w:sz w:val="20"/>
                <w:szCs w:val="20"/>
                <w:color w:val="auto"/>
              </w:rPr>
            </w:pPr>
            <w:r>
              <w:rPr>
                <w:rFonts w:ascii="Arial" w:cs="Arial" w:eastAsia="Arial" w:hAnsi="Arial"/>
                <w:sz w:val="14"/>
                <w:szCs w:val="14"/>
                <w:b w:val="1"/>
                <w:bCs w:val="1"/>
                <w:color w:val="auto"/>
              </w:rPr>
              <w:t>USD Equivalent</w:t>
            </w:r>
          </w:p>
        </w:tc>
      </w:tr>
      <w:tr>
        <w:trPr>
          <w:trHeight w:val="230"/>
        </w:trPr>
        <w:tc>
          <w:tcPr>
            <w:tcW w:w="23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8"/>
              </w:rPr>
              <w:t>2.000%</w:t>
            </w:r>
          </w:p>
        </w:tc>
        <w:tc>
          <w:tcPr>
            <w:tcW w:w="2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September 2021</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2021</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w:t>
            </w:r>
          </w:p>
        </w:tc>
      </w:tr>
      <w:tr>
        <w:trPr>
          <w:trHeight w:val="230"/>
        </w:trPr>
        <w:tc>
          <w:tcPr>
            <w:tcW w:w="2300" w:type="dxa"/>
            <w:vAlign w:val="bottom"/>
          </w:tcPr>
          <w:p>
            <w:pPr>
              <w:jc w:val="center"/>
              <w:ind w:right="52"/>
              <w:spacing w:after="0"/>
              <w:rPr>
                <w:sz w:val="20"/>
                <w:szCs w:val="20"/>
                <w:color w:val="auto"/>
              </w:rPr>
            </w:pPr>
            <w:r>
              <w:rPr>
                <w:rFonts w:ascii="Arial" w:cs="Arial" w:eastAsia="Arial" w:hAnsi="Arial"/>
                <w:sz w:val="18"/>
                <w:szCs w:val="18"/>
                <w:color w:val="auto"/>
                <w:w w:val="99"/>
              </w:rPr>
              <w:t>3M LIBOR + 0.700%</w:t>
            </w:r>
          </w:p>
        </w:tc>
        <w:tc>
          <w:tcPr>
            <w:tcW w:w="2200" w:type="dxa"/>
            <w:vAlign w:val="bottom"/>
          </w:tcPr>
          <w:p>
            <w:pPr>
              <w:jc w:val="center"/>
              <w:ind w:right="32"/>
              <w:spacing w:after="0"/>
              <w:rPr>
                <w:sz w:val="20"/>
                <w:szCs w:val="20"/>
                <w:color w:val="auto"/>
              </w:rPr>
            </w:pPr>
            <w:r>
              <w:rPr>
                <w:rFonts w:ascii="Arial" w:cs="Arial" w:eastAsia="Arial" w:hAnsi="Arial"/>
                <w:sz w:val="18"/>
                <w:szCs w:val="18"/>
                <w:color w:val="auto"/>
                <w:w w:val="99"/>
              </w:rPr>
              <w:t>September 2021</w:t>
            </w:r>
          </w:p>
        </w:tc>
        <w:tc>
          <w:tcPr>
            <w:tcW w:w="2200" w:type="dxa"/>
            <w:vAlign w:val="bottom"/>
          </w:tcPr>
          <w:p>
            <w:pPr>
              <w:jc w:val="center"/>
              <w:spacing w:after="0"/>
              <w:rPr>
                <w:sz w:val="20"/>
                <w:szCs w:val="20"/>
                <w:color w:val="auto"/>
              </w:rPr>
            </w:pPr>
            <w:r>
              <w:rPr>
                <w:rFonts w:ascii="Arial" w:cs="Arial" w:eastAsia="Arial" w:hAnsi="Arial"/>
                <w:sz w:val="18"/>
                <w:szCs w:val="18"/>
                <w:color w:val="auto"/>
                <w:w w:val="98"/>
              </w:rPr>
              <w:t>October 2022</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3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3M LIBOR + 0.800%</w:t>
            </w:r>
          </w:p>
        </w:tc>
        <w:tc>
          <w:tcPr>
            <w:tcW w:w="2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September 2021</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2024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300" w:type="dxa"/>
            <w:vAlign w:val="bottom"/>
          </w:tcPr>
          <w:p>
            <w:pPr>
              <w:jc w:val="center"/>
              <w:ind w:right="52"/>
              <w:spacing w:after="0"/>
              <w:rPr>
                <w:sz w:val="20"/>
                <w:szCs w:val="20"/>
                <w:color w:val="auto"/>
              </w:rPr>
            </w:pPr>
            <w:r>
              <w:rPr>
                <w:rFonts w:ascii="Arial" w:cs="Arial" w:eastAsia="Arial" w:hAnsi="Arial"/>
                <w:sz w:val="18"/>
                <w:szCs w:val="18"/>
                <w:color w:val="auto"/>
                <w:w w:val="98"/>
              </w:rPr>
              <w:t>1.000%</w:t>
            </w:r>
          </w:p>
        </w:tc>
        <w:tc>
          <w:tcPr>
            <w:tcW w:w="2200" w:type="dxa"/>
            <w:vAlign w:val="bottom"/>
          </w:tcPr>
          <w:p>
            <w:pPr>
              <w:jc w:val="center"/>
              <w:ind w:right="32"/>
              <w:spacing w:after="0"/>
              <w:rPr>
                <w:sz w:val="20"/>
                <w:szCs w:val="20"/>
                <w:color w:val="auto"/>
              </w:rPr>
            </w:pPr>
            <w:r>
              <w:rPr>
                <w:rFonts w:ascii="Arial" w:cs="Arial" w:eastAsia="Arial" w:hAnsi="Arial"/>
                <w:sz w:val="18"/>
                <w:szCs w:val="18"/>
                <w:color w:val="auto"/>
              </w:rPr>
              <w:t>March 2021</w:t>
            </w:r>
          </w:p>
        </w:tc>
        <w:tc>
          <w:tcPr>
            <w:tcW w:w="2200" w:type="dxa"/>
            <w:vAlign w:val="bottom"/>
          </w:tcPr>
          <w:p>
            <w:pPr>
              <w:jc w:val="center"/>
              <w:spacing w:after="0"/>
              <w:rPr>
                <w:sz w:val="20"/>
                <w:szCs w:val="20"/>
                <w:color w:val="auto"/>
              </w:rPr>
            </w:pPr>
            <w:r>
              <w:rPr>
                <w:rFonts w:ascii="Arial" w:cs="Arial" w:eastAsia="Arial" w:hAnsi="Arial"/>
                <w:sz w:val="18"/>
                <w:szCs w:val="18"/>
                <w:color w:val="auto"/>
              </w:rPr>
              <w:t>March 2022</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$587</w:t>
            </w:r>
          </w:p>
        </w:tc>
      </w:tr>
      <w:tr>
        <w:trPr>
          <w:trHeight w:val="229"/>
        </w:trPr>
        <w:tc>
          <w:tcPr>
            <w:tcW w:w="23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8"/>
              </w:rPr>
              <w:t>1.625%</w:t>
            </w:r>
          </w:p>
        </w:tc>
        <w:tc>
          <w:tcPr>
            <w:tcW w:w="2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March 2021</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2023</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$821</w:t>
            </w:r>
          </w:p>
        </w:tc>
      </w:tr>
      <w:tr>
        <w:trPr>
          <w:trHeight w:val="230"/>
        </w:trPr>
        <w:tc>
          <w:tcPr>
            <w:tcW w:w="2300" w:type="dxa"/>
            <w:vAlign w:val="bottom"/>
          </w:tcPr>
          <w:p>
            <w:pPr>
              <w:jc w:val="center"/>
              <w:ind w:right="52"/>
              <w:spacing w:after="0"/>
              <w:rPr>
                <w:sz w:val="20"/>
                <w:szCs w:val="20"/>
                <w:color w:val="auto"/>
              </w:rPr>
            </w:pPr>
            <w:r>
              <w:rPr>
                <w:rFonts w:ascii="Arial" w:cs="Arial" w:eastAsia="Arial" w:hAnsi="Arial"/>
                <w:sz w:val="18"/>
                <w:szCs w:val="18"/>
                <w:color w:val="auto"/>
                <w:w w:val="98"/>
              </w:rPr>
              <w:t>2.125%</w:t>
            </w:r>
          </w:p>
        </w:tc>
        <w:tc>
          <w:tcPr>
            <w:tcW w:w="2200" w:type="dxa"/>
            <w:vAlign w:val="bottom"/>
          </w:tcPr>
          <w:p>
            <w:pPr>
              <w:jc w:val="center"/>
              <w:ind w:right="32"/>
              <w:spacing w:after="0"/>
              <w:rPr>
                <w:sz w:val="20"/>
                <w:szCs w:val="20"/>
                <w:color w:val="auto"/>
              </w:rPr>
            </w:pPr>
            <w:r>
              <w:rPr>
                <w:rFonts w:ascii="Arial" w:cs="Arial" w:eastAsia="Arial" w:hAnsi="Arial"/>
                <w:sz w:val="18"/>
                <w:szCs w:val="18"/>
                <w:color w:val="auto"/>
              </w:rPr>
              <w:t>March 2021</w:t>
            </w:r>
          </w:p>
        </w:tc>
        <w:tc>
          <w:tcPr>
            <w:tcW w:w="2200" w:type="dxa"/>
            <w:vAlign w:val="bottom"/>
          </w:tcPr>
          <w:p>
            <w:pPr>
              <w:jc w:val="center"/>
              <w:spacing w:after="0"/>
              <w:rPr>
                <w:sz w:val="20"/>
                <w:szCs w:val="20"/>
                <w:color w:val="auto"/>
              </w:rPr>
            </w:pPr>
            <w:r>
              <w:rPr>
                <w:rFonts w:ascii="Arial" w:cs="Arial" w:eastAsia="Arial" w:hAnsi="Arial"/>
                <w:sz w:val="18"/>
                <w:szCs w:val="18"/>
                <w:color w:val="auto"/>
                <w:w w:val="98"/>
              </w:rPr>
              <w:t>April 2023</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3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8"/>
              </w:rPr>
              <w:t>4.000%</w:t>
            </w:r>
          </w:p>
        </w:tc>
        <w:tc>
          <w:tcPr>
            <w:tcW w:w="2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March 2021</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February 2024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$492</w:t>
            </w:r>
          </w:p>
        </w:tc>
      </w:tr>
    </w:tbl>
    <w:p>
      <w:pPr>
        <w:spacing w:after="0" w:line="3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recorded $ 137 million of extinguishment loss and debt-related expenses within interest and other expense, net related to $110 million paid in excess of carrying value of the debt and recognizing unamortized discounts and deferred financing in earnings and $27 million foreign currency derivative loss related to the redemption payment at the time of the debt extinguishment. The cash payments related to the redemption were classified as cash outflows from financing activities in the consolidated statement of cash flows.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we repaid the following note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b w:val="1"/>
                <w:bCs w:val="1"/>
                <w:color w:val="auto"/>
              </w:rPr>
              <w:t>Maturity Date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77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rPr>
              <w:t>USD Equivalent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rPr>
              <w:t>January 2021</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jc w:val="center"/>
              <w:ind w:right="1400"/>
              <w:spacing w:after="0"/>
              <w:rPr>
                <w:sz w:val="20"/>
                <w:szCs w:val="20"/>
                <w:color w:val="auto"/>
              </w:rPr>
            </w:pPr>
            <w:r>
              <w:rPr>
                <w:rFonts w:ascii="Arial" w:cs="Arial" w:eastAsia="Arial" w:hAnsi="Arial"/>
                <w:sz w:val="18"/>
                <w:szCs w:val="18"/>
                <w:color w:val="auto"/>
                <w:w w:val="99"/>
              </w:rPr>
              <w:t>€679</w:t>
            </w:r>
          </w:p>
        </w:tc>
        <w:tc>
          <w:tcPr>
            <w:tcW w:w="2300" w:type="dxa"/>
            <w:vAlign w:val="bottom"/>
            <w:shd w:val="clear" w:color="auto" w:fill="CCEEFF"/>
          </w:tcPr>
          <w:p>
            <w:pPr>
              <w:jc w:val="right"/>
              <w:ind w:right="1074"/>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2820" w:type="dxa"/>
            <w:vAlign w:val="bottom"/>
            <w:gridSpan w:val="3"/>
          </w:tcPr>
          <w:p>
            <w:pPr>
              <w:spacing w:after="0"/>
              <w:rPr>
                <w:sz w:val="20"/>
                <w:szCs w:val="20"/>
                <w:color w:val="auto"/>
              </w:rPr>
            </w:pPr>
            <w:r>
              <w:rPr>
                <w:rFonts w:ascii="Arial" w:cs="Arial" w:eastAsia="Arial" w:hAnsi="Arial"/>
                <w:sz w:val="18"/>
                <w:szCs w:val="18"/>
                <w:i w:val="1"/>
                <w:iCs w:val="1"/>
                <w:color w:val="auto"/>
              </w:rPr>
              <w:t>Issuances:</w:t>
            </w: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20" w:type="dxa"/>
            <w:vAlign w:val="bottom"/>
            <w:gridSpan w:val="10"/>
          </w:tcPr>
          <w:p>
            <w:pPr>
              <w:spacing w:after="0"/>
              <w:rPr>
                <w:sz w:val="20"/>
                <w:szCs w:val="20"/>
                <w:color w:val="auto"/>
              </w:rPr>
            </w:pPr>
            <w:r>
              <w:rPr>
                <w:rFonts w:ascii="Arial" w:cs="Arial" w:eastAsia="Arial" w:hAnsi="Arial"/>
                <w:sz w:val="18"/>
                <w:szCs w:val="18"/>
                <w:color w:val="auto"/>
              </w:rPr>
              <w:t>During the nine months ended September 30, 2021, we issued the following notes (in millions):</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rPr>
              <w:t>Issuance Date</w:t>
            </w:r>
          </w:p>
        </w:tc>
        <w:tc>
          <w:tcPr>
            <w:tcW w:w="2020" w:type="dxa"/>
            <w:vAlign w:val="bottom"/>
            <w:vMerge w:val="restart"/>
          </w:tcPr>
          <w:p>
            <w:pPr>
              <w:jc w:val="center"/>
              <w:ind w:right="893"/>
              <w:spacing w:after="0"/>
              <w:rPr>
                <w:sz w:val="20"/>
                <w:szCs w:val="20"/>
                <w:color w:val="auto"/>
              </w:rPr>
            </w:pPr>
            <w:r>
              <w:rPr>
                <w:rFonts w:ascii="Arial" w:cs="Arial" w:eastAsia="Arial" w:hAnsi="Arial"/>
                <w:sz w:val="14"/>
                <w:szCs w:val="14"/>
                <w:b w:val="1"/>
                <w:bCs w:val="1"/>
                <w:color w:val="auto"/>
              </w:rPr>
              <w:t>Interest Rate</w:t>
            </w:r>
          </w:p>
        </w:tc>
        <w:tc>
          <w:tcPr>
            <w:tcW w:w="16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Maturity Date</w:t>
            </w:r>
          </w:p>
        </w:tc>
        <w:tc>
          <w:tcPr>
            <w:tcW w:w="2400" w:type="dxa"/>
            <w:vAlign w:val="bottom"/>
            <w:gridSpan w:val="3"/>
            <w:vMerge w:val="restart"/>
          </w:tcPr>
          <w:p>
            <w:pPr>
              <w:jc w:val="center"/>
              <w:ind w:left="233"/>
              <w:spacing w:after="0"/>
              <w:rPr>
                <w:sz w:val="20"/>
                <w:szCs w:val="20"/>
                <w:color w:val="auto"/>
              </w:rPr>
            </w:pPr>
            <w:r>
              <w:rPr>
                <w:rFonts w:ascii="Arial" w:cs="Arial" w:eastAsia="Arial" w:hAnsi="Arial"/>
                <w:sz w:val="14"/>
                <w:szCs w:val="14"/>
                <w:b w:val="1"/>
                <w:bCs w:val="1"/>
                <w:color w:val="auto"/>
                <w:w w:val="98"/>
              </w:rPr>
              <w:t xml:space="preserve">Gross Proceeds </w:t>
            </w:r>
            <w:r>
              <w:rPr>
                <w:rFonts w:ascii="Arial" w:cs="Arial" w:eastAsia="Arial" w:hAnsi="Arial"/>
                <w:sz w:val="18"/>
                <w:szCs w:val="18"/>
                <w:b w:val="1"/>
                <w:bCs w:val="1"/>
                <w:color w:val="auto"/>
                <w:w w:val="98"/>
                <w:vertAlign w:val="superscript"/>
              </w:rPr>
              <w:t>(1)</w:t>
            </w:r>
          </w:p>
        </w:tc>
        <w:tc>
          <w:tcPr>
            <w:tcW w:w="2300" w:type="dxa"/>
            <w:vAlign w:val="bottom"/>
          </w:tcPr>
          <w:p>
            <w:pPr>
              <w:jc w:val="center"/>
              <w:ind w:left="74"/>
              <w:spacing w:after="0"/>
              <w:rPr>
                <w:sz w:val="20"/>
                <w:szCs w:val="20"/>
                <w:color w:val="auto"/>
              </w:rPr>
            </w:pPr>
            <w:r>
              <w:rPr>
                <w:rFonts w:ascii="Arial" w:cs="Arial" w:eastAsia="Arial" w:hAnsi="Arial"/>
                <w:sz w:val="14"/>
                <w:szCs w:val="14"/>
                <w:b w:val="1"/>
                <w:bCs w:val="1"/>
                <w:color w:val="auto"/>
              </w:rPr>
              <w:t>Gross Proceeds USD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400" w:type="dxa"/>
            <w:vAlign w:val="bottom"/>
            <w:gridSpan w:val="3"/>
            <w:vMerge w:val="continue"/>
          </w:tcPr>
          <w:p>
            <w:pPr>
              <w:spacing w:after="0"/>
              <w:rPr>
                <w:sz w:val="15"/>
                <w:szCs w:val="15"/>
                <w:color w:val="auto"/>
              </w:rPr>
            </w:pPr>
          </w:p>
        </w:tc>
        <w:tc>
          <w:tcPr>
            <w:tcW w:w="2300" w:type="dxa"/>
            <w:vAlign w:val="bottom"/>
          </w:tcPr>
          <w:p>
            <w:pPr>
              <w:jc w:val="center"/>
              <w:ind w:left="74"/>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center"/>
              <w:ind w:right="680"/>
              <w:spacing w:after="0" w:line="230" w:lineRule="exact"/>
              <w:rPr>
                <w:sz w:val="20"/>
                <w:szCs w:val="20"/>
                <w:color w:val="auto"/>
              </w:rPr>
            </w:pPr>
            <w:r>
              <w:rPr>
                <w:rFonts w:ascii="Arial" w:cs="Arial" w:eastAsia="Arial" w:hAnsi="Arial"/>
                <w:sz w:val="18"/>
                <w:szCs w:val="18"/>
                <w:color w:val="auto"/>
                <w:w w:val="97"/>
              </w:rPr>
              <w:t>September 2021</w:t>
            </w:r>
            <w:r>
              <w:rPr>
                <w:rFonts w:ascii="Arial" w:cs="Arial" w:eastAsia="Arial" w:hAnsi="Arial"/>
                <w:sz w:val="23"/>
                <w:szCs w:val="23"/>
                <w:color w:val="auto"/>
                <w:w w:val="97"/>
                <w:vertAlign w:val="superscript"/>
              </w:rPr>
              <w:t>(2)</w:t>
            </w:r>
          </w:p>
        </w:tc>
        <w:tc>
          <w:tcPr>
            <w:tcW w:w="2020" w:type="dxa"/>
            <w:vAlign w:val="bottom"/>
            <w:shd w:val="clear" w:color="auto" w:fill="CCEEFF"/>
          </w:tcPr>
          <w:p>
            <w:pPr>
              <w:jc w:val="center"/>
              <w:ind w:right="893"/>
              <w:spacing w:after="0"/>
              <w:rPr>
                <w:sz w:val="20"/>
                <w:szCs w:val="20"/>
                <w:color w:val="auto"/>
              </w:rPr>
            </w:pPr>
            <w:r>
              <w:rPr>
                <w:rFonts w:ascii="Arial" w:cs="Arial" w:eastAsia="Arial" w:hAnsi="Arial"/>
                <w:sz w:val="18"/>
                <w:szCs w:val="18"/>
                <w:color w:val="auto"/>
                <w:w w:val="98"/>
              </w:rPr>
              <w:t>0.750%</w:t>
            </w:r>
          </w:p>
        </w:tc>
        <w:tc>
          <w:tcPr>
            <w:tcW w:w="16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September 2024</w:t>
            </w:r>
          </w:p>
        </w:tc>
        <w:tc>
          <w:tcPr>
            <w:tcW w:w="188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9"/>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tcPr>
          <w:p>
            <w:pPr>
              <w:jc w:val="center"/>
              <w:ind w:right="680"/>
              <w:spacing w:after="0" w:line="230" w:lineRule="exact"/>
              <w:rPr>
                <w:sz w:val="20"/>
                <w:szCs w:val="20"/>
                <w:color w:val="auto"/>
              </w:rPr>
            </w:pPr>
            <w:r>
              <w:rPr>
                <w:rFonts w:ascii="Arial" w:cs="Arial" w:eastAsia="Arial" w:hAnsi="Arial"/>
                <w:sz w:val="18"/>
                <w:szCs w:val="18"/>
                <w:color w:val="auto"/>
                <w:w w:val="97"/>
              </w:rPr>
              <w:t>September 2021</w:t>
            </w:r>
            <w:r>
              <w:rPr>
                <w:rFonts w:ascii="Arial" w:cs="Arial" w:eastAsia="Arial" w:hAnsi="Arial"/>
                <w:sz w:val="23"/>
                <w:szCs w:val="23"/>
                <w:color w:val="auto"/>
                <w:w w:val="97"/>
                <w:vertAlign w:val="superscript"/>
              </w:rPr>
              <w:t>(2)</w:t>
            </w:r>
          </w:p>
        </w:tc>
        <w:tc>
          <w:tcPr>
            <w:tcW w:w="2020" w:type="dxa"/>
            <w:vAlign w:val="bottom"/>
          </w:tcPr>
          <w:p>
            <w:pPr>
              <w:jc w:val="center"/>
              <w:ind w:right="893"/>
              <w:spacing w:after="0"/>
              <w:rPr>
                <w:sz w:val="20"/>
                <w:szCs w:val="20"/>
                <w:color w:val="auto"/>
              </w:rPr>
            </w:pPr>
            <w:r>
              <w:rPr>
                <w:rFonts w:ascii="Arial" w:cs="Arial" w:eastAsia="Arial" w:hAnsi="Arial"/>
                <w:sz w:val="18"/>
                <w:szCs w:val="18"/>
                <w:color w:val="auto"/>
                <w:w w:val="98"/>
              </w:rPr>
              <w:t>1.250%</w:t>
            </w: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September 2026</w:t>
            </w:r>
          </w:p>
        </w:tc>
        <w:tc>
          <w:tcPr>
            <w:tcW w:w="1880" w:type="dxa"/>
            <w:vAlign w:val="bottom"/>
          </w:tcPr>
          <w:p>
            <w:pPr>
              <w:jc w:val="center"/>
              <w:ind w:left="753"/>
              <w:spacing w:after="0"/>
              <w:rPr>
                <w:sz w:val="20"/>
                <w:szCs w:val="20"/>
                <w:color w:val="auto"/>
              </w:rPr>
            </w:pPr>
            <w:r>
              <w:rPr>
                <w:rFonts w:ascii="Arial" w:cs="Arial" w:eastAsia="Arial" w:hAnsi="Arial"/>
                <w:sz w:val="18"/>
                <w:szCs w:val="18"/>
                <w:color w:val="auto"/>
                <w:w w:val="99"/>
              </w:rPr>
              <w:t>$350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tcPr>
          <w:p>
            <w:pPr>
              <w:jc w:val="center"/>
              <w:ind w:left="94"/>
              <w:spacing w:after="0"/>
              <w:rPr>
                <w:sz w:val="20"/>
                <w:szCs w:val="20"/>
                <w:color w:val="auto"/>
              </w:rPr>
            </w:pPr>
            <w:r>
              <w:rPr>
                <w:rFonts w:ascii="Arial" w:cs="Arial" w:eastAsia="Arial" w:hAnsi="Arial"/>
                <w:sz w:val="18"/>
                <w:szCs w:val="18"/>
                <w:color w:val="auto"/>
                <w:w w:val="99"/>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center"/>
              <w:ind w:right="680"/>
              <w:spacing w:after="0" w:line="230" w:lineRule="exact"/>
              <w:rPr>
                <w:sz w:val="20"/>
                <w:szCs w:val="20"/>
                <w:color w:val="auto"/>
              </w:rPr>
            </w:pPr>
            <w:r>
              <w:rPr>
                <w:rFonts w:ascii="Arial" w:cs="Arial" w:eastAsia="Arial" w:hAnsi="Arial"/>
                <w:sz w:val="18"/>
                <w:szCs w:val="18"/>
                <w:color w:val="auto"/>
                <w:w w:val="93"/>
              </w:rPr>
              <w:t>September 2021</w:t>
            </w:r>
            <w:r>
              <w:rPr>
                <w:rFonts w:ascii="Arial" w:cs="Arial" w:eastAsia="Arial" w:hAnsi="Arial"/>
                <w:sz w:val="23"/>
                <w:szCs w:val="23"/>
                <w:color w:val="auto"/>
                <w:w w:val="93"/>
                <w:vertAlign w:val="superscript"/>
              </w:rPr>
              <w:t>(2)(3)</w:t>
            </w:r>
          </w:p>
        </w:tc>
        <w:tc>
          <w:tcPr>
            <w:tcW w:w="2020" w:type="dxa"/>
            <w:vAlign w:val="bottom"/>
            <w:shd w:val="clear" w:color="auto" w:fill="CCEEFF"/>
          </w:tcPr>
          <w:p>
            <w:pPr>
              <w:jc w:val="center"/>
              <w:ind w:right="893"/>
              <w:spacing w:after="0"/>
              <w:rPr>
                <w:sz w:val="20"/>
                <w:szCs w:val="20"/>
                <w:color w:val="auto"/>
              </w:rPr>
            </w:pPr>
            <w:r>
              <w:rPr>
                <w:rFonts w:ascii="Arial" w:cs="Arial" w:eastAsia="Arial" w:hAnsi="Arial"/>
                <w:sz w:val="18"/>
                <w:szCs w:val="18"/>
                <w:color w:val="auto"/>
                <w:w w:val="98"/>
              </w:rPr>
              <w:t>0.000%</w:t>
            </w:r>
          </w:p>
        </w:tc>
        <w:tc>
          <w:tcPr>
            <w:tcW w:w="16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September 2024</w:t>
            </w:r>
          </w:p>
        </w:tc>
        <w:tc>
          <w:tcPr>
            <w:tcW w:w="2400" w:type="dxa"/>
            <w:vAlign w:val="bottom"/>
            <w:gridSpan w:val="3"/>
            <w:shd w:val="clear" w:color="auto" w:fill="CCEEFF"/>
          </w:tcPr>
          <w:p>
            <w:pPr>
              <w:jc w:val="center"/>
              <w:ind w:left="233"/>
              <w:spacing w:after="0"/>
              <w:rPr>
                <w:sz w:val="20"/>
                <w:szCs w:val="20"/>
                <w:color w:val="auto"/>
              </w:rPr>
            </w:pPr>
            <w:r>
              <w:rPr>
                <w:rFonts w:ascii="Arial" w:cs="Arial" w:eastAsia="Arial" w:hAnsi="Arial"/>
                <w:sz w:val="18"/>
                <w:szCs w:val="18"/>
                <w:color w:val="auto"/>
                <w:w w:val="99"/>
              </w:rPr>
              <w:t>€300</w:t>
            </w:r>
          </w:p>
        </w:tc>
        <w:tc>
          <w:tcPr>
            <w:tcW w:w="23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9"/>
              </w:rPr>
              <w:t>$352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tcPr>
          <w:p>
            <w:pPr>
              <w:jc w:val="center"/>
              <w:ind w:right="680"/>
              <w:spacing w:after="0" w:line="230" w:lineRule="exact"/>
              <w:rPr>
                <w:sz w:val="20"/>
                <w:szCs w:val="20"/>
                <w:color w:val="auto"/>
              </w:rPr>
            </w:pPr>
            <w:r>
              <w:rPr>
                <w:rFonts w:ascii="Arial" w:cs="Arial" w:eastAsia="Arial" w:hAnsi="Arial"/>
                <w:sz w:val="18"/>
                <w:szCs w:val="18"/>
                <w:color w:val="auto"/>
                <w:w w:val="93"/>
              </w:rPr>
              <w:t>September 2021</w:t>
            </w:r>
            <w:r>
              <w:rPr>
                <w:rFonts w:ascii="Arial" w:cs="Arial" w:eastAsia="Arial" w:hAnsi="Arial"/>
                <w:sz w:val="23"/>
                <w:szCs w:val="23"/>
                <w:color w:val="auto"/>
                <w:w w:val="93"/>
                <w:vertAlign w:val="superscript"/>
              </w:rPr>
              <w:t>(2)(4)</w:t>
            </w:r>
          </w:p>
        </w:tc>
        <w:tc>
          <w:tcPr>
            <w:tcW w:w="2020" w:type="dxa"/>
            <w:vAlign w:val="bottom"/>
          </w:tcPr>
          <w:p>
            <w:pPr>
              <w:jc w:val="center"/>
              <w:ind w:right="893"/>
              <w:spacing w:after="0"/>
              <w:rPr>
                <w:sz w:val="20"/>
                <w:szCs w:val="20"/>
                <w:color w:val="auto"/>
              </w:rPr>
            </w:pPr>
            <w:r>
              <w:rPr>
                <w:rFonts w:ascii="Arial" w:cs="Arial" w:eastAsia="Arial" w:hAnsi="Arial"/>
                <w:sz w:val="18"/>
                <w:szCs w:val="18"/>
                <w:color w:val="auto"/>
                <w:w w:val="98"/>
              </w:rPr>
              <w:t>0.250%</w:t>
            </w: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September 2029</w:t>
            </w:r>
          </w:p>
        </w:tc>
        <w:tc>
          <w:tcPr>
            <w:tcW w:w="2400" w:type="dxa"/>
            <w:vAlign w:val="bottom"/>
            <w:gridSpan w:val="3"/>
          </w:tcPr>
          <w:p>
            <w:pPr>
              <w:jc w:val="center"/>
              <w:ind w:left="233"/>
              <w:spacing w:after="0"/>
              <w:rPr>
                <w:sz w:val="20"/>
                <w:szCs w:val="20"/>
                <w:color w:val="auto"/>
              </w:rPr>
            </w:pPr>
            <w:r>
              <w:rPr>
                <w:rFonts w:ascii="Arial" w:cs="Arial" w:eastAsia="Arial" w:hAnsi="Arial"/>
                <w:sz w:val="18"/>
                <w:szCs w:val="18"/>
                <w:color w:val="auto"/>
                <w:w w:val="99"/>
              </w:rPr>
              <w:t>€650</w:t>
            </w:r>
          </w:p>
        </w:tc>
        <w:tc>
          <w:tcPr>
            <w:tcW w:w="2300" w:type="dxa"/>
            <w:vAlign w:val="bottom"/>
          </w:tcPr>
          <w:p>
            <w:pPr>
              <w:jc w:val="center"/>
              <w:ind w:left="94"/>
              <w:spacing w:after="0"/>
              <w:rPr>
                <w:sz w:val="20"/>
                <w:szCs w:val="20"/>
                <w:color w:val="auto"/>
              </w:rPr>
            </w:pPr>
            <w:r>
              <w:rPr>
                <w:rFonts w:ascii="Arial" w:cs="Arial" w:eastAsia="Arial" w:hAnsi="Arial"/>
                <w:sz w:val="18"/>
                <w:szCs w:val="18"/>
                <w:color w:val="auto"/>
                <w:w w:val="99"/>
              </w:rPr>
              <w:t>$769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center"/>
              <w:ind w:right="680"/>
              <w:spacing w:after="0" w:line="230" w:lineRule="exact"/>
              <w:rPr>
                <w:sz w:val="20"/>
                <w:szCs w:val="20"/>
                <w:color w:val="auto"/>
              </w:rPr>
            </w:pPr>
            <w:r>
              <w:rPr>
                <w:rFonts w:ascii="Arial" w:cs="Arial" w:eastAsia="Arial" w:hAnsi="Arial"/>
                <w:sz w:val="18"/>
                <w:szCs w:val="18"/>
                <w:color w:val="auto"/>
                <w:w w:val="93"/>
              </w:rPr>
              <w:t>September 2021</w:t>
            </w:r>
            <w:r>
              <w:rPr>
                <w:rFonts w:ascii="Arial" w:cs="Arial" w:eastAsia="Arial" w:hAnsi="Arial"/>
                <w:sz w:val="23"/>
                <w:szCs w:val="23"/>
                <w:color w:val="auto"/>
                <w:w w:val="93"/>
                <w:vertAlign w:val="superscript"/>
              </w:rPr>
              <w:t>(2)(4)</w:t>
            </w:r>
          </w:p>
        </w:tc>
        <w:tc>
          <w:tcPr>
            <w:tcW w:w="2020" w:type="dxa"/>
            <w:vAlign w:val="bottom"/>
            <w:shd w:val="clear" w:color="auto" w:fill="CCEEFF"/>
          </w:tcPr>
          <w:p>
            <w:pPr>
              <w:jc w:val="center"/>
              <w:ind w:right="893"/>
              <w:spacing w:after="0"/>
              <w:rPr>
                <w:sz w:val="20"/>
                <w:szCs w:val="20"/>
                <w:color w:val="auto"/>
              </w:rPr>
            </w:pPr>
            <w:r>
              <w:rPr>
                <w:rFonts w:ascii="Arial" w:cs="Arial" w:eastAsia="Arial" w:hAnsi="Arial"/>
                <w:sz w:val="18"/>
                <w:szCs w:val="18"/>
                <w:color w:val="auto"/>
                <w:w w:val="98"/>
              </w:rPr>
              <w:t>0.625%</w:t>
            </w:r>
          </w:p>
        </w:tc>
        <w:tc>
          <w:tcPr>
            <w:tcW w:w="16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September 2032</w:t>
            </w:r>
          </w:p>
        </w:tc>
        <w:tc>
          <w:tcPr>
            <w:tcW w:w="2400" w:type="dxa"/>
            <w:vAlign w:val="bottom"/>
            <w:gridSpan w:val="3"/>
            <w:shd w:val="clear" w:color="auto" w:fill="CCEEFF"/>
          </w:tcPr>
          <w:p>
            <w:pPr>
              <w:jc w:val="center"/>
              <w:ind w:left="233"/>
              <w:spacing w:after="0"/>
              <w:rPr>
                <w:sz w:val="20"/>
                <w:szCs w:val="20"/>
                <w:color w:val="auto"/>
              </w:rPr>
            </w:pPr>
            <w:r>
              <w:rPr>
                <w:rFonts w:ascii="Arial" w:cs="Arial" w:eastAsia="Arial" w:hAnsi="Arial"/>
                <w:sz w:val="18"/>
                <w:szCs w:val="18"/>
                <w:color w:val="auto"/>
                <w:w w:val="99"/>
              </w:rPr>
              <w:t>€650</w:t>
            </w:r>
          </w:p>
        </w:tc>
        <w:tc>
          <w:tcPr>
            <w:tcW w:w="23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9"/>
              </w:rPr>
              <w:t>$769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tcPr>
          <w:p>
            <w:pPr>
              <w:jc w:val="center"/>
              <w:ind w:right="680"/>
              <w:spacing w:after="0" w:line="230" w:lineRule="exact"/>
              <w:rPr>
                <w:sz w:val="20"/>
                <w:szCs w:val="20"/>
                <w:color w:val="auto"/>
              </w:rPr>
            </w:pPr>
            <w:r>
              <w:rPr>
                <w:rFonts w:ascii="Arial" w:cs="Arial" w:eastAsia="Arial" w:hAnsi="Arial"/>
                <w:sz w:val="18"/>
                <w:szCs w:val="18"/>
                <w:color w:val="auto"/>
                <w:w w:val="93"/>
              </w:rPr>
              <w:t>September 2021</w:t>
            </w:r>
            <w:r>
              <w:rPr>
                <w:rFonts w:ascii="Arial" w:cs="Arial" w:eastAsia="Arial" w:hAnsi="Arial"/>
                <w:sz w:val="23"/>
                <w:szCs w:val="23"/>
                <w:color w:val="auto"/>
                <w:w w:val="93"/>
                <w:vertAlign w:val="superscript"/>
              </w:rPr>
              <w:t>(2)(4)</w:t>
            </w:r>
          </w:p>
        </w:tc>
        <w:tc>
          <w:tcPr>
            <w:tcW w:w="2020" w:type="dxa"/>
            <w:vAlign w:val="bottom"/>
          </w:tcPr>
          <w:p>
            <w:pPr>
              <w:jc w:val="center"/>
              <w:ind w:right="893"/>
              <w:spacing w:after="0"/>
              <w:rPr>
                <w:sz w:val="20"/>
                <w:szCs w:val="20"/>
                <w:color w:val="auto"/>
              </w:rPr>
            </w:pPr>
            <w:r>
              <w:rPr>
                <w:rFonts w:ascii="Arial" w:cs="Arial" w:eastAsia="Arial" w:hAnsi="Arial"/>
                <w:sz w:val="18"/>
                <w:szCs w:val="18"/>
                <w:color w:val="auto"/>
                <w:w w:val="98"/>
              </w:rPr>
              <w:t>1.250%</w:t>
            </w: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September 2041</w:t>
            </w:r>
          </w:p>
        </w:tc>
        <w:tc>
          <w:tcPr>
            <w:tcW w:w="2400" w:type="dxa"/>
            <w:vAlign w:val="bottom"/>
            <w:gridSpan w:val="3"/>
          </w:tcPr>
          <w:p>
            <w:pPr>
              <w:jc w:val="center"/>
              <w:ind w:left="233"/>
              <w:spacing w:after="0"/>
              <w:rPr>
                <w:sz w:val="20"/>
                <w:szCs w:val="20"/>
                <w:color w:val="auto"/>
              </w:rPr>
            </w:pPr>
            <w:r>
              <w:rPr>
                <w:rFonts w:ascii="Arial" w:cs="Arial" w:eastAsia="Arial" w:hAnsi="Arial"/>
                <w:sz w:val="18"/>
                <w:szCs w:val="18"/>
                <w:color w:val="auto"/>
                <w:w w:val="99"/>
              </w:rPr>
              <w:t>€700</w:t>
            </w:r>
          </w:p>
        </w:tc>
        <w:tc>
          <w:tcPr>
            <w:tcW w:w="2300" w:type="dxa"/>
            <w:vAlign w:val="bottom"/>
          </w:tcPr>
          <w:p>
            <w:pPr>
              <w:jc w:val="center"/>
              <w:ind w:left="94"/>
              <w:spacing w:after="0"/>
              <w:rPr>
                <w:sz w:val="20"/>
                <w:szCs w:val="20"/>
                <w:color w:val="auto"/>
              </w:rPr>
            </w:pPr>
            <w:r>
              <w:rPr>
                <w:rFonts w:ascii="Arial" w:cs="Arial" w:eastAsia="Arial" w:hAnsi="Arial"/>
                <w:sz w:val="18"/>
                <w:szCs w:val="18"/>
                <w:color w:val="auto"/>
                <w:w w:val="99"/>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rPr>
              <w:t>March 2021</w:t>
            </w:r>
          </w:p>
        </w:tc>
        <w:tc>
          <w:tcPr>
            <w:tcW w:w="2020" w:type="dxa"/>
            <w:vAlign w:val="bottom"/>
            <w:shd w:val="clear" w:color="auto" w:fill="CCEEFF"/>
          </w:tcPr>
          <w:p>
            <w:pPr>
              <w:jc w:val="center"/>
              <w:ind w:right="893"/>
              <w:spacing w:after="0"/>
              <w:rPr>
                <w:sz w:val="20"/>
                <w:szCs w:val="20"/>
                <w:color w:val="auto"/>
              </w:rPr>
            </w:pPr>
            <w:r>
              <w:rPr>
                <w:rFonts w:ascii="Arial" w:cs="Arial" w:eastAsia="Arial" w:hAnsi="Arial"/>
                <w:sz w:val="18"/>
                <w:szCs w:val="18"/>
                <w:color w:val="auto"/>
                <w:w w:val="98"/>
              </w:rPr>
              <w:t>0.250%</w:t>
            </w:r>
          </w:p>
        </w:tc>
        <w:tc>
          <w:tcPr>
            <w:tcW w:w="16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rPr>
              <w:t>March 2028</w:t>
            </w:r>
          </w:p>
        </w:tc>
        <w:tc>
          <w:tcPr>
            <w:tcW w:w="2400" w:type="dxa"/>
            <w:vAlign w:val="bottom"/>
            <w:gridSpan w:val="3"/>
            <w:shd w:val="clear" w:color="auto" w:fill="CCEEFF"/>
          </w:tcPr>
          <w:p>
            <w:pPr>
              <w:jc w:val="center"/>
              <w:ind w:left="233"/>
              <w:spacing w:after="0"/>
              <w:rPr>
                <w:sz w:val="20"/>
                <w:szCs w:val="20"/>
                <w:color w:val="auto"/>
              </w:rPr>
            </w:pPr>
            <w:r>
              <w:rPr>
                <w:rFonts w:ascii="Arial" w:cs="Arial" w:eastAsia="Arial" w:hAnsi="Arial"/>
                <w:sz w:val="18"/>
                <w:szCs w:val="18"/>
                <w:color w:val="auto"/>
                <w:w w:val="99"/>
              </w:rPr>
              <w:t>€750</w:t>
            </w:r>
          </w:p>
        </w:tc>
        <w:tc>
          <w:tcPr>
            <w:tcW w:w="23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9"/>
              </w:rPr>
              <w:t>$896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2"/>
          </w:tcPr>
          <w:p>
            <w:pPr>
              <w:jc w:val="center"/>
              <w:ind w:right="680"/>
              <w:spacing w:after="0"/>
              <w:rPr>
                <w:sz w:val="20"/>
                <w:szCs w:val="20"/>
                <w:color w:val="auto"/>
              </w:rPr>
            </w:pPr>
            <w:r>
              <w:rPr>
                <w:rFonts w:ascii="Arial" w:cs="Arial" w:eastAsia="Arial" w:hAnsi="Arial"/>
                <w:sz w:val="18"/>
                <w:szCs w:val="18"/>
                <w:color w:val="auto"/>
              </w:rPr>
              <w:t>March 2021</w:t>
            </w:r>
          </w:p>
        </w:tc>
        <w:tc>
          <w:tcPr>
            <w:tcW w:w="2020" w:type="dxa"/>
            <w:vAlign w:val="bottom"/>
          </w:tcPr>
          <w:p>
            <w:pPr>
              <w:jc w:val="center"/>
              <w:ind w:right="893"/>
              <w:spacing w:after="0"/>
              <w:rPr>
                <w:sz w:val="20"/>
                <w:szCs w:val="20"/>
                <w:color w:val="auto"/>
              </w:rPr>
            </w:pPr>
            <w:r>
              <w:rPr>
                <w:rFonts w:ascii="Arial" w:cs="Arial" w:eastAsia="Arial" w:hAnsi="Arial"/>
                <w:sz w:val="18"/>
                <w:szCs w:val="18"/>
                <w:color w:val="auto"/>
                <w:w w:val="98"/>
              </w:rPr>
              <w:t>0.750%</w:t>
            </w: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color w:val="auto"/>
              </w:rPr>
              <w:t>March 2033</w:t>
            </w:r>
          </w:p>
        </w:tc>
        <w:tc>
          <w:tcPr>
            <w:tcW w:w="2400" w:type="dxa"/>
            <w:vAlign w:val="bottom"/>
            <w:gridSpan w:val="3"/>
          </w:tcPr>
          <w:p>
            <w:pPr>
              <w:jc w:val="center"/>
              <w:ind w:left="233"/>
              <w:spacing w:after="0"/>
              <w:rPr>
                <w:sz w:val="20"/>
                <w:szCs w:val="20"/>
                <w:color w:val="auto"/>
              </w:rPr>
            </w:pPr>
            <w:r>
              <w:rPr>
                <w:rFonts w:ascii="Arial" w:cs="Arial" w:eastAsia="Arial" w:hAnsi="Arial"/>
                <w:sz w:val="18"/>
                <w:szCs w:val="18"/>
                <w:color w:val="auto"/>
                <w:w w:val="99"/>
              </w:rPr>
              <w:t>€600</w:t>
            </w:r>
          </w:p>
        </w:tc>
        <w:tc>
          <w:tcPr>
            <w:tcW w:w="2300" w:type="dxa"/>
            <w:vAlign w:val="bottom"/>
          </w:tcPr>
          <w:p>
            <w:pPr>
              <w:jc w:val="center"/>
              <w:ind w:left="94"/>
              <w:spacing w:after="0"/>
              <w:rPr>
                <w:sz w:val="20"/>
                <w:szCs w:val="20"/>
                <w:color w:val="auto"/>
              </w:rPr>
            </w:pPr>
            <w:r>
              <w:rPr>
                <w:rFonts w:ascii="Arial" w:cs="Arial" w:eastAsia="Arial" w:hAnsi="Arial"/>
                <w:sz w:val="18"/>
                <w:szCs w:val="18"/>
                <w:color w:val="auto"/>
                <w:w w:val="99"/>
              </w:rPr>
              <w:t>$717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rPr>
              <w:t>March 2021</w:t>
            </w:r>
          </w:p>
        </w:tc>
        <w:tc>
          <w:tcPr>
            <w:tcW w:w="2020" w:type="dxa"/>
            <w:vAlign w:val="bottom"/>
            <w:shd w:val="clear" w:color="auto" w:fill="CCEEFF"/>
          </w:tcPr>
          <w:p>
            <w:pPr>
              <w:jc w:val="center"/>
              <w:ind w:right="893"/>
              <w:spacing w:after="0"/>
              <w:rPr>
                <w:sz w:val="20"/>
                <w:szCs w:val="20"/>
                <w:color w:val="auto"/>
              </w:rPr>
            </w:pPr>
            <w:r>
              <w:rPr>
                <w:rFonts w:ascii="Arial" w:cs="Arial" w:eastAsia="Arial" w:hAnsi="Arial"/>
                <w:sz w:val="18"/>
                <w:szCs w:val="18"/>
                <w:color w:val="auto"/>
                <w:w w:val="98"/>
              </w:rPr>
              <w:t>1.375%</w:t>
            </w:r>
          </w:p>
        </w:tc>
        <w:tc>
          <w:tcPr>
            <w:tcW w:w="16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rPr>
              <w:t>March 2041</w:t>
            </w:r>
          </w:p>
        </w:tc>
        <w:tc>
          <w:tcPr>
            <w:tcW w:w="2400" w:type="dxa"/>
            <w:vAlign w:val="bottom"/>
            <w:gridSpan w:val="3"/>
            <w:shd w:val="clear" w:color="auto" w:fill="CCEEFF"/>
          </w:tcPr>
          <w:p>
            <w:pPr>
              <w:jc w:val="center"/>
              <w:ind w:left="233"/>
              <w:spacing w:after="0"/>
              <w:rPr>
                <w:sz w:val="20"/>
                <w:szCs w:val="20"/>
                <w:color w:val="auto"/>
              </w:rPr>
            </w:pPr>
            <w:r>
              <w:rPr>
                <w:rFonts w:ascii="Arial" w:cs="Arial" w:eastAsia="Arial" w:hAnsi="Arial"/>
                <w:sz w:val="18"/>
                <w:szCs w:val="18"/>
                <w:color w:val="auto"/>
                <w:w w:val="99"/>
              </w:rPr>
              <w:t>€650</w:t>
            </w:r>
          </w:p>
        </w:tc>
        <w:tc>
          <w:tcPr>
            <w:tcW w:w="23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9"/>
              </w:rPr>
              <w:t>$777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Issued by Mondelez International Holdings Netherlands B.V. ("MIHN"), a wholly owned Dutch subsidiary of Mondelez International, Inc.</w:t>
      </w:r>
    </w:p>
    <w:p>
      <w:pPr>
        <w:spacing w:after="0" w:line="1" w:lineRule="exact"/>
        <w:rPr>
          <w:rFonts w:ascii="Arial" w:cs="Arial" w:eastAsia="Arial" w:hAnsi="Arial"/>
          <w:sz w:val="14"/>
          <w:szCs w:val="14"/>
          <w:color w:val="auto"/>
        </w:rPr>
      </w:pPr>
    </w:p>
    <w:p>
      <w:pPr>
        <w:ind w:left="340" w:hanging="332"/>
        <w:spacing w:after="0" w:line="242" w:lineRule="auto"/>
        <w:tabs>
          <w:tab w:leader="none" w:pos="23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Issuance of exchangeable bonds that were issued at 102% of their principal amount and are redeemable for cash or existing ordinary shares of JDE Peet's at our option (see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Bondholders have an option to redeem bonds before maturity subject to exchange periods. We have identified our option to settle in either cash or existing ordinary shares of JDE Peet's as an embedded derivative that is bifurcated and accounted for separately from the bond. See Note 9, </w:t>
      </w:r>
      <w:r>
        <w:rPr>
          <w:rFonts w:ascii="Arial" w:cs="Arial" w:eastAsia="Arial" w:hAnsi="Arial"/>
          <w:sz w:val="14"/>
          <w:szCs w:val="14"/>
          <w:i w:val="1"/>
          <w:iCs w:val="1"/>
          <w:color w:val="auto"/>
        </w:rPr>
        <w:t>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w:t>
      </w:r>
      <w:r>
        <w:rPr>
          <w:rFonts w:ascii="Arial" w:cs="Arial" w:eastAsia="Arial" w:hAnsi="Arial"/>
          <w:sz w:val="14"/>
          <w:szCs w:val="14"/>
          <w:color w:val="auto"/>
        </w:rPr>
        <w:t>.</w:t>
      </w:r>
    </w:p>
    <w:p>
      <w:pPr>
        <w:spacing w:after="0" w:line="160" w:lineRule="exact"/>
        <w:rPr>
          <w:rFonts w:ascii="Arial" w:cs="Arial" w:eastAsia="Arial" w:hAnsi="Arial"/>
          <w:sz w:val="14"/>
          <w:szCs w:val="14"/>
          <w:color w:val="auto"/>
        </w:rPr>
      </w:pPr>
    </w:p>
    <w:p>
      <w:pPr>
        <w:ind w:left="340" w:right="340" w:hanging="332"/>
        <w:spacing w:after="0" w:line="258" w:lineRule="auto"/>
        <w:tabs>
          <w:tab w:leader="none" w:pos="232" w:val="left"/>
        </w:tabs>
        <w:numPr>
          <w:ilvl w:val="0"/>
          <w:numId w:val="6"/>
        </w:numPr>
        <w:rPr>
          <w:rFonts w:ascii="Arial" w:cs="Arial" w:eastAsia="Arial" w:hAnsi="Arial"/>
          <w:sz w:val="14"/>
          <w:szCs w:val="14"/>
          <w:color w:val="auto"/>
        </w:rPr>
      </w:pPr>
      <w:r>
        <w:rPr>
          <w:rFonts w:ascii="Arial" w:cs="Arial" w:eastAsia="Arial" w:hAnsi="Arial"/>
          <w:sz w:val="14"/>
          <w:szCs w:val="14"/>
          <w:color w:val="auto"/>
        </w:rPr>
        <w:t>Issuance of green bonds where we have committed to allocate an amount equal to the €1.97 billion total net proceeds from the offering over time to eligible projects that align with our sustainability priorities in the areas of building a thriving ingredient supply chain and reducing our environmental impact.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fair value of our short-term borrowings at September 30, 2021 and December 31, 2020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As of September 30, 2021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2020</w:t>
            </w:r>
          </w:p>
        </w:tc>
      </w:tr>
      <w:tr>
        <w:trPr>
          <w:trHeight w:val="182"/>
        </w:trPr>
        <w:tc>
          <w:tcPr>
            <w:tcW w:w="4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gridSpan w:val="6"/>
          </w:tcPr>
          <w:p>
            <w:pPr>
              <w:ind w:left="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20,795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19,987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20,046</w:t>
            </w:r>
          </w:p>
        </w:tc>
      </w:tr>
      <w:tr>
        <w:trPr>
          <w:trHeight w:val="553"/>
        </w:trPr>
        <w:tc>
          <w:tcPr>
            <w:tcW w:w="458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7"/>
        </w:trPr>
        <w:tc>
          <w:tcPr>
            <w:tcW w:w="458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45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r>
      <w:tr>
        <w:trPr>
          <w:trHeight w:val="183"/>
        </w:trPr>
        <w:tc>
          <w:tcPr>
            <w:tcW w:w="4580" w:type="dxa"/>
            <w:vAlign w:val="bottom"/>
          </w:tcPr>
          <w:p>
            <w:pPr>
              <w:spacing w:after="0"/>
              <w:rPr>
                <w:sz w:val="15"/>
                <w:szCs w:val="15"/>
                <w:color w:val="auto"/>
              </w:rPr>
            </w:pPr>
          </w:p>
        </w:tc>
        <w:tc>
          <w:tcPr>
            <w:tcW w:w="10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188"/>
        </w:trPr>
        <w:tc>
          <w:tcPr>
            <w:tcW w:w="4580" w:type="dxa"/>
            <w:vAlign w:val="bottom"/>
          </w:tcPr>
          <w:p>
            <w:pPr>
              <w:ind w:left="20"/>
              <w:spacing w:after="0" w:line="189" w:lineRule="exact"/>
              <w:rPr>
                <w:sz w:val="20"/>
                <w:szCs w:val="20"/>
                <w:color w:val="auto"/>
              </w:rPr>
            </w:pPr>
            <w:r>
              <w:rPr>
                <w:rFonts w:ascii="Arial" w:cs="Arial" w:eastAsia="Arial" w:hAnsi="Arial"/>
                <w:sz w:val="18"/>
                <w:szCs w:val="18"/>
                <w:color w:val="auto"/>
              </w:rPr>
              <w:t>Loss on debt extinguishment and</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4580" w:type="dxa"/>
            <w:vAlign w:val="bottom"/>
          </w:tcPr>
          <w:p>
            <w:pPr>
              <w:ind w:left="180"/>
              <w:spacing w:after="0"/>
              <w:rPr>
                <w:sz w:val="20"/>
                <w:szCs w:val="20"/>
                <w:color w:val="auto"/>
              </w:rPr>
            </w:pPr>
            <w:r>
              <w:rPr>
                <w:rFonts w:ascii="Arial" w:cs="Arial" w:eastAsia="Arial" w:hAnsi="Arial"/>
                <w:sz w:val="18"/>
                <w:szCs w:val="18"/>
                <w:color w:val="auto"/>
              </w:rPr>
              <w:t>related expenses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related to interest rate swaps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9"/>
              </w:rPr>
              <w:t>(15)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Other income includes amounts excluded from hedge effectiveness related to our net investment hedge derivative contracts that totaled $19 million and $58 million in the three and nine months ended September 30, 2021 and $28 million and $92 million for the three and nine months ended September 30, 2020.</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As of September 30, 2021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4540" w:type="dxa"/>
            <w:vAlign w:val="bottom"/>
          </w:tcPr>
          <w:p>
            <w:pPr>
              <w:spacing w:after="0"/>
              <w:rPr>
                <w:sz w:val="12"/>
                <w:szCs w:val="12"/>
                <w:color w:val="auto"/>
              </w:rPr>
            </w:pPr>
          </w:p>
        </w:tc>
        <w:tc>
          <w:tcPr>
            <w:tcW w:w="120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Liability</w:t>
            </w:r>
          </w:p>
        </w:tc>
      </w:tr>
      <w:tr>
        <w:trPr>
          <w:trHeight w:val="176"/>
        </w:trPr>
        <w:tc>
          <w:tcPr>
            <w:tcW w:w="45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183"/>
        </w:trPr>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156"/>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Equity method investment contracts</w:t>
            </w:r>
            <w:r>
              <w:rPr>
                <w:rFonts w:ascii="Arial" w:cs="Arial" w:eastAsia="Arial" w:hAnsi="Arial"/>
                <w:sz w:val="23"/>
                <w:szCs w:val="23"/>
                <w:color w:val="auto"/>
                <w:vertAlign w:val="superscript"/>
              </w:rPr>
              <w:t>(2)</w:t>
            </w:r>
          </w:p>
        </w:tc>
        <w:tc>
          <w:tcPr>
            <w:tcW w:w="1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680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1"/>
        </w:trPr>
        <w:tc>
          <w:tcPr>
            <w:tcW w:w="4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340" w:right="220" w:hanging="332"/>
        <w:spacing w:after="0" w:line="236"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 w:lineRule="exact"/>
        <w:rPr>
          <w:rFonts w:ascii="Arial" w:cs="Arial" w:eastAsia="Arial" w:hAnsi="Arial"/>
          <w:sz w:val="14"/>
          <w:szCs w:val="14"/>
          <w:color w:val="auto"/>
        </w:rPr>
      </w:pPr>
    </w:p>
    <w:p>
      <w:pPr>
        <w:ind w:left="340" w:right="340" w:hanging="332"/>
        <w:spacing w:after="0" w:line="239"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Equity method investment contracts consist of the bifurcated embedded derivative option that was a component of the September 20, 2021 €300 million exchangeable bonds issuance. Refer to Note 8, </w:t>
      </w:r>
      <w:r>
        <w:rPr>
          <w:rFonts w:ascii="Arial" w:cs="Arial" w:eastAsia="Arial" w:hAnsi="Arial"/>
          <w:sz w:val="14"/>
          <w:szCs w:val="14"/>
          <w:i w:val="1"/>
          <w:iCs w:val="1"/>
          <w:color w:val="auto"/>
        </w:rPr>
        <w:t>Debt and Borrowing Arrangements.</w:t>
      </w:r>
    </w:p>
    <w:p>
      <w:pPr>
        <w:spacing w:after="0" w:line="227"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commodity derivative and equity method investment contracts are economic hedges that are not designated as accounting hedges. We record derivative assets and liabilities on a gross basis on our condensed consolidated balance sheets. The fair value of our asset derivatives is recorded within other current assets and other assets and the fair value of our liability derivatives is recorded within other current liabilities and other liabilities.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 Value of Net</w:t>
            </w:r>
          </w:p>
        </w:tc>
        <w:tc>
          <w:tcPr>
            <w:tcW w:w="16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1"/>
                <w:szCs w:val="11"/>
                <w:color w:val="auto"/>
              </w:rPr>
            </w:pPr>
          </w:p>
        </w:tc>
        <w:tc>
          <w:tcPr>
            <w:tcW w:w="1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21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w:t>
      </w:r>
    </w:p>
    <w:p>
      <w:pPr>
        <w:spacing w:after="0" w:line="1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center"/>
              <w:ind w:left="113"/>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As of September 30, 2021</w:t>
            </w: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5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6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29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1,185</w:t>
            </w:r>
          </w:p>
        </w:tc>
        <w:tc>
          <w:tcPr>
            <w:tcW w:w="96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2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4,022</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8,573</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7,947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1,850</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2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3,914</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2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3,688</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30"/>
        </w:trPr>
        <w:tc>
          <w:tcPr>
            <w:tcW w:w="520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355</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2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1,116</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520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473</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864"/>
        </w:trPr>
        <w:tc>
          <w:tcPr>
            <w:tcW w:w="5200" w:type="dxa"/>
            <w:vAlign w:val="bottom"/>
          </w:tcPr>
          <w:p>
            <w:pPr>
              <w:spacing w:after="0"/>
              <w:rPr>
                <w:sz w:val="24"/>
                <w:szCs w:val="24"/>
                <w:color w:val="auto"/>
              </w:rPr>
            </w:pPr>
          </w:p>
        </w:tc>
        <w:tc>
          <w:tcPr>
            <w:tcW w:w="2240" w:type="dxa"/>
            <w:vAlign w:val="bottom"/>
          </w:tcPr>
          <w:p>
            <w:pPr>
              <w:jc w:val="right"/>
              <w:ind w:right="1630"/>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5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(161)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188"/>
        </w:trPr>
        <w:tc>
          <w:tcPr>
            <w:tcW w:w="5200" w:type="dxa"/>
            <w:vAlign w:val="bottom"/>
          </w:tcPr>
          <w:p>
            <w:pPr>
              <w:ind w:left="140"/>
              <w:spacing w:after="0" w:line="189" w:lineRule="exact"/>
              <w:rPr>
                <w:sz w:val="20"/>
                <w:szCs w:val="20"/>
                <w:color w:val="auto"/>
              </w:rPr>
            </w:pPr>
            <w:r>
              <w:rPr>
                <w:rFonts w:ascii="Arial" w:cs="Arial" w:eastAsia="Arial" w:hAnsi="Arial"/>
                <w:sz w:val="18"/>
                <w:szCs w:val="18"/>
                <w:color w:val="auto"/>
              </w:rPr>
              <w:t>Transfer of realized losses/(gains) in fair value</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5200" w:type="dxa"/>
            <w:vAlign w:val="bottom"/>
          </w:tcPr>
          <w:p>
            <w:pPr>
              <w:ind w:left="300"/>
              <w:spacing w:after="0"/>
              <w:rPr>
                <w:sz w:val="20"/>
                <w:szCs w:val="20"/>
                <w:color w:val="auto"/>
              </w:rPr>
            </w:pPr>
            <w:r>
              <w:rPr>
                <w:rFonts w:ascii="Arial" w:cs="Arial" w:eastAsia="Arial" w:hAnsi="Arial"/>
                <w:sz w:val="18"/>
                <w:szCs w:val="18"/>
                <w:color w:val="auto"/>
              </w:rPr>
              <w:t>to earnings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w w:val="99"/>
              </w:rPr>
              <w:t>(139)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(loss)/gain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(149)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1"/>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to net earnings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5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52</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bl>
    <w:p>
      <w:pPr>
        <w:spacing w:after="0" w:line="33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Within interest and other expense, net, due to changes in forecasted debt, we recognized losses related to forward-starting interest rate swaps of $79 million ($103 million pre-tax) in the first quarter of 2020 and in the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5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Currency exchange contracts –</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5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Based on current market conditions, we would expect to transfer losses of $35 million (net of taxes) for interest rate cash flow hedges to earnings during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 of September 30, 2021, our longest dated cash flow hedges were interest rate swaps that hedge forecasted interest rate payments over the next 4 years and 11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September 30, 2021 was $3.9 billion.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the net investment hedge derivative contracts on other comprehensive earnings and net earnings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0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5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3"/>
        </w:trPr>
        <w:tc>
          <w:tcPr>
            <w:tcW w:w="516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183"/>
        </w:trPr>
        <w:tc>
          <w:tcPr>
            <w:tcW w:w="5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329" w:lineRule="exact"/>
        <w:rPr>
          <w:sz w:val="20"/>
          <w:szCs w:val="20"/>
          <w:color w:val="auto"/>
        </w:rPr>
      </w:pPr>
    </w:p>
    <w:p>
      <w:pPr>
        <w:ind w:left="340" w:right="120" w:hanging="332"/>
        <w:spacing w:after="0" w:line="25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tcPr>
          <w:p>
            <w:pPr>
              <w:ind w:left="560"/>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8"/>
        </w:trPr>
        <w:tc>
          <w:tcPr>
            <w:tcW w:w="520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Amounts excluded from the assessment of</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227"/>
        </w:trPr>
        <w:tc>
          <w:tcPr>
            <w:tcW w:w="5200" w:type="dxa"/>
            <w:vAlign w:val="bottom"/>
            <w:shd w:val="clear" w:color="auto" w:fill="CCEEFF"/>
          </w:tcPr>
          <w:p>
            <w:pPr>
              <w:ind w:left="180"/>
              <w:spacing w:after="0" w:line="228"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34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gridSpan w:val="6"/>
          </w:tcPr>
          <w:p>
            <w:pPr>
              <w:jc w:val="center"/>
              <w:ind w:left="376"/>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425"/>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160</w:t>
            </w:r>
          </w:p>
        </w:tc>
        <w:tc>
          <w:tcPr>
            <w:tcW w:w="1000" w:type="dxa"/>
            <w:vAlign w:val="bottom"/>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42"/>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553"/>
        </w:trPr>
        <w:tc>
          <w:tcPr>
            <w:tcW w:w="318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00" w:type="dxa"/>
            <w:vAlign w:val="bottom"/>
            <w:gridSpan w:val="6"/>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180" w:type="dxa"/>
            <w:vAlign w:val="bottom"/>
          </w:tcPr>
          <w:p>
            <w:pPr>
              <w:spacing w:after="0"/>
              <w:rPr>
                <w:sz w:val="24"/>
                <w:szCs w:val="24"/>
                <w:color w:val="auto"/>
              </w:rPr>
            </w:pPr>
          </w:p>
        </w:tc>
        <w:tc>
          <w:tcPr>
            <w:tcW w:w="2920" w:type="dxa"/>
            <w:vAlign w:val="bottom"/>
            <w:gridSpan w:val="5"/>
          </w:tcPr>
          <w:p>
            <w:pPr>
              <w:jc w:val="right"/>
              <w:ind w:right="39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18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Intercompany loans and forecasted</w:t>
            </w:r>
          </w:p>
        </w:tc>
        <w:tc>
          <w:tcPr>
            <w:tcW w:w="920" w:type="dxa"/>
            <w:vAlign w:val="bottom"/>
            <w:vMerge w:val="restart"/>
          </w:tcPr>
          <w:p>
            <w:pPr>
              <w:jc w:val="right"/>
              <w:ind w:right="719"/>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5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60" w:type="dxa"/>
            <w:vAlign w:val="bottom"/>
            <w:vMerge w:val="restart"/>
          </w:tcPr>
          <w:p>
            <w:pPr>
              <w:jc w:val="right"/>
              <w:ind w:right="25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5"/>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rPr>
              <w:t>interest payments</w:t>
            </w:r>
          </w:p>
        </w:tc>
        <w:tc>
          <w:tcPr>
            <w:tcW w:w="9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net</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18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3"/>
                <w:szCs w:val="13"/>
                <w:color w:val="auto"/>
              </w:rPr>
            </w:pPr>
          </w:p>
        </w:tc>
        <w:tc>
          <w:tcPr>
            <w:tcW w:w="2020" w:type="dxa"/>
            <w:vAlign w:val="bottom"/>
            <w:gridSpan w:val="3"/>
          </w:tcPr>
          <w:p>
            <w:pPr>
              <w:jc w:val="center"/>
              <w:spacing w:after="0" w:line="153"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net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2020" w:type="dxa"/>
            <w:vAlign w:val="bottom"/>
            <w:gridSpan w:val="3"/>
            <w:shd w:val="clear" w:color="auto" w:fill="CCEEFF"/>
          </w:tcPr>
          <w:p>
            <w:pPr>
              <w:jc w:val="center"/>
              <w:spacing w:after="0" w:line="153"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71"/>
        </w:trPr>
        <w:tc>
          <w:tcPr>
            <w:tcW w:w="318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920" w:type="dxa"/>
            <w:vAlign w:val="bottom"/>
            <w:shd w:val="clear" w:color="auto" w:fill="CCEEFF"/>
          </w:tcPr>
          <w:p>
            <w:pPr>
              <w:spacing w:after="0"/>
              <w:rPr>
                <w:sz w:val="19"/>
                <w:szCs w:val="1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9"/>
                <w:szCs w:val="19"/>
                <w:color w:val="auto"/>
              </w:rPr>
            </w:pPr>
          </w:p>
        </w:tc>
        <w:tc>
          <w:tcPr>
            <w:tcW w:w="20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Gain on equity method</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contracts</w:t>
            </w: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0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investment transactions</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29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16"/>
                <w:szCs w:val="16"/>
                <w:color w:val="auto"/>
              </w:rPr>
            </w:pPr>
          </w:p>
        </w:tc>
      </w:tr>
      <w:tr>
        <w:trPr>
          <w:trHeight w:val="142"/>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419"/>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r>
      <w:tr>
        <w:trPr>
          <w:trHeight w:val="176"/>
        </w:trPr>
        <w:tc>
          <w:tcPr>
            <w:tcW w:w="5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r>
      <w:tr>
        <w:trPr>
          <w:trHeight w:val="183"/>
        </w:trPr>
        <w:tc>
          <w:tcPr>
            <w:tcW w:w="5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83"/>
        </w:trPr>
        <w:tc>
          <w:tcPr>
            <w:tcW w:w="5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Settlement losses and other expenses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cost/(benefit)</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5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r>
      <w:tr>
        <w:trPr>
          <w:trHeight w:val="142"/>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2" w:lineRule="exact"/>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419"/>
              <w:spacing w:after="0" w:line="142" w:lineRule="exact"/>
              <w:rPr>
                <w:sz w:val="20"/>
                <w:szCs w:val="20"/>
                <w:color w:val="auto"/>
              </w:rPr>
            </w:pPr>
            <w:r>
              <w:rPr>
                <w:rFonts w:ascii="Arial" w:cs="Arial" w:eastAsia="Arial" w:hAnsi="Arial"/>
                <w:sz w:val="14"/>
                <w:szCs w:val="14"/>
                <w:b w:val="1"/>
                <w:bCs w:val="1"/>
                <w:color w:val="auto"/>
              </w:rPr>
              <w:t>For the Nine Months Ended</w:t>
            </w:r>
          </w:p>
        </w:tc>
        <w:tc>
          <w:tcPr>
            <w:tcW w:w="480" w:type="dxa"/>
            <w:vAlign w:val="bottom"/>
          </w:tcPr>
          <w:p>
            <w:pPr>
              <w:spacing w:after="0"/>
              <w:rPr>
                <w:sz w:val="12"/>
                <w:szCs w:val="12"/>
                <w:color w:val="auto"/>
              </w:rPr>
            </w:pPr>
          </w:p>
        </w:tc>
      </w:tr>
      <w:tr>
        <w:trPr>
          <w:trHeight w:val="175"/>
        </w:trPr>
        <w:tc>
          <w:tcPr>
            <w:tcW w:w="5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r>
      <w:tr>
        <w:trPr>
          <w:trHeight w:val="183"/>
        </w:trPr>
        <w:tc>
          <w:tcPr>
            <w:tcW w:w="5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84"/>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cost/(benefit)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pension cost/(benefit)</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40" w:right="280" w:hanging="332"/>
        <w:spacing w:after="0" w:line="247"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third quarter of 2021, we terminated our Defined Benefit Pension Scheme in Nigeria. During the second quarter of 2021, we made a decision to freeze our Defined Benefit Pension Scheme in the United Kingdom. As a result, we recognized curtailment credits of $(3 million) for the three months and $(17 million) for the nine months ended September 30, 2021 recorded within benefit plan non-service income. In connection with the United Kingdom plan freeze, we also incurred incentive payment charges and other expenses of $2 million for the three months and $47 million for the nine months ended September 30, 2021 included in operating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nine months ended September 30, 2021, we contributed $7 million to our U.S. pension plans and $ 173 million to our non-U.S. pension plans, including $88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2021, over the remainder of 2021, we plan to make further contributions of approximately $1 million to our U.S. plans and approximately $55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$2 million and $8 million in the three and nine months ended September 30, 2021 and $3 million and $9 million in the three and nine months ended September 30, 2020 within interest and other expense, net. As of September 30, 2021, the remaining discounted withdrawal liability was $364 million, with $14 million recorded in other current liabilities and $350 million recorded in long-term other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cost/(benefit)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31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9"/>
              </w:rPr>
              <w:t>(in millions)</w:t>
            </w: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60" w:type="dxa"/>
            <w:vAlign w:val="bottom"/>
            <w:gridSpan w:val="3"/>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6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Net loss from experience differences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3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Net periodic postretirement health care cost/(benefit)</w:t>
            </w:r>
          </w:p>
        </w:tc>
        <w:tc>
          <w:tcPr>
            <w:tcW w:w="1260" w:type="dxa"/>
            <w:vAlign w:val="bottom"/>
            <w:gridSpan w:val="3"/>
          </w:tcPr>
          <w:p>
            <w:pPr>
              <w:jc w:val="right"/>
              <w:ind w:right="748"/>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6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9"/>
                <w:szCs w:val="19"/>
                <w:color w:val="auto"/>
              </w:rPr>
            </w:pPr>
          </w:p>
        </w:tc>
        <w:tc>
          <w:tcPr>
            <w:tcW w:w="840" w:type="dxa"/>
            <w:vAlign w:val="bottom"/>
          </w:tcPr>
          <w:p>
            <w:pPr>
              <w:jc w:val="right"/>
              <w:ind w:right="638"/>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80" w:type="dxa"/>
            <w:vAlign w:val="bottom"/>
            <w:gridSpan w:val="2"/>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31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9"/>
              </w:rPr>
              <w:t>(in millions)</w:t>
            </w: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60" w:type="dxa"/>
            <w:vAlign w:val="bottom"/>
            <w:gridSpan w:val="3"/>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6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Net periodic postemployment cost</w:t>
            </w:r>
          </w:p>
        </w:tc>
        <w:tc>
          <w:tcPr>
            <w:tcW w:w="1260" w:type="dxa"/>
            <w:vAlign w:val="bottom"/>
            <w:gridSpan w:val="3"/>
          </w:tcPr>
          <w:p>
            <w:pPr>
              <w:jc w:val="right"/>
              <w:ind w:right="748"/>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6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40" w:type="dxa"/>
            <w:vAlign w:val="bottom"/>
          </w:tcPr>
          <w:p>
            <w:pPr>
              <w:jc w:val="right"/>
              <w:ind w:right="638"/>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Stock Plans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gridSpan w:val="2"/>
          </w:tcPr>
          <w:p>
            <w:pPr>
              <w:spacing w:after="0"/>
              <w:rPr>
                <w:sz w:val="20"/>
                <w:szCs w:val="20"/>
                <w:color w:val="auto"/>
              </w:rPr>
            </w:pPr>
            <w:r>
              <w:rPr>
                <w:rFonts w:ascii="Arial" w:cs="Arial" w:eastAsia="Arial" w:hAnsi="Arial"/>
                <w:sz w:val="18"/>
                <w:szCs w:val="18"/>
                <w:color w:val="auto"/>
              </w:rPr>
              <w:t>Stock option activity is reflected below:</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22"/>
                <w:szCs w:val="2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rPr>
              <w:t>Exercise or</w:t>
            </w:r>
          </w:p>
        </w:tc>
        <w:tc>
          <w:tcPr>
            <w:tcW w:w="1600" w:type="dxa"/>
            <w:vAlign w:val="bottom"/>
            <w:gridSpan w:val="6"/>
          </w:tcPr>
          <w:p>
            <w:pPr>
              <w:jc w:val="center"/>
              <w:ind w:right="240"/>
              <w:spacing w:after="0" w:line="135" w:lineRule="exact"/>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rPr>
              <w:t>Grant Price</w:t>
            </w:r>
          </w:p>
        </w:tc>
        <w:tc>
          <w:tcPr>
            <w:tcW w:w="1600" w:type="dxa"/>
            <w:vAlign w:val="bottom"/>
            <w:gridSpan w:val="6"/>
          </w:tcPr>
          <w:p>
            <w:pPr>
              <w:jc w:val="center"/>
              <w:ind w:right="240"/>
              <w:spacing w:after="0" w:line="135" w:lineRule="exact"/>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27,751,894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8"/>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8"/>
              <w:spacing w:after="0" w:line="203" w:lineRule="exact"/>
              <w:rPr>
                <w:sz w:val="20"/>
                <w:szCs w:val="20"/>
                <w:color w:val="auto"/>
              </w:rPr>
            </w:pPr>
            <w:r>
              <w:rPr>
                <w:rFonts w:ascii="Arial" w:cs="Arial" w:eastAsia="Arial" w:hAnsi="Arial"/>
                <w:sz w:val="18"/>
                <w:szCs w:val="18"/>
                <w:color w:val="auto"/>
              </w:rPr>
              <w:t>2,412,710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56.13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2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154,400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options granted</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8"/>
                <w:szCs w:val="18"/>
                <w:color w:val="auto"/>
              </w:rPr>
              <w:t>2,567,110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(4,880,357)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20"/>
              <w:spacing w:after="0"/>
              <w:rPr>
                <w:sz w:val="20"/>
                <w:szCs w:val="20"/>
                <w:color w:val="auto"/>
              </w:rPr>
            </w:pPr>
            <w:r>
              <w:rPr>
                <w:rFonts w:ascii="Arial" w:cs="Arial" w:eastAsia="Arial" w:hAnsi="Arial"/>
                <w:sz w:val="18"/>
                <w:szCs w:val="18"/>
                <w:color w:val="auto"/>
              </w:rPr>
              <w:t>Options canceled</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(461,521)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24,977,126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42.06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6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40" w:right="140" w:hanging="332"/>
        <w:spacing w:after="0" w:line="249"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received from options exercised was $21 million in the three months and $161 million in the nine months ended September 30, 2021. The actual tax benefit realized and recorded in the provision for income taxes for the tax deductions from the option exercises totaled $2 million in the three months and $16 million in the nine months ended September 30, 2021.</w:t>
      </w:r>
    </w:p>
    <w:p>
      <w:pPr>
        <w:sectPr>
          <w:pgSz w:w="11900" w:h="16838" w:orient="portrait"/>
          <w:cols w:equalWidth="0" w:num="1">
            <w:col w:w="11240"/>
          </w:cols>
          <w:pgMar w:left="320" w:top="382" w:right="3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35" w:lineRule="exact"/>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ind w:left="221"/>
              <w:spacing w:after="0" w:line="135" w:lineRule="exact"/>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2"/>
              <w:spacing w:after="0"/>
              <w:rPr>
                <w:sz w:val="20"/>
                <w:szCs w:val="20"/>
                <w:color w:val="auto"/>
              </w:rPr>
            </w:pPr>
            <w:r>
              <w:rPr>
                <w:rFonts w:ascii="Arial" w:cs="Arial" w:eastAsia="Arial" w:hAnsi="Arial"/>
                <w:sz w:val="11"/>
                <w:szCs w:val="11"/>
                <w:b w:val="1"/>
                <w:bCs w:val="1"/>
                <w:color w:val="auto"/>
                <w:w w:val="88"/>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left="221"/>
              <w:spacing w:after="0" w:line="176" w:lineRule="exact"/>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20"/>
                <w:szCs w:val="20"/>
                <w:b w:val="1"/>
                <w:bCs w:val="1"/>
                <w:color w:val="auto"/>
                <w:w w:val="98"/>
                <w:vertAlign w:val="superscript"/>
              </w:rPr>
              <w:t>(3)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w w:val="98"/>
              </w:rPr>
              <w:t>$53.80</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6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8"/>
                <w:szCs w:val="18"/>
                <w:color w:val="auto"/>
                <w:w w:val="99"/>
              </w:rPr>
              <w:t>Feb 18, 2021</w:t>
            </w: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59.35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550,090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56.13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1,144,950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53.68</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2,598,290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56.17</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146</w:t>
            </w:r>
          </w:p>
        </w:tc>
        <w:tc>
          <w:tcPr>
            <w:tcW w:w="520" w:type="dxa"/>
            <w:vAlign w:val="bottom"/>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(2,372,833)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49.75</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(304,382)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35"/>
              <w:spacing w:after="0"/>
              <w:rPr>
                <w:sz w:val="20"/>
                <w:szCs w:val="20"/>
                <w:color w:val="auto"/>
              </w:rPr>
            </w:pPr>
            <w:r>
              <w:rPr>
                <w:rFonts w:ascii="Arial" w:cs="Arial" w:eastAsia="Arial" w:hAnsi="Arial"/>
                <w:sz w:val="18"/>
                <w:szCs w:val="18"/>
                <w:color w:val="auto"/>
              </w:rPr>
              <w:t>57.32</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4,818,065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rPr>
              <w:t>56.85</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less than $1 million in the three months and $6 million in the nine months ended September 30, 2021.</w:t>
      </w:r>
    </w:p>
    <w:p>
      <w:pPr>
        <w:ind w:left="340" w:right="40" w:hanging="332"/>
        <w:spacing w:after="0" w:line="247"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On December 2, 2020, our Board of Directors approved an increase of $4.0 billion in the share repurchase program, raising the authorization to $23.7 billion of Common Stock repurchases, and extended the program through December 31, 2023. Repurchases under the program are determined by management and are wholly discretionary. Prior to January 1, 2021, we had repurchased approximately $18.0 billion of Common Stock pursuant to this authorization. During the nine months ended September 30, 2021, we repurchased approximately 31 million shares of Common Stock at an average cost of $58.72 per share, or an aggregate cost of approximately $1.8 billion, all of which was paid during the period. All share repurchases were funded through available cash and commercial paper issuances. As of September 30, 2021, we have approximately $4.0 billion in remaining share repurchase capacity.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w:t>
      </w:r>
    </w:p>
    <w:p>
      <w:pPr>
        <w:spacing w:after="0" w:line="1" w:lineRule="exact"/>
        <w:rPr>
          <w:sz w:val="20"/>
          <w:szCs w:val="20"/>
          <w:color w:val="auto"/>
        </w:rPr>
      </w:pPr>
    </w:p>
    <w:p>
      <w:pPr>
        <w:ind w:firstLine="8"/>
        <w:spacing w:after="0" w:line="251"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w:t>
      </w:r>
      <w:r>
        <w:rPr>
          <w:rFonts w:ascii="Arial" w:cs="Arial" w:eastAsia="Arial" w:hAnsi="Arial"/>
          <w:sz w:val="18"/>
          <w:szCs w:val="18"/>
          <w:color w:val="212529"/>
        </w:rPr>
        <w:t>but indicated that it would rule on pending motions in due course</w:t>
      </w:r>
      <w:r>
        <w:rPr>
          <w:rFonts w:ascii="Arial" w:cs="Arial" w:eastAsia="Arial" w:hAnsi="Arial"/>
          <w:sz w:val="18"/>
          <w:szCs w:val="18"/>
          <w:color w:val="auto"/>
        </w:rPr>
        <w: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District Court. On January 3, 2020, the District Court granted plaintiffs'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and the class action. Although the CFTC action and the class action complaints involve the same alleged conduct, a resolution or decision with respect to one of the matters may not be dispositive as to the outcome of the other matter.</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On January 28, 2021, the European Commission announced it has taken the next procedural step in its investigation and opened formal proceedings. We are cooperating with the investigation and expect to continue to engage with the European Commission as its investigation proceeds. It is not possible to predict how long the investigation will take or the ultimate outcome of this matter.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September 30, 2021, we had no material third-party guarantees recorded on our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7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$(26) million in the third quarter of 2021 and $86 million in the third quarter of 2020 and $(63) million in the first nine months of 2021 and $252 million in the first nine months of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(8,627)</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(9,609)</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(8,655)</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(8,320)</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Reclassification to earnings related to:</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Equity method investment transactions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Tax (expense)/benefit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(9,404)</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(9,404)</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actuarial gain/(loss)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9"/>
        </w:trPr>
        <w:tc>
          <w:tcPr>
            <w:tcW w:w="52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18"/>
                <w:szCs w:val="18"/>
                <w:color w:val="auto"/>
                <w:vertAlign w:val="superscript"/>
              </w:rPr>
              <w:t>(1)</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Curtailment credit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2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Net derivative gains/(losses)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(1)(4)</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52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28"/>
        </w:trPr>
        <w:tc>
          <w:tcPr>
            <w:tcW w:w="52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Accumulated other comprehensive income</w:t>
            </w: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rPr>
                <w:sz w:val="20"/>
                <w:szCs w:val="20"/>
                <w:color w:val="auto"/>
              </w:rPr>
            </w:pPr>
            <w:r>
              <w:rPr>
                <w:rFonts w:ascii="Arial" w:cs="Arial" w:eastAsia="Arial" w:hAnsi="Arial"/>
                <w:sz w:val="14"/>
                <w:szCs w:val="14"/>
                <w:b w:val="1"/>
                <w:bCs w:val="1"/>
                <w:color w:val="auto"/>
              </w:rPr>
              <w:t>attributable to Mondelēz International:</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(10,254)</w:t>
            </w:r>
          </w:p>
        </w:tc>
        <w:tc>
          <w:tcPr>
            <w:tcW w:w="0" w:type="dxa"/>
            <w:vAlign w:val="bottom"/>
          </w:tcPr>
          <w:p>
            <w:pPr>
              <w:spacing w:after="0"/>
              <w:rPr>
                <w:sz w:val="1"/>
                <w:szCs w:val="1"/>
                <w:color w:val="auto"/>
              </w:rPr>
            </w:pPr>
          </w:p>
        </w:tc>
      </w:tr>
      <w:tr>
        <w:trPr>
          <w:trHeight w:val="189"/>
        </w:trPr>
        <w:tc>
          <w:tcPr>
            <w:tcW w:w="5200" w:type="dxa"/>
            <w:vAlign w:val="bottom"/>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(10,904)</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(11,255)</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amounts include equity method investment transactions recorded within gain on equity method investment transactions.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the third quarter of 2021, our estimated annual effective tax rate, which excludes discrete tax impacts, was 23.0%.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2021 third quarter effective tax rate of 27.4% was high due to a $59 million tax expense incurred in connection with the KDP share sale that occurred during the third quarter (the related gain is reported separately in our statement of earnings and thus not included in earnings before income taxes). Excluding this impact, our third quarter effective tax rate was 22.7%, including a discrete net tax expense of $11 million primarily driven by the change in liabilities for uncertain tax positions in several jurisdictions. Our effective tax rate for the nine months ended September 30, 2021 of 29.5% was also high due to the $187 million net tax expense incurred in connection with the KDP share sales during the second and third quarters. Excluding this impact, our effective tax rate for the nine months ended September 30, 2021 was 23.7%, which was unfavorably impacted by discrete net tax expense of $26 million, primarily driven by $95 million net tax expense from the increase of our deferred tax liabilities resulting from enacted tax legislation (mainly in the United Kingdom) partially offset by a $45 million net benefit from the release of liabilities for uncertain tax positions due to expirations of statutes of limitations and audit settlements in several jurisdictions and a $27 million benefit from a U.S. amended tax return filed to reflect new guidance from the U.S. Treasury Department.</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the third quarter of 2020, our estimated annual effective tax rate, which excluded discrete tax impacts, was 27.3%.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2020 third quarter effective tax rate of 36.1% was high due to a $77 million tax expense incurred in connection with two KDP share sales that occurred during the third quarter (the related gains are</w:t>
      </w:r>
    </w:p>
    <w:p>
      <w:pPr>
        <w:sectPr>
          <w:pgSz w:w="11900" w:h="16838" w:orient="portrait"/>
          <w:cols w:equalWidth="0" w:num="1">
            <w:col w:w="11240"/>
          </w:cols>
          <w:pgMar w:left="320" w:top="382" w:right="339" w:bottom="0" w:gutter="0" w:footer="0" w:header="0"/>
        </w:sectPr>
      </w:pPr>
    </w:p>
    <w:bookmarkStart w:id="29" w:name="page30"/>
    <w:bookmarkEnd w:id="29"/>
    <w:p>
      <w:pPr>
        <w:spacing w:after="0" w:line="251" w:lineRule="auto"/>
        <w:rPr>
          <w:sz w:val="20"/>
          <w:szCs w:val="20"/>
          <w:color w:val="auto"/>
        </w:rPr>
      </w:pPr>
      <w:r>
        <w:rPr>
          <w:rFonts w:ascii="Arial" w:cs="Arial" w:eastAsia="Arial" w:hAnsi="Arial"/>
          <w:sz w:val="18"/>
          <w:szCs w:val="18"/>
          <w:color w:val="auto"/>
        </w:rPr>
        <w:t>reported separately in our statement of earnings and thus not included in earnings before income taxes). Excluding this impact, our third quarter effective tax rate was 29.0%, reflecting a discrete net tax expense of $22 million. The discrete net tax expense primarily consisted of a $30 million net expense from the increase of our U.K. deferred tax liabilities resulting from tax legislation enacted during the third quarter that increased the corporate income tax rate in the United Kingdom, partially offset by a $7 million net benefit from the release of liabilities for uncertain tax positions due to expirations of statutes of limitations and audit settlements in several jurisdictions. Our effective tax rate for the nine months ended September 30, 2020 of 36.0% was also high due to the $355 million net tax expense incurred in connection with the JDE Peet's transaction and three KDP share sales (one in the first quarter and two in the third quarter) that occurred during 2020. Excluding these impacts, our effective tax rate for the nine months ended September 30, 2020 was 21.5%, which was favorably impacted by discrete net tax benefits of $ 96 million, primarily driven by the $70 million net benefit from the release of the China valuation allowance and a $31 million net benefit from the release of liabilities for uncertain tax positions due to expirations of statutes of limitations and audit settlements in several jurisdictions.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0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8"/>
        </w:trPr>
        <w:tc>
          <w:tcPr>
            <w:tcW w:w="534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Net earnings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1,258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for basic EPS</w:t>
            </w: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1,399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1,432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1,406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188"/>
        </w:trPr>
        <w:tc>
          <w:tcPr>
            <w:tcW w:w="5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Plus incremental shares from assumed conversions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1,408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40" w:type="dxa"/>
            <w:vAlign w:val="bottom"/>
            <w:vMerge w:val="continue"/>
          </w:tcPr>
          <w:p>
            <w:pPr>
              <w:spacing w:after="0"/>
              <w:rPr>
                <w:sz w:val="11"/>
                <w:szCs w:val="11"/>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1"/>
                <w:szCs w:val="11"/>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1"/>
                <w:szCs w:val="11"/>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5"/>
        </w:trPr>
        <w:tc>
          <w:tcPr>
            <w:tcW w:w="5340" w:type="dxa"/>
            <w:vAlign w:val="bottom"/>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2.7 million in the third quarter of 2021 and 2.8 million in the third quarter of 2020 and 3.0 million in the first nine months of 2021 and 3.6 million in the first nine months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gridSpan w:val="3"/>
          </w:tcPr>
          <w:p>
            <w:pPr>
              <w:ind w:left="60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2,714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7,248</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7,182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188"/>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7"/>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September 30, 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September 30,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Nine Months Ended September 30, 2021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Nine Months Ended September 30,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9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7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approximately 80 countries and sell our products in over 150 countries.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39"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As the COVID-19 global pandemic continues, our main priority continues to be the safety of our employees and helping maintain the global food supply. Together with our employees, customers, suppliers and other partners, we are working to emerge from the pandemic stronger.</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2020, we experienced a significant increase in demand and revenue growth in certain markets as consumers increased their food purchases for in-home consumption. Results were particularly strong in modern trade (such as large grocery supermarkets and retail chains), digital commerce and especially for categories such as biscuits. However, other parts of our business were negatively affected by mandated lockdowns and other related restrictions. This was especially so during the second quarter of 2020 for some of our emerging markets due to store closures, particularly in our Latin America region as well as parts of our AMEA region that have a greater concentration of traditional trade (such as small family-run stores), our world travel retail (such as international duty-free stores), and our foodservice businesses as well as in categories like gum and candy, which are more traditionally purchased and consumed out of home. The negative impacts experienced in the second quarter of 2020 began to subside in the second half of 2020, as demand grew in both developed and emerging markets and a number of our key markets returned to higher growth; however, our gum and candy, world travel retail and foodservice businesses as well as parts of our traditional trade business in parts of emerging markets continued to be negatively affected by the ongoing pandemic.</w:t>
      </w:r>
    </w:p>
    <w:p>
      <w:pPr>
        <w:spacing w:after="0" w:line="22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During the first nine months of 2021, we continued to see increased demand for most of our snack category products in both our emerging and developed markets relative to 2020; however, revenue from parts of our business were not yet back to pre-pandemic levels. In the third quarter of 2021, net revenue growth was 7.8% and Organic Net Revenue growth was 5.5%, compared to the third quarter of 2020 when we began to recover from some of the most significant negative impacts from the COVID-19 pandemic that adversely affected parts of our business. In the third quarter of 2021, while we experienced double-digit revenue growth in gum as well as significant growth in other areas such as foodservice and world travel retail, revenues in these businesses were not fully recovered to pre-pandemic levels. Our outlook for future snacks revenue growth remains strong, but as the pandemic continues, we anticipate some volatility in revenues until snacks consumption stabilizes to a more normal growth level and recent international supply chain issues and labor and transportation constraints subside.</w:t>
      </w:r>
    </w:p>
    <w:p>
      <w:pPr>
        <w:spacing w:after="0" w:line="2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tracking new developments, we continue to monitor ongoing impacts from the pandemic. Most disruptions we experienced in operations due to the pandemic have been temporary and not material to our consolidated results. In the third quarter of 2021, we experienced higher operating costs, including higher overall raw material, transportation, labor and fuel costs that we anticipate will continue into 2022. We discuss these and other ongoing impacts of COVID-19 below.</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have worked remotely whenever possible. For employees who were unable to work remotely, we adopted a number of heightened protocols, consistent with those prescribed by the World Health Organization, related to social distancing (including staggering lunchtimes and shifts where possible and restricting in-person gatherings and non-essential travel) and enhanced hygiene and workplace sanitation. We have worked with governments and healthcare providers to help provide access to vaccines for our frontline and office employees when and where possible at a local level. At a local level, we also provided additional flexibility and support to employees in our manufacturing facilities, distribution and logistics operations and sales organization. As our office-based employees begin to return to the workplace over coming months, we will follow enhanced safety protocols related to shared workspaces while also encouraging continued flexible and virtual work arrangements wherever possible.</w:t>
      </w:r>
    </w:p>
    <w:p>
      <w:pPr>
        <w:spacing w:after="0" w:line="3"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hired frontline employees in the U.S. and other locations to meet additional marketplace demand and promote uninterrupted functioning of our manufacturing, distribution and sales network. Labor markets, particularly in the U.S., U.K. as well as in other countries, have been tightening. While in the third quarter of 2021 we did not experience a significant increase in turnover relative to companies in other industries or within our industry, we recognize the significant demand for talent and are actively working to continue to safeguard, engage, attract and retain our employees.</w:t>
      </w:r>
    </w:p>
    <w:p>
      <w:pPr>
        <w:spacing w:after="0" w:line="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donated over $30 million to assist those impacted by COVID-19 and to support local and global organizations responding to food instability and providing emergency relief.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during the pandemic has been to maintain the availability of our products to meet the needs of our consumers. In response to increased demand, we increased production and until recently, we had not experienced significant disruptions in our supply chain or operations. During the third quarter of 2021, we experienced more supply chain disruptions and higher operating costs as noted below:</w:t>
      </w:r>
    </w:p>
    <w:p>
      <w:pPr>
        <w:spacing w:after="0" w:line="2" w:lineRule="exact"/>
        <w:rPr>
          <w:sz w:val="20"/>
          <w:szCs w:val="20"/>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onset of the pandemic in early 2020, we put in place procedures across our supply chain to help mitigate the risk that our manufacturing sites experience material closures or disruptions. Those procedures have been largely successful as we have not experienced material closures or disruptions. However, we have begun to see an increase in broader supply, transportation and labor disruptions resulting in generally higher operating costs in our business.</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third quarter of 2021, we experienced labor disruptions primarily in our North America region, including a strike that affected six of our U.S. manufacturing and sales distribution facilities for several weeks. We worked with our employees and union representatives to resolve the strike and enter into a new collective bargaining agreement at these facilities. We also experienced labor-related disruptions in our network of third-party logistics and external manufacturing and we anticipate some of the labor shortage-related issues may continue into 2022. Throughout the pandemic, mandatory or voluntary stay-at-home restrictions in many countries where we operate resulted in increased levels of absenteeism, but generally there have not been material disruptions in our workforce or to the delivery of our snacks, food and beverages to consumers. As a result of incremental pandemic-related expenditures and labor disruptions, we incurred and expect to incur higher labor costs, particularly as the pandemic continues.</w:t>
      </w:r>
    </w:p>
    <w:p>
      <w:pPr>
        <w:spacing w:after="0" w:line="1"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 to source raw ingredients, packaging, energy and transportation and deliver our products to our customers. Costs for resources, particularly commodity and transportation costs, have continued to increase. External factors, including the pandemic, adverse weather conditions, supply chain disruptions, and transportation and labor shortages, have impacted and may continue to impact our operating costs. Although we monitor these costs and our exposure to commodity prices and hedge against input price increases, we cannot fully hedge against all cost increases and changes in costs, and our hedging strategies may not protect us from increases in specific raw materials or other costs. We also may not be able to adjust pricing timely or fully, and this may negatively affect our revenue, margins or earnings. We anticipate some of the supply, transportation and labor constraints and higher cost trends we experienced in the third quarter of 2021 will continue in the fourth quarter and into 2022.</w:t>
      </w:r>
    </w:p>
    <w:p>
      <w:pPr>
        <w:spacing w:after="0" w:line="3"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ongoing COVID-19 pandemic and related economic effects may disrupt our global supply chain, operations and routes to market or those of our suppliers, their suppliers, our co-manufacturers, distributors or other business partners. These disruptions or our failure to effectively respond to them could further increase product or distribution costs and prices and continue to negatively affect operations and results.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hanging="328"/>
        <w:spacing w:after="0" w:line="2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pandemic, we have incurred higher operating costs primarily for labor, customer service and logistics, security, personal protective equipment and cleaning. While we have not had long-term severe supply chain disruptions, we do not know whether or how our supply chain or operations may be negatively affected as the pandemic continues. It is possible that disruptions could increase during the fourth quarter of 2021 as demand for goods, transportation and labor increases. We intend to continue to execute on our strategic operating plans as the situation evolves. Disruptions, higher operating costs or uncertainties like those noted above could result in delays or modifications to our plans and initiatives.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prior to and during the pandemic, strengthened our ability to operate during the pandemic:</w:t>
      </w:r>
    </w:p>
    <w:p>
      <w:pPr>
        <w:spacing w:after="0" w:line="1" w:lineRule="exact"/>
        <w:rPr>
          <w:sz w:val="20"/>
          <w:szCs w:val="20"/>
          <w:color w:val="auto"/>
        </w:rPr>
      </w:pPr>
    </w:p>
    <w:p>
      <w:pPr>
        <w:jc w:val="both"/>
        <w:ind w:left="660" w:right="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both 2020 and 2019, we generated $4.0 billion of cash from operations, or approximately $3 billion each year after deducting capital expenditures. In the first nine months of 2021, we generated $2.7 billion of cash from operations, or approximately $2.1 billion after deducting capital expenditures.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 2021, within cash provided by other investing activities, we received approximately $1.5 billion of cash proceeds from the sale of KDP shares. During 2020, we received $185 million of cash proceeds from our participation in the KDP secondary offering during the first quarter of 2020 and $1.9 billion from subsequent KDP share sales over the third and fourth quarters of 2020. During the second quarter of 2020, we also received €350 million ($394 million) from our participation in the JDE Peet's public share offerings. (Refer to our Annual Report on Form 10-K for the year ended December 31, 2020 and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w:t>
      </w:r>
    </w:p>
    <w:p>
      <w:pPr>
        <w:spacing w:after="0" w:line="2"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As of September 30, 2021, we had $3.4 billion, and as of December 31, 2020, we had $3.6 billion, of cash and cash equivalents on hand. We expect to pay approximately €1.7 billion ($2.0 billion) in cash for our upcoming acquisition of Chipita, which we expect will close in the first half of 2022. Based on our current available cash and access to financing markets, we do not anticipate any issue funding the Chipita acquisition or other obligations, including our next long-term debt maturities of approximately $0.3 billion in December 2021, $1.2 billion in July 2022 and $0.5 billion in September 2022.</w:t>
      </w:r>
    </w:p>
    <w:p>
      <w:pPr>
        <w:spacing w:after="0" w:line="1" w:lineRule="exact"/>
        <w:rPr>
          <w:rFonts w:ascii="Arial" w:cs="Arial" w:eastAsia="Arial" w:hAnsi="Arial"/>
          <w:sz w:val="18"/>
          <w:szCs w:val="18"/>
          <w:i w:val="1"/>
          <w:iCs w:val="1"/>
          <w:color w:val="auto"/>
        </w:rPr>
      </w:pPr>
    </w:p>
    <w:p>
      <w:pPr>
        <w:ind w:left="66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We also have access to short-term and long-term financing markets and actively utilized these markets in 2020 and 2021. We continue to utilize the commercial paper markets in the United States and Europe for flexible, low-cost, short-term financing. We have issued additional long-term debt several times since the beginning of 2020 due to favorable market conditions and opportunities to shift a portion of our funding mix from short-term to long-term debt at a low cost. We renewed one of our credit facilities during the first quarter of 2021 and now have $7.0 billion of undrawn credit facilities as well as other forms of short-term and long-term financing options available. As of September 30, 2021, we were, and we expect to continue to be, in compliance with our debt covenants (refer to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 and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7" w:lineRule="exact"/>
        <w:rPr>
          <w:sz w:val="20"/>
          <w:szCs w:val="20"/>
          <w:color w:val="auto"/>
        </w:rPr>
      </w:pPr>
    </w:p>
    <w:p>
      <w:pPr>
        <w:ind w:left="660" w:right="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 to evaluate the realizability of our assets and indicators of potential impairment. We reviewed our receivables, inventory, right-of-use lease assets, long-lived assets, equity method and other long-term investments, deferred tax assets, goodwill and intangible assets.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During the third quarter of 2021, we completed our annual impairment testing of goodwill and intangible assets and noted no impairments. Over the course of the ongoing pandemic, we have identified declines in demand for certain of our brands, primarily in the gum category, that prompted additional evaluation of our indefinite-life intangible assets. During the second quarter of 2021, we concluded that one small biscuit brand was impaired and we recorded a $32 million impairment charge. During the second and third quarters of 2020, we concluded that eight brands were impaired and we recorded $144 million of impairment charges in 2020, including $90 million in the second quarter of 2020 and $54 million in the third quarter of 2020. While we did not identify impairment triggers for other brands, there continues to be significant uncertainty due to the pandemic. If brand earnings expectations are not met or specific valuation factors outside of our control, such as discount rates, change significantly, then a brand or brands could become impaired in the future. Refer to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details on our goodwill and intangible asset impairment evaluation.</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and implementation activities continued to be in line with our Simplify to Grow Program strategic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equity investments in JDE Peet's and KDP give us additional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 to monitor the quality of our assets and our overall financial position.</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also continue to maintain oversight over our core process controls through our centralized shared service model, with key controls operating as designed.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this point in the pandemic, while we have seen some improvements in business and economic conditions across many markets in which we do business, additional adverse impacts could arise such as those noted above and some that we cannot currently anticipate. Barring material business disruptions or other negative developments, we expect to continue to meet the demand of consumers for our snacks, food and beverage products. Our outlook for future snacks revenue growth remains strong, but as the pandemic continues, we anticipate some volatility in revenues until snacks consumption stabilizes to a more normal growth level and current international supply chain and related issues subside. Also, different markets and parts of our business may also recover from the COVID-19 pandemic at different rates depending on many factors including vaccination levels or new COVID-19 variants and related outbreaks. As we continue to proactively manage our business in response to the evolving impacts of the pandemic, we will continue to prioritize and support our employees and customers; monitor and take steps to further safeguard our supply chain, operations, technology and assets; protect our liquidity and financial position; work toward our strategic priorities and monitor our financial performance. We seek to position the Company to withstand the current uncertainties related to this pandemic and to emerge stronger.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KDP and JDE Peet's Equity Method Investment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KDP</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to 6.4%. We received $997 million of proceeds and recorded a pre-tax gain of $520 million (or $392 million after-tax) during the second quarter of 2021. On August 2, 2021, we sold approximately 14.7 million KDP shares, which reduced our ownership interest to 5.3%. We received $500 million of proceeds and recorded a pre-tax gain of $248 million (or $189 million after-tax) during the third quarter of 2021. The cash taxes associated with the KDP share sales are expected to be paid in 2021.</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We received $185 million of proceeds and recorded a pre-tax gain of $71 million (or $54 million after-tax) during the first quarter of 2020. Subsequently, on August 3, 2020, we sold approximately 14.1 million shares and on September 9, 2020, we sold approximately 12.5 million shares, which in the aggregate reduced our KDP ownership interest to 11.2%. During the third quarter of 2020, we received $777 million of proceeds and recorded pre-tax gains of $335 million (or $258 million after-tax). On November 17, 2020, we also sold approximately 40.0 million shares, which reduced our ownership interest by 2.8% to 8.4%. We received $1,132 million of proceeds and recorded a pretax gain of $459 million (or $350 million after tax) during the fourth quarter of 2020. The cash taxes associated with the KDP share sales were paid in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second quarter of 2020, in connection with the JDE Peet's offering of its ordinary shares, we exchanged our 26.4% ownership interest in JDE for a 26.5% equity interest in JDE Peet’s. On May 29, 2020, we participated in the JDE Peet's offering and, with the subsequent exercise of the over-allotment option, we sold a total of approximately 11.1 million shares during the second quarter of 2020. We received €350 million ($394 million) of total proceeds from the sales of JDE Peet's shares and we recorded a preliminary pre-tax gain of $121 million during the second quarter of 2020. We also incurred a $261 million tax expense. During the third quarter of 2020, we increased our preliminary gain by $10 million to $131 million. During the fourth quarter of 2020, we reduced our tax expense by $11 million to $250 million and the associated cash tax will be paid by the end of 2021.</w:t>
      </w:r>
    </w:p>
    <w:p>
      <w:pPr>
        <w:spacing w:after="0" w:line="21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Refer to our Annual Report on Form 10-K for the year ended December 31, 2020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and Note 6,</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within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74" w:lineRule="exact"/>
        <w:rPr>
          <w:sz w:val="20"/>
          <w:szCs w:val="20"/>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revenues increased 7.8% to $7.2 billion in the third quarter of 2021 and increased 9.2% to $21.1 billion in the first nine months of 2021 as compared to the same period in the prior year. Our net revenue growth in the third quarter and first nine months of 2021 continued to reflect increased demand for most of our snack category products in both our emerging and developed markets relative to 2020, though some markets are not yet back to pre-pandemic levels. In developed markets, increased food purchases for in-home consumption continued to drive net revenue growth, though some markets declined as they lapped the prior-year period's strong volume growth resulting from increased consumer demand due to the pandemic. In emerging markets, we lapped the negative initial impacts we experienced from the pandemic last year, with strong revenue growth in the third quarter of 2021 across most of our key markets, though some markets were still challenged. In addition, our out-of-home consumption businesses, which experienced significant negative impacts from the pandemic in the prior-year periods, continued to recover, particularly our gum and candy, foodservice and world travel retail businesses.</w:t>
      </w:r>
    </w:p>
    <w:p>
      <w:pPr>
        <w:spacing w:after="0" w:line="3" w:lineRule="exact"/>
        <w:rPr>
          <w:rFonts w:ascii="Arial" w:cs="Arial" w:eastAsia="Arial" w:hAnsi="Arial"/>
          <w:sz w:val="18"/>
          <w:szCs w:val="18"/>
          <w:color w:val="auto"/>
        </w:rPr>
      </w:pPr>
    </w:p>
    <w:p>
      <w:pPr>
        <w:ind w:left="1300" w:right="500" w:hanging="324"/>
        <w:spacing w:after="0" w:line="250" w:lineRule="auto"/>
        <w:rPr>
          <w:rFonts w:ascii="Arial" w:cs="Arial" w:eastAsia="Arial" w:hAnsi="Arial"/>
          <w:sz w:val="18"/>
          <w:szCs w:val="18"/>
          <w:color w:val="auto"/>
        </w:rPr>
      </w:pPr>
      <w:r>
        <w:rPr>
          <w:rFonts w:ascii="Arial" w:cs="Arial" w:eastAsia="Arial" w:hAnsi="Arial"/>
          <w:sz w:val="18"/>
          <w:szCs w:val="18"/>
          <w:color w:val="auto"/>
        </w:rPr>
        <w:t>– Net revenue increased in the third quarter of 2021 driven by higher net pricing, favorable volume/mix, favorable foreign currency translation and incremental net revenues from our acquisitions.</w:t>
      </w:r>
    </w:p>
    <w:p>
      <w:pPr>
        <w:ind w:left="1300" w:right="20" w:hanging="324"/>
        <w:spacing w:after="0" w:line="250" w:lineRule="auto"/>
        <w:rPr>
          <w:rFonts w:ascii="Arial" w:cs="Arial" w:eastAsia="Arial" w:hAnsi="Arial"/>
          <w:sz w:val="18"/>
          <w:szCs w:val="18"/>
          <w:color w:val="auto"/>
        </w:rPr>
      </w:pPr>
      <w:r>
        <w:rPr>
          <w:rFonts w:ascii="Arial" w:cs="Arial" w:eastAsia="Arial" w:hAnsi="Arial"/>
          <w:sz w:val="18"/>
          <w:szCs w:val="18"/>
          <w:color w:val="auto"/>
        </w:rPr>
        <w:t>– Net revenue increased in the first nine months of 2021 driven by favorable currency translation, favorable volume/mix, higher net pricing and incremental net revenues from our acquisitions.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below for additional information.</w:t>
      </w:r>
    </w:p>
    <w:p>
      <w:pPr>
        <w:spacing w:after="0" w:line="252" w:lineRule="exact"/>
        <w:rPr>
          <w:sz w:val="20"/>
          <w:szCs w:val="20"/>
          <w:color w:val="auto"/>
        </w:rPr>
      </w:pPr>
    </w:p>
    <w:p>
      <w:pPr>
        <w:ind w:left="660" w:right="20" w:hanging="328"/>
        <w:spacing w:after="0" w:line="25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5.5% to $7.0 billion in the third quarter of 2021 and increased 5.1% to $20.3 billion in the first nine months of 2021 as compared to same period in the prior year. Organic Net Revenue increased in the third quarter of 2021 due to higher net pricing and favorable volume/mix. Organic net revenue increased in the first nine months of 2021 due to favorable volume/mix and higher net pricing.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below for additional information.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32"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14.1% to $0.89 in the third quarter of 2021 and increased 40.4% to $2.33 in the first nine months of 2021 as compared to the same period in the prior year.</w:t>
      </w:r>
    </w:p>
    <w:p>
      <w:pPr>
        <w:ind w:left="1300" w:right="300" w:hanging="324"/>
        <w:spacing w:after="0" w:line="250" w:lineRule="auto"/>
        <w:rPr>
          <w:rFonts w:ascii="Arial" w:cs="Arial" w:eastAsia="Arial" w:hAnsi="Arial"/>
          <w:sz w:val="18"/>
          <w:szCs w:val="18"/>
          <w:color w:val="auto"/>
        </w:rPr>
      </w:pPr>
      <w:r>
        <w:rPr>
          <w:rFonts w:ascii="Arial" w:cs="Arial" w:eastAsia="Arial" w:hAnsi="Arial"/>
          <w:sz w:val="18"/>
          <w:szCs w:val="18"/>
          <w:color w:val="auto"/>
        </w:rPr>
        <w:t>– Diluted EPS increased in the third quarter of 2021, primarily driven by an increase in Adjusted EPS, a net benefit from acquisition integration costs and contingent consideration adjustments, lapping prior-year intangible asset impairment charges, lower equity method investee items and lapping prior-year initial impacts from enacted tax law changes. These factors were partially offset by a lower gain on equity method investment transactions and lapping prior-year net earnings from divestitures.</w:t>
      </w:r>
    </w:p>
    <w:p>
      <w:pPr>
        <w:spacing w:after="0" w:line="1" w:lineRule="exact"/>
        <w:rPr>
          <w:rFonts w:ascii="Arial" w:cs="Arial" w:eastAsia="Arial" w:hAnsi="Arial"/>
          <w:sz w:val="18"/>
          <w:szCs w:val="18"/>
          <w:color w:val="auto"/>
        </w:rPr>
      </w:pPr>
    </w:p>
    <w:p>
      <w:pPr>
        <w:ind w:left="1300" w:right="40" w:hanging="324"/>
        <w:spacing w:after="0" w:line="252" w:lineRule="auto"/>
        <w:rPr>
          <w:rFonts w:ascii="Arial" w:cs="Arial" w:eastAsia="Arial" w:hAnsi="Arial"/>
          <w:sz w:val="18"/>
          <w:szCs w:val="18"/>
          <w:color w:val="auto"/>
        </w:rPr>
      </w:pPr>
      <w:r>
        <w:rPr>
          <w:rFonts w:ascii="Arial" w:cs="Arial" w:eastAsia="Arial" w:hAnsi="Arial"/>
          <w:sz w:val="18"/>
          <w:szCs w:val="18"/>
          <w:color w:val="auto"/>
        </w:rPr>
        <w:t>– Diluted EPS increased during the first nine months of 2021, primarily driven by an increase in Adjusted EPS, lapping prior-year costs associated with the JDE Peet's transaction, favorable year-over-year mark-to-market impacts from currency and commodity derivatives, a higher gain on equity method investment transactions, lower intangible asset impairment charges, lapping the prior-year loss on interest rate swaps, and a net benefit from acquisition integration costs and contingent consideration adjustments. These factors were partially offset by a loss on debt extinguishment and related expenses as we refinanced to lower-cost long-term debt in the first quarter of 2021, higher Simplify to Grow program costs, unfavorable initial impacts from enacted tax law changes and lapping higher prior-year net earnings from divestitures.</w:t>
      </w:r>
    </w:p>
    <w:p>
      <w:pPr>
        <w:spacing w:after="0" w:line="23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EPS, a non-GAAP financial measure, increased 10.9% to $0.71 in the third quarter of 2021 and increased 13.6% to $2.17 in the first nine months of 2021 as compared to the same period in the prior year. On a constant currency basis, Adjusted EPS increased 9.4% to $0.70 in the third quarter of 2021 and increased 8.9% to $2.08 in the first nine months of 2021 as compared to the same periods in the prior year.</w:t>
      </w:r>
    </w:p>
    <w:p>
      <w:pPr>
        <w:spacing w:after="0" w:line="1" w:lineRule="exact"/>
        <w:rPr>
          <w:rFonts w:ascii="Arial" w:cs="Arial" w:eastAsia="Arial" w:hAnsi="Arial"/>
          <w:sz w:val="18"/>
          <w:szCs w:val="18"/>
          <w:color w:val="auto"/>
        </w:rPr>
      </w:pPr>
    </w:p>
    <w:p>
      <w:pPr>
        <w:ind w:left="1300" w:right="40" w:hanging="324"/>
        <w:spacing w:after="0" w:line="250" w:lineRule="auto"/>
        <w:rPr>
          <w:rFonts w:ascii="Arial" w:cs="Arial" w:eastAsia="Arial" w:hAnsi="Arial"/>
          <w:sz w:val="18"/>
          <w:szCs w:val="18"/>
          <w:color w:val="auto"/>
        </w:rPr>
      </w:pPr>
      <w:r>
        <w:rPr>
          <w:rFonts w:ascii="Arial" w:cs="Arial" w:eastAsia="Arial" w:hAnsi="Arial"/>
          <w:sz w:val="18"/>
          <w:szCs w:val="18"/>
          <w:color w:val="auto"/>
        </w:rPr>
        <w:t>– Adjusted EPS increased in the third quarter of 2021 driven by operating activities, fewer shares outstanding, lower taxes and favorable currency translation.</w:t>
      </w:r>
    </w:p>
    <w:p>
      <w:pPr>
        <w:ind w:left="1300" w:right="160" w:hanging="324"/>
        <w:spacing w:after="0" w:line="256" w:lineRule="auto"/>
        <w:rPr>
          <w:rFonts w:ascii="Arial" w:cs="Arial" w:eastAsia="Arial" w:hAnsi="Arial"/>
          <w:sz w:val="18"/>
          <w:szCs w:val="18"/>
          <w:color w:val="auto"/>
        </w:rPr>
      </w:pPr>
      <w:r>
        <w:rPr>
          <w:rFonts w:ascii="Arial" w:cs="Arial" w:eastAsia="Arial" w:hAnsi="Arial"/>
          <w:sz w:val="18"/>
          <w:szCs w:val="18"/>
          <w:color w:val="auto"/>
        </w:rPr>
        <w:t>– Adjusted EPS increased in the first nine months of 2021 driven by operating activities, favorable currency translation, fewer shares outstanding, lower interest expense and higher equity method investment earnings, partially offset by higher taxes primarily due to a lower net benefit from non-recurring discrete tax items.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140"/>
        <w:spacing w:after="0" w:line="256"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3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2020 and discussed in the footnotes to our financial statements.</w:t>
      </w:r>
    </w:p>
    <w:p>
      <w:pPr>
        <w:spacing w:after="0" w:line="1" w:lineRule="exact"/>
        <w:rPr>
          <w:sz w:val="20"/>
          <w:szCs w:val="20"/>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grew in the first nine months of 2021 due to ongoing increased consumer demand for snacks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purchases during the COVID-19 pandemic. As further discussed below, including in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and in Item 3, </w:t>
      </w:r>
      <w:r>
        <w:rPr>
          <w:rFonts w:ascii="Arial" w:cs="Arial" w:eastAsia="Arial" w:hAnsi="Arial"/>
          <w:sz w:val="18"/>
          <w:szCs w:val="18"/>
          <w:i w:val="1"/>
          <w:iCs w:val="1"/>
          <w:color w:val="auto"/>
        </w:rPr>
        <w:t>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and Qualitative Disclosures about Market Risk</w:t>
      </w:r>
      <w:r>
        <w:rPr>
          <w:rFonts w:ascii="Arial" w:cs="Arial" w:eastAsia="Arial" w:hAnsi="Arial"/>
          <w:sz w:val="18"/>
          <w:szCs w:val="18"/>
          <w:color w:val="auto"/>
        </w:rPr>
        <w:t>, we continue to monitor volatility in global consumer, commodity, transportation, labor,</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and capital markets that may continue until the COVID-19 pandemic or related issues are largely resolved. We expect input cost volatility and a higher aggregate cost environment to continue for the remainder of 2021 and into 2022 as we manage through the pandemic, the related recovery, labor shortages, inflation, supply chain disruptions (availability of raw materials, packaging, transportation and energy, among others) as well as adverse weather factors.</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8"/>
          <w:szCs w:val="18"/>
          <w:i w:val="1"/>
          <w:iCs w:val="1"/>
          <w:color w:val="auto"/>
        </w:rPr>
        <w:t>COVID-19</w:t>
      </w:r>
      <w:r>
        <w:rPr>
          <w:rFonts w:ascii="Arial" w:cs="Arial" w:eastAsia="Arial" w:hAnsi="Arial"/>
          <w:sz w:val="18"/>
          <w:szCs w:val="18"/>
          <w:color w:val="auto"/>
        </w:rPr>
        <w:t>. As described above, we continue to monitor and respond to the COVID-19 pandemic. While its impact is not yet fully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known, it has had a material negative effect on the global and local economies and could have a material negative effect on our business and results in the future, particularly if there are significant adverse changes to consumer demand or significant ongoing disruptions to the supply, production or distribution of our products or the credit or financial stability of our customers and other business partners. While we have seen some improvements in overall economic conditions and the business climate in many markets where we sell and operate, COVID-19 variants and spikes in infections continue across a number of markets. If a significant economic or credit deterioration occurs, it could impair credit availability and our ability to raise capital when needed. A significant disruption in the financial markets may also have a negative effect on our derivative counterparties and could impair our banking or other business partners, on whom we rely for access to capital and as counterparties for a number of our derivative contracts. As we continue to manage operations during the pandemic, we may continue to incur increased labor, customer service, commodity, transportation and other costs. We could see shifts in consumer demand and product mix that could have a negative impact on results. As discussed in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we are working to mitigate negative impacts to our business from the COVID-19 pandemic, but we may not be able to fully predict or respond to all impacts on a timely basis to prevent adverse impacts to our results. Any of these and other developments could materially harm our business, results of operations and financial condition. We will continue to prioritize the safety of our employees and consumers.</w:t>
      </w:r>
    </w:p>
    <w:p>
      <w:pPr>
        <w:spacing w:after="0" w:line="6" w:lineRule="exact"/>
        <w:rPr>
          <w:rFonts w:ascii="Arial" w:cs="Arial" w:eastAsia="Arial" w:hAnsi="Arial"/>
          <w:sz w:val="16"/>
          <w:szCs w:val="16"/>
          <w:color w:val="auto"/>
        </w:rPr>
      </w:pPr>
    </w:p>
    <w:p>
      <w:pPr>
        <w:ind w:left="660" w:right="80" w:hanging="328"/>
        <w:spacing w:after="0" w:line="250" w:lineRule="auto"/>
        <w:tabs>
          <w:tab w:leader="none" w:pos="621" w:val="left"/>
        </w:tabs>
        <w:numPr>
          <w:ilvl w:val="0"/>
          <w:numId w:val="22"/>
        </w:numPr>
        <w:rPr>
          <w:rFonts w:ascii="Arial" w:cs="Arial" w:eastAsia="Arial" w:hAnsi="Arial"/>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Following the separation of the United Kingdom from the European Union in 2020, a new trade arrangement was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U.K. and E.U. that began on January 1, 2021. The main trade provisions include the continuation of no tariffs or quotas on trade between the U.K. and E.U. subject to prescribed trade terms, including but not limited to meeting product and labeling standards for both the U.K. and E.U. Cross-border trade between the U.K. and E.U. is also subject to new customs regulations, documentation and reviews. Our supply chain in this market relies on imports of raw and packaging materials as well as finished goods. To comply with the new requirements, we increased resources in customer service and logistics, in our factories, and on our customs support teams. We adapted our processes and systems for the new and increased number of customs transactions. We continue to closely</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80"/>
        <w:spacing w:after="0" w:line="250" w:lineRule="auto"/>
        <w:rPr>
          <w:sz w:val="20"/>
          <w:szCs w:val="20"/>
          <w:color w:val="auto"/>
        </w:rPr>
      </w:pPr>
      <w:r>
        <w:rPr>
          <w:rFonts w:ascii="Arial" w:cs="Arial" w:eastAsia="Arial" w:hAnsi="Arial"/>
          <w:sz w:val="18"/>
          <w:szCs w:val="18"/>
          <w:color w:val="auto"/>
        </w:rPr>
        <w:t>monitor and manage our inventory levels of imported raw materials, packaging and finished goods in the U.K. We have made investments in resources, systems and processes to meet the new ongoing requirements and we work to mitigate disruptions to our local supply chain and distribution, including those related to the recent transportation labor shortage in the U.K., to reduce the impact on our input and distribution costs. Despite our efforts to control costs, we have seen inflationary cost pressures rise in our U.K. business this year, as we have also experienced in other markets. If the U.K.’s separation from, or new trade arrangements with, the E.U. negatively impact the U.K. economy or result in disagreements on trade terms, delays affecting our supply chain or distribution, disruptions to sales or collections, or further increases in inflationary cost pressures, the impact to our results of operations, financial condition and cash flows could be material. In the nine months ended September 30, 2021, we generated 9.1% of our consolidated net revenues in the U.K.</w:t>
      </w:r>
    </w:p>
    <w:p>
      <w:pPr>
        <w:spacing w:after="0" w:line="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Chipita Acquisition. </w:t>
      </w:r>
      <w:r>
        <w:rPr>
          <w:rFonts w:ascii="Arial" w:cs="Arial" w:eastAsia="Arial" w:hAnsi="Arial"/>
          <w:sz w:val="18"/>
          <w:szCs w:val="18"/>
          <w:color w:val="auto"/>
        </w:rPr>
        <w:t>We expect our acquisition of Chipita S.A. to close in the first half of 2022 and to pay approximately €1.7</w:t>
      </w:r>
    </w:p>
    <w:p>
      <w:pPr>
        <w:spacing w:after="0" w:line="9" w:lineRule="exact"/>
        <w:rPr>
          <w:rFonts w:ascii="Arial" w:cs="Arial" w:eastAsia="Arial" w:hAnsi="Arial"/>
          <w:sz w:val="18"/>
          <w:szCs w:val="18"/>
          <w:i w:val="1"/>
          <w:iCs w:val="1"/>
          <w:color w:val="auto"/>
        </w:rPr>
      </w:pPr>
    </w:p>
    <w:p>
      <w:pPr>
        <w:ind w:left="660" w:right="180"/>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 xml:space="preserve">billion ($2.0 billion) in cash for the business.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details.</w:t>
      </w:r>
    </w:p>
    <w:p>
      <w:pPr>
        <w:ind w:left="660" w:right="120" w:hanging="328"/>
        <w:spacing w:after="0" w:line="250"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continue to monitor existing and potential future tax reform. Refer to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for more information on impacts from the 2019 Swiss tax reform and 2017 U.S. tax reform.</w:t>
      </w:r>
    </w:p>
    <w:p>
      <w:pPr>
        <w:ind w:left="660" w:hanging="328"/>
        <w:spacing w:after="0" w:line="25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apply highly inflationary accounting for our Argentinean subsidiaries. During the nine months ended September 30, 2021, we recorded a remeasurement loss of $10 million within selling, general and administrative expenses related to the revaluation of our Argentinean peso denominated net monetary position. The mix of monetary assets and liabilities and the exchange rate to convert Argentinean pesos to U.S. dollars could change over time, so it is difficult to predict the overall impact of the Argentina highly inflationary accounting on future net earnings.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2480" w:type="dxa"/>
            <w:vAlign w:val="bottom"/>
            <w:gridSpan w:val="3"/>
          </w:tcPr>
          <w:p>
            <w:pPr>
              <w:jc w:val="center"/>
              <w:ind w:right="191"/>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4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83"/>
        </w:trPr>
        <w:tc>
          <w:tcPr>
            <w:tcW w:w="4400" w:type="dxa"/>
            <w:vAlign w:val="bottom"/>
          </w:tcPr>
          <w:p>
            <w:pPr>
              <w:spacing w:after="0"/>
              <w:rPr>
                <w:sz w:val="15"/>
                <w:szCs w:val="15"/>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See Note</w:t>
            </w:r>
          </w:p>
        </w:tc>
        <w:tc>
          <w:tcPr>
            <w:tcW w:w="112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83"/>
        </w:trPr>
        <w:tc>
          <w:tcPr>
            <w:tcW w:w="44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(in millions, except percentages)</w:t>
            </w:r>
          </w:p>
        </w:tc>
        <w:tc>
          <w:tcPr>
            <w:tcW w:w="5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7</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(250)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(111)</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Implementation charges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(132)</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(141)</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5</w:t>
            </w: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(144)</w:t>
            </w: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Mark-to-market gains/(losses) from</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9"/>
        </w:trPr>
        <w:tc>
          <w:tcPr>
            <w:tcW w:w="44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23"/>
                <w:szCs w:val="23"/>
                <w:b w:val="1"/>
                <w:bCs w:val="1"/>
                <w:color w:val="auto"/>
                <w:vertAlign w:val="superscript"/>
              </w:rPr>
              <w:t>(1)</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9</w:t>
            </w: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268</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Acquisitions and divestiture-related costs:</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2</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8"/>
        </w:trPr>
        <w:tc>
          <w:tcPr>
            <w:tcW w:w="44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Acquisition integration costs and</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7"/>
        </w:trPr>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contingent consideration adjustments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Acquisition-related costs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Divestiture-related costs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associated with JDE Peet's transaction</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7"/>
              </w:rPr>
              <w:t>Note 6</w:t>
            </w: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1</w:t>
            </w:r>
          </w:p>
        </w:tc>
        <w:tc>
          <w:tcPr>
            <w:tcW w:w="112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rPr>
              <w:t>Note 10</w:t>
            </w:r>
          </w:p>
        </w:tc>
        <w:tc>
          <w:tcPr>
            <w:tcW w:w="1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resolution of tax matters </w:t>
            </w:r>
            <w:r>
              <w:rPr>
                <w:rFonts w:ascii="Arial" w:cs="Arial" w:eastAsia="Arial" w:hAnsi="Arial"/>
                <w:sz w:val="23"/>
                <w:szCs w:val="23"/>
                <w:b w:val="1"/>
                <w:bCs w:val="1"/>
                <w:color w:val="auto"/>
                <w:vertAlign w:val="superscript"/>
              </w:rPr>
              <w:t>(1)</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rPr>
              <w:t>Note 12</w:t>
            </w: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related to interest rate swaps</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8"/>
              </w:rPr>
              <w:t>Note 8 &amp; 9</w:t>
            </w: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Loss on debt extinguishment</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8</w:t>
            </w: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Initial impacts from enacted tax law changes</w:t>
            </w: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rPr>
              <w:t>Note 14</w:t>
            </w: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r>
      <w:tr>
        <w:trPr>
          <w:trHeight w:val="176"/>
        </w:trPr>
        <w:tc>
          <w:tcPr>
            <w:tcW w:w="44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Gain on equity method investment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9"/>
        </w:trPr>
        <w:tc>
          <w:tcPr>
            <w:tcW w:w="44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23"/>
                <w:szCs w:val="23"/>
                <w:b w:val="1"/>
                <w:bCs w:val="1"/>
                <w:color w:val="auto"/>
                <w:vertAlign w:val="superscript"/>
              </w:rPr>
              <w:t>(2)</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7"/>
              </w:rPr>
              <w:t>Note 6</w:t>
            </w:r>
          </w:p>
        </w:tc>
        <w:tc>
          <w:tcPr>
            <w:tcW w:w="1120" w:type="dxa"/>
            <w:vAlign w:val="bottom"/>
          </w:tcPr>
          <w:p>
            <w:pPr>
              <w:jc w:val="right"/>
              <w:ind w:right="213"/>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743</w:t>
            </w:r>
          </w:p>
        </w:tc>
        <w:tc>
          <w:tcPr>
            <w:tcW w:w="52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537</w:t>
            </w: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(3)</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w:t>
            </w:r>
          </w:p>
        </w:tc>
      </w:tr>
      <w:tr>
        <w:trPr>
          <w:trHeight w:val="23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rPr>
              <w:t>Note 14</w:t>
            </w:r>
          </w:p>
        </w:tc>
        <w:tc>
          <w:tcPr>
            <w:tcW w:w="1120" w:type="dxa"/>
            <w:vAlign w:val="bottom"/>
          </w:tcPr>
          <w:p>
            <w:pPr>
              <w:jc w:val="right"/>
              <w:spacing w:after="0"/>
              <w:rPr>
                <w:sz w:val="20"/>
                <w:szCs w:val="20"/>
                <w:color w:val="auto"/>
              </w:rPr>
            </w:pPr>
            <w:r>
              <w:rPr>
                <w:rFonts w:ascii="Arial" w:cs="Arial" w:eastAsia="Arial" w:hAnsi="Arial"/>
                <w:sz w:val="18"/>
                <w:szCs w:val="18"/>
                <w:color w:val="auto"/>
              </w:rPr>
              <w:t>27.4 %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29.5 %</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36.0 %</w:t>
            </w:r>
          </w:p>
        </w:tc>
      </w:tr>
    </w:tbl>
    <w:p>
      <w:pPr>
        <w:spacing w:after="0" w:line="252" w:lineRule="exact"/>
        <w:rPr>
          <w:sz w:val="20"/>
          <w:szCs w:val="20"/>
          <w:color w:val="auto"/>
        </w:rPr>
      </w:pPr>
    </w:p>
    <w:p>
      <w:pPr>
        <w:ind w:left="340" w:right="2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and interest expense and other, net. Mark-to-market gains/(losses) above also include our equity method investment-related derivative contract mark-to-market gains/(losses) (refer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that are recorded in the gain on equity method investment transactions on our condensed consolidated statement of earnings.</w:t>
      </w:r>
    </w:p>
    <w:p>
      <w:pPr>
        <w:spacing w:after="0" w:line="1" w:lineRule="exact"/>
        <w:rPr>
          <w:rFonts w:ascii="Arial" w:cs="Arial" w:eastAsia="Arial" w:hAnsi="Arial"/>
          <w:sz w:val="14"/>
          <w:szCs w:val="14"/>
          <w:color w:val="auto"/>
        </w:rPr>
      </w:pPr>
    </w:p>
    <w:p>
      <w:pPr>
        <w:jc w:val="both"/>
        <w:ind w:left="340" w:right="32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Gain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spacing w:after="0" w:line="1" w:lineRule="exact"/>
        <w:rPr>
          <w:rFonts w:ascii="Arial" w:cs="Arial" w:eastAsia="Arial" w:hAnsi="Arial"/>
          <w:sz w:val="14"/>
          <w:szCs w:val="14"/>
          <w:color w:val="auto"/>
        </w:rPr>
      </w:pPr>
    </w:p>
    <w:p>
      <w:pPr>
        <w:ind w:left="340" w:right="120" w:hanging="332"/>
        <w:spacing w:after="0" w:line="258"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7,182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1,294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188"/>
        </w:trPr>
        <w:tc>
          <w:tcPr>
            <w:tcW w:w="508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7"/>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1,258</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188"/>
        </w:trPr>
        <w:tc>
          <w:tcPr>
            <w:tcW w:w="5080" w:type="dxa"/>
            <w:vAlign w:val="bottom"/>
          </w:tcPr>
          <w:p>
            <w:pPr>
              <w:ind w:left="56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0.89</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0.78</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$517 million (7.8%) to $7,182 million in the third quarter of 2021, and Organic Net Revenue</w:t>
      </w:r>
    </w:p>
    <w:p>
      <w:pPr>
        <w:spacing w:after="0" w:line="27" w:lineRule="exact"/>
        <w:rPr>
          <w:sz w:val="20"/>
          <w:szCs w:val="20"/>
          <w:color w:val="auto"/>
        </w:rPr>
      </w:pPr>
    </w:p>
    <w:p>
      <w:pPr>
        <w:ind w:right="440" w:firstLine="8"/>
        <w:spacing w:after="0" w:line="265" w:lineRule="auto"/>
        <w:tabs>
          <w:tab w:leader="none" w:pos="178" w:val="left"/>
        </w:tabs>
        <w:numPr>
          <w:ilvl w:val="0"/>
          <w:numId w:val="25"/>
        </w:numPr>
        <w:rPr>
          <w:rFonts w:ascii="Arial" w:cs="Arial" w:eastAsia="Arial" w:hAnsi="Arial"/>
          <w:sz w:val="10"/>
          <w:szCs w:val="10"/>
          <w:color w:val="auto"/>
        </w:rPr>
      </w:pPr>
      <w:r>
        <w:rPr>
          <w:rFonts w:ascii="Arial" w:cs="Arial" w:eastAsia="Arial" w:hAnsi="Arial"/>
          <w:sz w:val="17"/>
          <w:szCs w:val="17"/>
          <w:color w:val="auto"/>
        </w:rPr>
        <w:t xml:space="preserve">increased $366 million (5.5%) to $7,031 million. Developed markets net revenue increased 5.1% and developed markets Organic Net Revenue increased 2.0% </w:t>
      </w:r>
      <w:r>
        <w:rPr>
          <w:rFonts w:ascii="Arial" w:cs="Arial" w:eastAsia="Arial" w:hAnsi="Arial"/>
          <w:sz w:val="9"/>
          <w:szCs w:val="9"/>
          <w:color w:val="auto"/>
        </w:rPr>
        <w:t>(1)</w:t>
      </w:r>
      <w:r>
        <w:rPr>
          <w:rFonts w:ascii="Arial" w:cs="Arial" w:eastAsia="Arial" w:hAnsi="Arial"/>
          <w:sz w:val="17"/>
          <w:szCs w:val="17"/>
          <w:color w:val="auto"/>
        </w:rPr>
        <w:t>. Emerging markets net revenues increased 12.9% and emerging markets Organic Net Revenue increased</w:t>
      </w:r>
    </w:p>
    <w:p>
      <w:pPr>
        <w:spacing w:after="0"/>
        <w:rPr>
          <w:rFonts w:ascii="Arial" w:cs="Arial" w:eastAsia="Arial" w:hAnsi="Arial"/>
          <w:sz w:val="10"/>
          <w:szCs w:val="10"/>
          <w:color w:val="auto"/>
        </w:rPr>
      </w:pPr>
      <w:r>
        <w:rPr>
          <w:rFonts w:ascii="Arial" w:cs="Arial" w:eastAsia="Arial" w:hAnsi="Arial"/>
          <w:sz w:val="18"/>
          <w:szCs w:val="18"/>
          <w:color w:val="auto"/>
        </w:rPr>
        <w:t xml:space="preserve">12.2%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0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7.8 %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29"/>
        </w:trPr>
        <w:tc>
          <w:tcPr>
            <w:tcW w:w="9600" w:type="dxa"/>
            <w:vAlign w:val="bottom"/>
          </w:tcPr>
          <w:p>
            <w:pPr>
              <w:ind w:left="680"/>
              <w:spacing w:after="0"/>
              <w:rPr>
                <w:sz w:val="20"/>
                <w:szCs w:val="20"/>
                <w:color w:val="auto"/>
              </w:rPr>
            </w:pPr>
            <w:r>
              <w:rPr>
                <w:rFonts w:ascii="Arial" w:cs="Arial" w:eastAsia="Arial" w:hAnsi="Arial"/>
                <w:sz w:val="18"/>
                <w:szCs w:val="18"/>
                <w:color w:val="auto"/>
              </w:rPr>
              <w:t>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(1.4)pp</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(0.9)pp</w:t>
            </w:r>
          </w:p>
        </w:tc>
      </w:tr>
      <w:tr>
        <w:trPr>
          <w:trHeight w:val="223"/>
        </w:trPr>
        <w:tc>
          <w:tcPr>
            <w:tcW w:w="9600" w:type="dxa"/>
            <w:vAlign w:val="bottom"/>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pp</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tcPr>
          <w:p>
            <w:pPr>
              <w:jc w:val="right"/>
              <w:spacing w:after="0"/>
              <w:rPr>
                <w:sz w:val="20"/>
                <w:szCs w:val="20"/>
                <w:color w:val="auto"/>
              </w:rPr>
            </w:pPr>
            <w:r>
              <w:rPr>
                <w:rFonts w:ascii="Arial" w:cs="Arial" w:eastAsia="Arial" w:hAnsi="Arial"/>
                <w:sz w:val="18"/>
                <w:szCs w:val="18"/>
                <w:color w:val="auto"/>
              </w:rPr>
              <w:t>2.4 pp</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 increase of 7.8% was driven by our underlying Organic Net Revenue growth of 5.5%, favorable currency and the impact of acquisitions. Overall, we continued to see increased demand for our snack category products, though parts of our business are not yet back to pre-pandemic levels. In developed markets, increased food purchases for in-home consumption continued to drive net revenue growth, though some markets declined as they lapped the prior-year period's strong volume growth resulting from increased consumer demand due to the pandemic. In emerging markets, we lapped the negative initial impacts we experienced from the pandemic last year, with strong revenue growth this quarter across most of our key markets, though some markets were still challenged. In addition, our sales of our gum and candy products grew as out-of-home consumption continued to recover, as did our world travel business as global travel improved though still below pre-pandemic levels. Favorable currency translation and incremental net revenues from acquisitions also added to revenue growth in the quarter.</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Organic Net Revenue growth was driven by higher net pricing and favorable volume/mix. Higher net pricing in all regions was due to the benefit of carryover pricing from 2020 as well as the effects of input cost-driven pricing actions taken during the first nine months of 2021. Favorable volume/mix in Europe, Latin America, and AMEA, driven by strong volume gains, was partially offset by unfavorable volume/mix in North America. Favorable currency impacts increased net revenues by $89 million, due primarily to the strength of several currencies relative to the U.S. dollar, including the British pound sterling, Chinese yuan, Mexican peso, South African rand, Canadian dollar, Brazilian real, euro and Australian dollar, partially offset by the strength of the U.S. dollar relative to several currencies, including the Argentinean peso and Turkish lira. The April 1, 2021 acquisition of Gourmet Food added incremental net revenues of $ 31 million (constant currency basis), the March 25, 2021 acquisition of Grenade added incremental net revenues of $20 million (constant currency basis) and the January 4, 2021 acquisition of Hu Master Holdings added incremental net revenues of $11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$159 million (14.0%) to $1,294 million in the third quarter of 2021.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$71 million (6.1%) to $1,236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$52 million (4.5%) to $1,217 million due to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2"/>
              <w:spacing w:after="0"/>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4"/>
                <w:szCs w:val="14"/>
                <w:color w:val="auto"/>
              </w:rPr>
            </w:pPr>
          </w:p>
        </w:tc>
        <w:tc>
          <w:tcPr>
            <w:tcW w:w="15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Other/rounding</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1,165</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Three Months Ended September 30, 2020</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Lower amortization of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4.5 %</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6.1 %</w:t>
            </w:r>
          </w:p>
        </w:tc>
        <w:tc>
          <w:tcPr>
            <w:tcW w:w="0" w:type="dxa"/>
            <w:vAlign w:val="bottom"/>
          </w:tcPr>
          <w:p>
            <w:pPr>
              <w:spacing w:after="0"/>
              <w:rPr>
                <w:sz w:val="1"/>
                <w:szCs w:val="1"/>
                <w:color w:val="auto"/>
              </w:rPr>
            </w:pPr>
          </w:p>
        </w:tc>
      </w:tr>
      <w:tr>
        <w:trPr>
          <w:trHeight w:val="155"/>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Three Months Ended September 30, 2021</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14.0 %</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 Refer to our Annual Report on Form 10-K for the year ended December 31, 2020, for more information on the May 28, 2019 divestiture of most of our cheese business in the Middle East and Africa.</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third quarter of 2021, we realized higher net pricing and favorable volume/mix, which was partially offset by increased input costs. Higher net pricing, which included the carryover impact of pricing actions taken in 2020 as well as the effects of input cost-driven pricing actions taken during the first nine months of 2021, was reflected across all regions. Favorable volume/mix was driven by Europe, Latin America and AMEA, partially offset by unfavorable volume/mix in North America. Overall volume/mix benefited from increased demand for most of our snack category products as we continue to recover from the impacts of the pandemic, though some markets were challenged particularly North America, where we lapped high volume growth in the prior-year quarter due to the pandemic. The increase in input costs was driven by higher raw material costs, partially offset by lower manufacturing costs driven by productivity and lower incremental COVID-19 related costs. Higher raw material costs were in part due to increased currency exchange transaction costs on imported materials, as well as higher oils, packaging, cocoa, sugar, dairy, grains and other ingredients costs.</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selling, general and administrative expenses decreased $ 48 million from the third quarter of 2020, due to a number of factors noted in the table above, including in part, a net benefit from acquisition integration costs and contingent consideration adjustments, lower implementation costs incurred for the Simplify to Grow Program and lapping prior-year divestiture-related costs, which were partially offset by an unfavorable currency impact related to expenses and the impact of acquisitions. Excluding these factors, selling, general and administrative expenses increased $22 million from the third quarter of 2020. The increase was driven primarily by higher advertising and consumer promotion costs, partially offset by lower overhead costs.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Favorable currency changes increased operating income by $19 million due primarily to the strength of several currencies relative to the U.S. dollar, including the British pound sterling, Chinese yuan, South African rand, Canadian dollar, Mexican peso, Australian dollar, Brazilian real and euro, partially offset by the strength of the U.S. dollar relative to several currencies, including the Argentinean peso and Turkish lira.</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income margin increased from 17.0% in the third quarter of 2020 to 18.0% in the third quarter of 2021. The increase was driven primarily by a net benefit from acquisition integration costs and contingent consideration adjustments, lapping prior-year intangible asset impairment charges and lapping prior-year divestiture-related costs, partially offset by an unfavorable year-over-year change in mark-to-market gains/(losses) from currency and commodity hedging activities and lower Adjusted Operating Income margin. Adjusted Operating Income margin decreased from 17.5% for the third quarter of 2020 to 17.2% for the third quarter of 2021. The decrease was driven primarily by higher raw material costs, unfavorable product mix and higher advertising and consumer promotion costs, partially offset by higher net pricing, lower overhead costs, lower manufacturing costs and lower amortization of intangible assets.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i w:val="1"/>
          <w:iCs w:val="1"/>
          <w:color w:val="auto"/>
        </w:rPr>
        <w:t xml:space="preserve">Net Earnings and Earnings per Share Attributable to Mondelēz International </w:t>
      </w:r>
      <w:r>
        <w:rPr>
          <w:rFonts w:ascii="Arial" w:cs="Arial" w:eastAsia="Arial" w:hAnsi="Arial"/>
          <w:sz w:val="17"/>
          <w:szCs w:val="17"/>
          <w:color w:val="auto"/>
        </w:rPr>
        <w:t>– Net earnings attributable to Mondelēz International of $ 1,258</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increased by $139 million (12.4%) in the third quarter of 2021. Diluted EPS attributable to Mondelēz International was $0.89 in the third quarter of 2021, up $0.11 (14.1%) from the third quarter of 2020. Adjusted EPS </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was $0.71 in the third quarter of 2021, up $0.07</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 xml:space="preserve">(10.9%) from the third quarter of 2020.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$0.70 in the third quarter of 2021, up $0.06 (9.4%) from the third quarter of 2020.</w:t>
      </w:r>
    </w:p>
    <w:p>
      <w:pPr>
        <w:sectPr>
          <w:pgSz w:w="11900" w:h="16838" w:orient="portrait"/>
          <w:cols w:equalWidth="0" w:num="1">
            <w:col w:w="11180"/>
          </w:cols>
          <w:pgMar w:left="320" w:top="382" w:right="399" w:bottom="1440" w:gutter="0" w:footer="0" w:header="0"/>
        </w:sectPr>
      </w:pPr>
    </w:p>
    <w:p>
      <w:pPr>
        <w:spacing w:after="0" w:line="35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Three Months Ended September 30, 2020</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(4)</w:t>
      </w:r>
    </w:p>
    <w:p>
      <w:pPr>
        <w:ind w:left="800"/>
        <w:spacing w:after="0" w:line="214"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(6)</w:t>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ind w:left="800"/>
        <w:spacing w:after="0" w:line="230" w:lineRule="auto"/>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(4)</w:t>
      </w:r>
    </w:p>
    <w:p>
      <w:pPr>
        <w:ind w:left="800"/>
        <w:spacing w:after="0" w:line="214"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Favorable currency translation</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2021</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9"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31"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680"/>
        <w:spacing w:after="0" w:line="212" w:lineRule="auto"/>
        <w:rPr>
          <w:sz w:val="20"/>
          <w:szCs w:val="20"/>
          <w:color w:val="auto"/>
        </w:rPr>
      </w:pPr>
      <w:r>
        <w:rPr>
          <w:rFonts w:ascii="Arial" w:cs="Arial" w:eastAsia="Arial" w:hAnsi="Arial"/>
          <w:sz w:val="16"/>
          <w:szCs w:val="16"/>
          <w:b w:val="1"/>
          <w:bCs w:val="1"/>
          <w:color w:val="auto"/>
        </w:rPr>
        <w:t>Diluted EPS Attributable to Mondelēz International for the</w:t>
      </w:r>
    </w:p>
    <w:p>
      <w:pPr>
        <w:ind w:left="800"/>
        <w:spacing w:after="0"/>
        <w:rPr>
          <w:sz w:val="20"/>
          <w:szCs w:val="20"/>
          <w:color w:val="auto"/>
        </w:rPr>
      </w:pPr>
      <w:r>
        <w:rPr>
          <w:rFonts w:ascii="Arial" w:cs="Arial" w:eastAsia="Arial" w:hAnsi="Arial"/>
          <w:sz w:val="16"/>
          <w:szCs w:val="16"/>
          <w:b w:val="1"/>
          <w:bCs w:val="1"/>
          <w:color w:val="auto"/>
        </w:rPr>
        <w:t>Three Months Ended September 30, 2021</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9175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19" w:lineRule="exact"/>
        <w:rPr>
          <w:sz w:val="20"/>
          <w:szCs w:val="20"/>
          <w:color w:val="auto"/>
        </w:rPr>
      </w:pPr>
    </w:p>
    <w:p>
      <w:pPr>
        <w:ind w:left="1040" w:hanging="1034"/>
        <w:spacing w:after="0"/>
        <w:tabs>
          <w:tab w:leader="none" w:pos="10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0.78</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(0.19)</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0.03</w:t>
      </w:r>
    </w:p>
    <w:p>
      <w:pPr>
        <w:spacing w:after="0" w:line="26" w:lineRule="exact"/>
        <w:rPr>
          <w:sz w:val="20"/>
          <w:szCs w:val="20"/>
          <w:color w:val="auto"/>
        </w:rPr>
      </w:pPr>
    </w:p>
    <w:p>
      <w:pPr>
        <w:ind w:left="1040" w:hanging="1034"/>
        <w:spacing w:after="0"/>
        <w:tabs>
          <w:tab w:leader="none" w:pos="10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0.64</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0.70</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0.71</w:t>
      </w:r>
    </w:p>
    <w:p>
      <w:pPr>
        <w:spacing w:after="0" w:line="5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0.13</w:t>
      </w:r>
    </w:p>
    <w:p>
      <w:pPr>
        <w:spacing w:after="0" w:line="147" w:lineRule="exact"/>
        <w:rPr>
          <w:sz w:val="20"/>
          <w:szCs w:val="20"/>
          <w:color w:val="auto"/>
        </w:rPr>
      </w:pPr>
    </w:p>
    <w:p>
      <w:pPr>
        <w:ind w:left="1040" w:hanging="1034"/>
        <w:spacing w:after="0"/>
        <w:tabs>
          <w:tab w:leader="none" w:pos="10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917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9060" w:space="720"/>
            <w:col w:w="1400"/>
          </w:cols>
          <w:pgMar w:left="320" w:top="382" w:right="399" w:bottom="1440" w:gutter="0" w:footer="0" w:header="0"/>
          <w:type w:val="continuous"/>
        </w:sect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impact from 2020 partial sales of our equity method investments in KDP and JDE Peet’s and the second quarter 2021 sale of KDP shares as if the sales occurred at the beginning of all periods presented. The third quarter 2021 sale of KDP shares will be reflected on a lag basis in the fourth quarter of 2021.</w:t>
      </w: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gain on equity method investment transactions.</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40" w:right="140" w:hanging="332"/>
        <w:spacing w:after="0" w:line="258"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146"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Nine Months Ended</w:t>
      </w:r>
    </w:p>
    <w:p>
      <w:pPr>
        <w:jc w:val="center"/>
        <w:ind w:left="1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29"/>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21,062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3,449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2,704</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27.6 %</w:t>
            </w:r>
          </w:p>
        </w:tc>
      </w:tr>
      <w:tr>
        <w:trPr>
          <w:trHeight w:val="188"/>
        </w:trPr>
        <w:tc>
          <w:tcPr>
            <w:tcW w:w="510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7"/>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3,297</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r>
      <w:tr>
        <w:trPr>
          <w:trHeight w:val="188"/>
        </w:trPr>
        <w:tc>
          <w:tcPr>
            <w:tcW w:w="5100" w:type="dxa"/>
            <w:vAlign w:val="bottom"/>
          </w:tcPr>
          <w:p>
            <w:pPr>
              <w:ind w:left="56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40.4 %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$1,779 million (9.2%) to $21,062 million in the first nine months of 2021, and Organic Net Revenue</w:t>
      </w:r>
    </w:p>
    <w:p>
      <w:pPr>
        <w:spacing w:after="0" w:line="27" w:lineRule="exact"/>
        <w:rPr>
          <w:sz w:val="20"/>
          <w:szCs w:val="20"/>
          <w:color w:val="auto"/>
        </w:rPr>
      </w:pPr>
    </w:p>
    <w:p>
      <w:pPr>
        <w:jc w:val="center"/>
        <w:ind w:right="180" w:firstLine="8"/>
        <w:spacing w:after="0" w:line="265" w:lineRule="auto"/>
        <w:tabs>
          <w:tab w:leader="none" w:pos="178" w:val="left"/>
        </w:tabs>
        <w:numPr>
          <w:ilvl w:val="0"/>
          <w:numId w:val="33"/>
        </w:numPr>
        <w:rPr>
          <w:rFonts w:ascii="Arial" w:cs="Arial" w:eastAsia="Arial" w:hAnsi="Arial"/>
          <w:sz w:val="10"/>
          <w:szCs w:val="10"/>
          <w:color w:val="auto"/>
        </w:rPr>
      </w:pPr>
      <w:r>
        <w:rPr>
          <w:rFonts w:ascii="Arial" w:cs="Arial" w:eastAsia="Arial" w:hAnsi="Arial"/>
          <w:sz w:val="17"/>
          <w:szCs w:val="17"/>
          <w:color w:val="auto"/>
        </w:rPr>
        <w:t>increased $991 million (5.1%) to $20,274 million. Developed markets net revenue increased 7.6% and developed markets Organic Net Revenue increased 1.2%. Emerging markets net revenues increased 12.3% and emerging markets Organic Net Revenue increased 12.6%</w:t>
      </w:r>
    </w:p>
    <w:p>
      <w:pPr>
        <w:ind w:left="240" w:hanging="232"/>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8"/>
          <w:szCs w:val="18"/>
          <w:color w:val="auto"/>
        </w:rPr>
        <w:t>The underlying changes in net revenues and Organic Net Revenue are detailed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10"/>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29"/>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9.2 %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(2.9)pp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(1.2)pp</w:t>
            </w:r>
          </w:p>
        </w:tc>
      </w:tr>
      <w:tr>
        <w:trPr>
          <w:trHeight w:val="223"/>
        </w:trPr>
        <w:tc>
          <w:tcPr>
            <w:tcW w:w="9600" w:type="dxa"/>
            <w:vAlign w:val="bottom"/>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5.1 %</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pp</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2.5 pp</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Net revenue increase of 9.2% was driven by our underlying Organic Net Revenue growth of 5.1%, favorable currency and the impact of acquisitions. Overall, we continued to see increased demand for our snack category products, though parts of our business are not yet back to pre-pandemic levels. In developed markets, increased food purchases for in-home consumption continued to drive net revenue growth, though some markets declined as they lapped the prior-year period's strong volume growth resulting from increased consumer demand due to the pandemic. In emerging markets, we lapped the negative initial impacts we experienced from the pandemic last year, with strong revenue growth this year across most of our key markets, though some markets were still challenged. In addition, our sales of our gum and candy products grew as out-of-home consumption continued to recover, as did our world travel business as global travel improved though still below pre-pandemic levels. Favorable currency translation and incremental net revenues from acquisitions also added to revenue growth in the first nine months of 2021.</w:t>
      </w: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Organic Net Revenue growth was driven by favorable volume/mix and higher net pricing. Favorable volume/mix in AMEA, Europe and Latin America, driven by strong volume gains, was partially offset by unfavorable volume/mix in North America. Net pricing was up, which includes the benefit of carryover pricing from 2020 as well as the effects of input cost-driven pricing actions taken during the first nine months of 2021. Higher net pricing was reflected in all regions. Favorable currency impacts increased net revenues by $560 million, due primarily to the strength of several currencies relative to the U.S. dollar, including the euro, British pound sterling, Australian dollar, Chinese yuan, Canadian dollar, South African rand, Mexican peso and Swedish krona, partially offset by the strength of the U.S. dollar relative to several currencies, including the Argentinean peso, Brazilian real, Turkish lira and Russian ruble. The April 1, 2021 acquisition of Gourmet Food added incremental net revenues of $54 million (constant currency basis), the March 25, 2021 acquisition of Grenade added incremental net revenues of $41 million (constant currency basis), the January 4, 2021 acquisition of Hu Master Holdings added incremental net revenues of $27 million and the April 1, 2020 acquisition of Give &amp; Go added incremental net revenues of $106 million. Refer to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for additional information.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$745 million (27.6%) to $3,449 million in the first nine months of 2021.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$392 million (12.2%) to $3,605 million and Adjusted Operating Income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$262 million (8.2%) to $3,475 million due to the following:</w:t>
      </w:r>
    </w:p>
    <w:p>
      <w:pPr>
        <w:spacing w:after="0" w:line="11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Operating</w:t>
      </w:r>
    </w:p>
    <w:p>
      <w:pPr>
        <w:ind w:left="8560"/>
        <w:spacing w:after="0"/>
        <w:tabs>
          <w:tab w:leader="none" w:pos="10060" w:val="left"/>
        </w:tabs>
        <w:rPr>
          <w:sz w:val="20"/>
          <w:szCs w:val="20"/>
          <w:color w:val="auto"/>
        </w:rPr>
      </w:pP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6350</wp:posOffset>
            </wp:positionV>
            <wp:extent cx="1980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4"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2020</w:t>
      </w:r>
    </w:p>
    <w:p>
      <w:pPr>
        <w:ind w:left="820"/>
        <w:spacing w:after="0" w:line="229" w:lineRule="auto"/>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20"/>
        <w:spacing w:after="0" w:line="208"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p>
      <w:pPr>
        <w:ind w:left="820"/>
        <w:spacing w:after="0" w:line="208"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20"/>
        <w:spacing w:after="0" w:line="209"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p>
      <w:pPr>
        <w:ind w:left="820"/>
        <w:spacing w:after="0" w:line="208"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20"/>
        <w:spacing w:after="0" w:line="208"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p>
      <w:pPr>
        <w:ind w:left="820"/>
        <w:spacing w:after="0" w:line="208" w:lineRule="auto"/>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40"/>
        <w:spacing w:after="0" w:line="218" w:lineRule="auto"/>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680"/>
        <w:spacing w:after="0" w:line="187" w:lineRule="auto"/>
        <w:rPr>
          <w:sz w:val="20"/>
          <w:szCs w:val="20"/>
          <w:color w:val="auto"/>
        </w:rPr>
      </w:pPr>
      <w:r>
        <w:rPr>
          <w:rFonts w:ascii="Arial" w:cs="Arial" w:eastAsia="Arial" w:hAnsi="Arial"/>
          <w:sz w:val="17"/>
          <w:szCs w:val="17"/>
          <w:b w:val="1"/>
          <w:bCs w:val="1"/>
          <w:color w:val="auto"/>
        </w:rPr>
        <w:t xml:space="preserve">Adjusted Operating Income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for the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Nine Months Ended September 30, 2020</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Higher net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Higher input costs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Favorable volume/mix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Higher selling, general and administrative expenses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Lower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20"/>
        <w:spacing w:after="0" w:line="228" w:lineRule="auto"/>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p>
      <w:pPr>
        <w:ind w:left="820"/>
        <w:spacing w:after="0"/>
        <w:rPr>
          <w:sz w:val="20"/>
          <w:szCs w:val="20"/>
          <w:color w:val="auto"/>
        </w:rPr>
      </w:pPr>
      <w:r>
        <w:rPr>
          <w:rFonts w:ascii="Arial" w:cs="Arial" w:eastAsia="Arial" w:hAnsi="Arial"/>
          <w:sz w:val="18"/>
          <w:szCs w:val="18"/>
          <w:color w:val="auto"/>
        </w:rPr>
        <w:t>Favorable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680"/>
        <w:spacing w:after="0" w:line="231" w:lineRule="auto"/>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p>
      <w:pPr>
        <w:ind w:left="680"/>
        <w:spacing w:after="0" w:line="185" w:lineRule="auto"/>
        <w:rPr>
          <w:sz w:val="20"/>
          <w:szCs w:val="20"/>
          <w:color w:val="auto"/>
        </w:rPr>
      </w:pPr>
      <w:r>
        <w:rPr>
          <w:rFonts w:ascii="Arial" w:cs="Arial" w:eastAsia="Arial" w:hAnsi="Arial"/>
          <w:sz w:val="17"/>
          <w:szCs w:val="17"/>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7"/>
          <w:szCs w:val="17"/>
          <w:b w:val="1"/>
          <w:bCs w:val="1"/>
          <w:color w:val="auto"/>
        </w:rPr>
        <w:t xml:space="preserve"> for the</w:t>
      </w:r>
    </w:p>
    <w:p>
      <w:pPr>
        <w:ind w:left="8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20"/>
        <w:spacing w:after="0" w:line="219" w:lineRule="auto"/>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p>
      <w:pPr>
        <w:ind w:left="820"/>
        <w:spacing w:after="0" w:line="208"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20"/>
        <w:spacing w:after="0" w:line="208"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p>
      <w:pPr>
        <w:jc w:val="right"/>
        <w:ind w:right="792"/>
        <w:spacing w:after="0" w:line="208" w:lineRule="auto"/>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20"/>
        <w:spacing w:after="0" w:line="209"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p>
      <w:pPr>
        <w:ind w:left="820"/>
        <w:spacing w:after="0" w:line="208" w:lineRule="auto"/>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20"/>
        <w:spacing w:after="0" w:line="208" w:lineRule="auto"/>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p>
      <w:pPr>
        <w:ind w:left="820"/>
        <w:spacing w:after="0" w:line="209" w:lineRule="auto"/>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20"/>
        <w:spacing w:after="0" w:line="217" w:lineRule="auto"/>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(9)</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2021</w:t>
      </w:r>
    </w:p>
    <w:p>
      <w:pPr>
        <w:spacing w:after="0" w:line="14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888" w:hanging="888"/>
        <w:spacing w:after="0"/>
        <w:tabs>
          <w:tab w:leader="none" w:pos="88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2,704</w:t>
      </w:r>
    </w:p>
    <w:p>
      <w:pPr>
        <w:spacing w:after="0" w:line="33" w:lineRule="exact"/>
        <w:rPr>
          <w:rFonts w:ascii="Arial" w:cs="Arial" w:eastAsia="Arial" w:hAnsi="Arial"/>
          <w:sz w:val="18"/>
          <w:szCs w:val="18"/>
          <w:b w:val="1"/>
          <w:bCs w:val="1"/>
          <w:color w:val="auto"/>
        </w:rPr>
      </w:pPr>
    </w:p>
    <w:p>
      <w:pPr>
        <w:ind w:left="1028"/>
        <w:spacing w:after="0"/>
        <w:rPr>
          <w:rFonts w:ascii="Arial" w:cs="Arial" w:eastAsia="Arial" w:hAnsi="Arial"/>
          <w:sz w:val="18"/>
          <w:szCs w:val="18"/>
          <w:b w:val="1"/>
          <w:bCs w:val="1"/>
          <w:color w:val="auto"/>
        </w:rPr>
      </w:pPr>
      <w:r>
        <w:rPr>
          <w:rFonts w:ascii="Arial" w:cs="Arial" w:eastAsia="Arial" w:hAnsi="Arial"/>
          <w:sz w:val="18"/>
          <w:szCs w:val="18"/>
          <w:color w:val="auto"/>
        </w:rPr>
        <w:t>248</w:t>
      </w:r>
    </w:p>
    <w:p>
      <w:pPr>
        <w:spacing w:after="0" w:line="22" w:lineRule="exact"/>
        <w:rPr>
          <w:rFonts w:ascii="Arial" w:cs="Arial" w:eastAsia="Arial" w:hAnsi="Arial"/>
          <w:sz w:val="18"/>
          <w:szCs w:val="18"/>
          <w:b w:val="1"/>
          <w:bCs w:val="1"/>
          <w:color w:val="auto"/>
        </w:rPr>
      </w:pPr>
    </w:p>
    <w:p>
      <w:pPr>
        <w:ind w:left="1028"/>
        <w:spacing w:after="0"/>
        <w:rPr>
          <w:rFonts w:ascii="Arial" w:cs="Arial" w:eastAsia="Arial" w:hAnsi="Arial"/>
          <w:sz w:val="18"/>
          <w:szCs w:val="18"/>
          <w:b w:val="1"/>
          <w:bCs w:val="1"/>
          <w:color w:val="auto"/>
        </w:rPr>
      </w:pPr>
      <w:r>
        <w:rPr>
          <w:rFonts w:ascii="Arial" w:cs="Arial" w:eastAsia="Arial" w:hAnsi="Arial"/>
          <w:sz w:val="18"/>
          <w:szCs w:val="18"/>
          <w:color w:val="auto"/>
        </w:rPr>
        <w:t>144</w:t>
      </w:r>
    </w:p>
    <w:p>
      <w:pPr>
        <w:spacing w:after="0" w:line="22" w:lineRule="exact"/>
        <w:rPr>
          <w:rFonts w:ascii="Arial" w:cs="Arial" w:eastAsia="Arial" w:hAnsi="Arial"/>
          <w:sz w:val="18"/>
          <w:szCs w:val="18"/>
          <w:b w:val="1"/>
          <w:bCs w:val="1"/>
          <w:color w:val="auto"/>
        </w:rPr>
      </w:pPr>
    </w:p>
    <w:p>
      <w:pPr>
        <w:ind w:left="1128"/>
        <w:spacing w:after="0"/>
        <w:rPr>
          <w:rFonts w:ascii="Arial" w:cs="Arial" w:eastAsia="Arial" w:hAnsi="Arial"/>
          <w:sz w:val="18"/>
          <w:szCs w:val="18"/>
          <w:b w:val="1"/>
          <w:bCs w:val="1"/>
          <w:color w:val="auto"/>
        </w:rPr>
      </w:pPr>
      <w:r>
        <w:rPr>
          <w:rFonts w:ascii="Arial" w:cs="Arial" w:eastAsia="Arial" w:hAnsi="Arial"/>
          <w:sz w:val="18"/>
          <w:szCs w:val="18"/>
          <w:color w:val="auto"/>
        </w:rPr>
        <w:t>42</w:t>
      </w:r>
    </w:p>
    <w:p>
      <w:pPr>
        <w:spacing w:after="0" w:line="22" w:lineRule="exact"/>
        <w:rPr>
          <w:rFonts w:ascii="Arial" w:cs="Arial" w:eastAsia="Arial" w:hAnsi="Arial"/>
          <w:sz w:val="18"/>
          <w:szCs w:val="18"/>
          <w:b w:val="1"/>
          <w:bCs w:val="1"/>
          <w:color w:val="auto"/>
        </w:rPr>
      </w:pPr>
    </w:p>
    <w:p>
      <w:pPr>
        <w:ind w:left="1228"/>
        <w:spacing w:after="0"/>
        <w:rPr>
          <w:rFonts w:ascii="Arial" w:cs="Arial" w:eastAsia="Arial" w:hAnsi="Arial"/>
          <w:sz w:val="18"/>
          <w:szCs w:val="18"/>
          <w:b w:val="1"/>
          <w:bCs w:val="1"/>
          <w:color w:val="auto"/>
        </w:rPr>
      </w:pPr>
      <w:r>
        <w:rPr>
          <w:rFonts w:ascii="Arial" w:cs="Arial" w:eastAsia="Arial" w:hAnsi="Arial"/>
          <w:sz w:val="18"/>
          <w:szCs w:val="18"/>
          <w:color w:val="auto"/>
        </w:rPr>
        <w:t>2</w:t>
      </w:r>
    </w:p>
    <w:p>
      <w:pPr>
        <w:spacing w:after="0" w:line="22" w:lineRule="exact"/>
        <w:rPr>
          <w:rFonts w:ascii="Arial" w:cs="Arial" w:eastAsia="Arial" w:hAnsi="Arial"/>
          <w:sz w:val="18"/>
          <w:szCs w:val="18"/>
          <w:b w:val="1"/>
          <w:bCs w:val="1"/>
          <w:color w:val="auto"/>
        </w:rPr>
      </w:pPr>
    </w:p>
    <w:p>
      <w:pPr>
        <w:ind w:left="1128"/>
        <w:spacing w:after="0"/>
        <w:rPr>
          <w:rFonts w:ascii="Arial" w:cs="Arial" w:eastAsia="Arial" w:hAnsi="Arial"/>
          <w:sz w:val="18"/>
          <w:szCs w:val="18"/>
          <w:b w:val="1"/>
          <w:bCs w:val="1"/>
          <w:color w:val="auto"/>
        </w:rPr>
      </w:pPr>
      <w:r>
        <w:rPr>
          <w:rFonts w:ascii="Arial" w:cs="Arial" w:eastAsia="Arial" w:hAnsi="Arial"/>
          <w:sz w:val="18"/>
          <w:szCs w:val="18"/>
          <w:color w:val="auto"/>
        </w:rPr>
        <w:t>15</w:t>
      </w:r>
    </w:p>
    <w:p>
      <w:pPr>
        <w:spacing w:after="0" w:line="22" w:lineRule="exact"/>
        <w:rPr>
          <w:rFonts w:ascii="Arial" w:cs="Arial" w:eastAsia="Arial" w:hAnsi="Arial"/>
          <w:sz w:val="18"/>
          <w:szCs w:val="18"/>
          <w:b w:val="1"/>
          <w:bCs w:val="1"/>
          <w:color w:val="auto"/>
        </w:rPr>
      </w:pPr>
    </w:p>
    <w:p>
      <w:pPr>
        <w:ind w:left="1228"/>
        <w:spacing w:after="0"/>
        <w:rPr>
          <w:rFonts w:ascii="Arial" w:cs="Arial" w:eastAsia="Arial" w:hAnsi="Arial"/>
          <w:sz w:val="18"/>
          <w:szCs w:val="18"/>
          <w:b w:val="1"/>
          <w:bCs w:val="1"/>
          <w:color w:val="auto"/>
        </w:rPr>
      </w:pPr>
      <w:r>
        <w:rPr>
          <w:rFonts w:ascii="Arial" w:cs="Arial" w:eastAsia="Arial" w:hAnsi="Arial"/>
          <w:sz w:val="18"/>
          <w:szCs w:val="18"/>
          <w:color w:val="auto"/>
        </w:rPr>
        <w:t>4</w:t>
      </w:r>
    </w:p>
    <w:p>
      <w:pPr>
        <w:spacing w:after="0" w:line="22" w:lineRule="exact"/>
        <w:rPr>
          <w:rFonts w:ascii="Arial" w:cs="Arial" w:eastAsia="Arial" w:hAnsi="Arial"/>
          <w:sz w:val="18"/>
          <w:szCs w:val="18"/>
          <w:b w:val="1"/>
          <w:bCs w:val="1"/>
          <w:color w:val="auto"/>
        </w:rPr>
      </w:pPr>
    </w:p>
    <w:p>
      <w:pPr>
        <w:ind w:left="1128"/>
        <w:spacing w:after="0"/>
        <w:rPr>
          <w:rFonts w:ascii="Arial" w:cs="Arial" w:eastAsia="Arial" w:hAnsi="Arial"/>
          <w:sz w:val="18"/>
          <w:szCs w:val="18"/>
          <w:b w:val="1"/>
          <w:bCs w:val="1"/>
          <w:color w:val="auto"/>
        </w:rPr>
      </w:pPr>
      <w:r>
        <w:rPr>
          <w:rFonts w:ascii="Arial" w:cs="Arial" w:eastAsia="Arial" w:hAnsi="Arial"/>
          <w:sz w:val="18"/>
          <w:szCs w:val="18"/>
          <w:color w:val="auto"/>
        </w:rPr>
        <w:t>48</w:t>
      </w:r>
    </w:p>
    <w:p>
      <w:pPr>
        <w:spacing w:after="0" w:line="22" w:lineRule="exact"/>
        <w:rPr>
          <w:rFonts w:ascii="Arial" w:cs="Arial" w:eastAsia="Arial" w:hAnsi="Arial"/>
          <w:sz w:val="18"/>
          <w:szCs w:val="18"/>
          <w:b w:val="1"/>
          <w:bCs w:val="1"/>
          <w:color w:val="auto"/>
        </w:rPr>
      </w:pPr>
    </w:p>
    <w:p>
      <w:pPr>
        <w:ind w:left="1228"/>
        <w:spacing w:after="0"/>
        <w:rPr>
          <w:rFonts w:ascii="Arial" w:cs="Arial" w:eastAsia="Arial" w:hAnsi="Arial"/>
          <w:sz w:val="18"/>
          <w:szCs w:val="18"/>
          <w:b w:val="1"/>
          <w:bCs w:val="1"/>
          <w:color w:val="auto"/>
        </w:rPr>
      </w:pPr>
      <w:r>
        <w:rPr>
          <w:rFonts w:ascii="Arial" w:cs="Arial" w:eastAsia="Arial" w:hAnsi="Arial"/>
          <w:sz w:val="18"/>
          <w:szCs w:val="18"/>
          <w:color w:val="auto"/>
        </w:rPr>
        <w:t>7</w:t>
      </w:r>
    </w:p>
    <w:p>
      <w:pPr>
        <w:spacing w:after="0" w:line="22" w:lineRule="exact"/>
        <w:rPr>
          <w:rFonts w:ascii="Arial" w:cs="Arial" w:eastAsia="Arial" w:hAnsi="Arial"/>
          <w:sz w:val="18"/>
          <w:szCs w:val="18"/>
          <w:b w:val="1"/>
          <w:bCs w:val="1"/>
          <w:color w:val="auto"/>
        </w:rPr>
      </w:pPr>
    </w:p>
    <w:p>
      <w:pPr>
        <w:ind w:left="1168"/>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176" w:lineRule="exact"/>
        <w:rPr>
          <w:sz w:val="20"/>
          <w:szCs w:val="20"/>
          <w:color w:val="auto"/>
        </w:rPr>
      </w:pPr>
    </w:p>
    <w:p>
      <w:pPr>
        <w:ind w:left="888" w:hanging="888"/>
        <w:spacing w:after="0"/>
        <w:tabs>
          <w:tab w:leader="none" w:pos="88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3,213</w:t>
      </w:r>
    </w:p>
    <w:p>
      <w:pPr>
        <w:spacing w:after="0" w:line="44" w:lineRule="exact"/>
        <w:rPr>
          <w:rFonts w:ascii="Arial" w:cs="Arial" w:eastAsia="Arial" w:hAnsi="Arial"/>
          <w:sz w:val="18"/>
          <w:szCs w:val="18"/>
          <w:b w:val="1"/>
          <w:bCs w:val="1"/>
          <w:color w:val="auto"/>
        </w:rPr>
      </w:pPr>
    </w:p>
    <w:p>
      <w:pPr>
        <w:ind w:left="1028"/>
        <w:spacing w:after="0"/>
        <w:rPr>
          <w:rFonts w:ascii="Arial" w:cs="Arial" w:eastAsia="Arial" w:hAnsi="Arial"/>
          <w:sz w:val="18"/>
          <w:szCs w:val="18"/>
          <w:b w:val="1"/>
          <w:bCs w:val="1"/>
          <w:color w:val="auto"/>
        </w:rPr>
      </w:pPr>
      <w:r>
        <w:rPr>
          <w:rFonts w:ascii="Arial" w:cs="Arial" w:eastAsia="Arial" w:hAnsi="Arial"/>
          <w:sz w:val="18"/>
          <w:szCs w:val="18"/>
          <w:color w:val="auto"/>
        </w:rPr>
        <w:t>488</w:t>
      </w:r>
    </w:p>
    <w:p>
      <w:pPr>
        <w:spacing w:after="0" w:line="2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(249)</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(104)</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58</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(3)</w:t>
      </w:r>
    </w:p>
    <w:p>
      <w:pPr>
        <w:spacing w:after="0" w:line="14" w:lineRule="exact"/>
        <w:rPr>
          <w:sz w:val="20"/>
          <w:szCs w:val="20"/>
          <w:color w:val="auto"/>
        </w:rPr>
      </w:pPr>
    </w:p>
    <w:p>
      <w:pPr>
        <w:ind w:left="1028"/>
        <w:spacing w:after="0"/>
        <w:rPr>
          <w:sz w:val="20"/>
          <w:szCs w:val="20"/>
          <w:color w:val="auto"/>
        </w:rPr>
      </w:pPr>
      <w:r>
        <w:rPr>
          <w:rFonts w:ascii="Arial" w:cs="Arial" w:eastAsia="Arial" w:hAnsi="Arial"/>
          <w:sz w:val="18"/>
          <w:szCs w:val="18"/>
          <w:b w:val="1"/>
          <w:bCs w:val="1"/>
          <w:color w:val="auto"/>
        </w:rPr>
        <w:t>262</w:t>
      </w:r>
    </w:p>
    <w:p>
      <w:pPr>
        <w:spacing w:after="0" w:line="45" w:lineRule="exact"/>
        <w:rPr>
          <w:sz w:val="20"/>
          <w:szCs w:val="20"/>
          <w:color w:val="auto"/>
        </w:rPr>
      </w:pPr>
    </w:p>
    <w:p>
      <w:pPr>
        <w:ind w:left="1028"/>
        <w:spacing w:after="0"/>
        <w:rPr>
          <w:sz w:val="20"/>
          <w:szCs w:val="20"/>
          <w:color w:val="auto"/>
        </w:rPr>
      </w:pPr>
      <w:r>
        <w:rPr>
          <w:rFonts w:ascii="Arial" w:cs="Arial" w:eastAsia="Arial" w:hAnsi="Arial"/>
          <w:sz w:val="18"/>
          <w:szCs w:val="18"/>
          <w:color w:val="auto"/>
        </w:rPr>
        <w:t>130</w:t>
      </w:r>
    </w:p>
    <w:p>
      <w:pPr>
        <w:spacing w:after="0" w:line="14" w:lineRule="exact"/>
        <w:rPr>
          <w:sz w:val="20"/>
          <w:szCs w:val="20"/>
          <w:color w:val="auto"/>
        </w:rPr>
      </w:pPr>
    </w:p>
    <w:p>
      <w:pPr>
        <w:ind w:left="1028"/>
        <w:spacing w:after="0"/>
        <w:rPr>
          <w:sz w:val="20"/>
          <w:szCs w:val="20"/>
          <w:color w:val="auto"/>
        </w:rPr>
      </w:pPr>
      <w:r>
        <w:rPr>
          <w:rFonts w:ascii="Arial" w:cs="Arial" w:eastAsia="Arial" w:hAnsi="Arial"/>
          <w:sz w:val="18"/>
          <w:szCs w:val="18"/>
          <w:b w:val="1"/>
          <w:bCs w:val="1"/>
          <w:color w:val="auto"/>
        </w:rPr>
        <w:t>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908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78" w:lineRule="exact"/>
        <w:rPr>
          <w:sz w:val="20"/>
          <w:szCs w:val="20"/>
          <w:color w:val="auto"/>
        </w:rPr>
      </w:pPr>
    </w:p>
    <w:p>
      <w:pPr>
        <w:ind w:left="888" w:hanging="888"/>
        <w:spacing w:after="0"/>
        <w:tabs>
          <w:tab w:leader="none" w:pos="88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3,605</w:t>
      </w:r>
    </w:p>
    <w:p>
      <w:pPr>
        <w:spacing w:after="0" w:line="44" w:lineRule="exact"/>
        <w:rPr>
          <w:rFonts w:ascii="Arial" w:cs="Arial" w:eastAsia="Arial" w:hAnsi="Arial"/>
          <w:sz w:val="18"/>
          <w:szCs w:val="18"/>
          <w:b w:val="1"/>
          <w:bCs w:val="1"/>
          <w:color w:val="auto"/>
        </w:rPr>
      </w:pPr>
    </w:p>
    <w:p>
      <w:pPr>
        <w:ind w:left="968"/>
        <w:spacing w:after="0"/>
        <w:rPr>
          <w:rFonts w:ascii="Arial" w:cs="Arial" w:eastAsia="Arial" w:hAnsi="Arial"/>
          <w:sz w:val="18"/>
          <w:szCs w:val="18"/>
          <w:b w:val="1"/>
          <w:bCs w:val="1"/>
          <w:color w:val="auto"/>
        </w:rPr>
      </w:pPr>
      <w:r>
        <w:rPr>
          <w:rFonts w:ascii="Arial" w:cs="Arial" w:eastAsia="Arial" w:hAnsi="Arial"/>
          <w:sz w:val="17"/>
          <w:szCs w:val="17"/>
          <w:color w:val="auto"/>
        </w:rPr>
        <w:t>(381)</w:t>
      </w:r>
    </w:p>
    <w:p>
      <w:pPr>
        <w:spacing w:after="0" w:line="34" w:lineRule="exact"/>
        <w:rPr>
          <w:rFonts w:ascii="Arial" w:cs="Arial" w:eastAsia="Arial" w:hAnsi="Arial"/>
          <w:sz w:val="18"/>
          <w:szCs w:val="18"/>
          <w:b w:val="1"/>
          <w:bCs w:val="1"/>
          <w:color w:val="auto"/>
        </w:rPr>
      </w:pPr>
    </w:p>
    <w:p>
      <w:pPr>
        <w:ind w:left="1068"/>
        <w:spacing w:after="0"/>
        <w:rPr>
          <w:rFonts w:ascii="Arial" w:cs="Arial" w:eastAsia="Arial" w:hAnsi="Arial"/>
          <w:sz w:val="18"/>
          <w:szCs w:val="18"/>
          <w:b w:val="1"/>
          <w:bCs w:val="1"/>
          <w:color w:val="auto"/>
        </w:rPr>
      </w:pPr>
      <w:r>
        <w:rPr>
          <w:rFonts w:ascii="Arial" w:cs="Arial" w:eastAsia="Arial" w:hAnsi="Arial"/>
          <w:sz w:val="17"/>
          <w:szCs w:val="17"/>
          <w:color w:val="auto"/>
        </w:rPr>
        <w:t>(32)</w:t>
      </w:r>
    </w:p>
    <w:p>
      <w:pPr>
        <w:spacing w:after="0" w:line="34" w:lineRule="exact"/>
        <w:rPr>
          <w:rFonts w:ascii="Arial" w:cs="Arial" w:eastAsia="Arial" w:hAnsi="Arial"/>
          <w:sz w:val="18"/>
          <w:szCs w:val="18"/>
          <w:b w:val="1"/>
          <w:bCs w:val="1"/>
          <w:color w:val="auto"/>
        </w:rPr>
      </w:pPr>
    </w:p>
    <w:p>
      <w:pPr>
        <w:ind w:left="1028"/>
        <w:spacing w:after="0"/>
        <w:rPr>
          <w:rFonts w:ascii="Arial" w:cs="Arial" w:eastAsia="Arial" w:hAnsi="Arial"/>
          <w:sz w:val="18"/>
          <w:szCs w:val="18"/>
          <w:b w:val="1"/>
          <w:bCs w:val="1"/>
          <w:color w:val="auto"/>
        </w:rPr>
      </w:pPr>
      <w:r>
        <w:rPr>
          <w:rFonts w:ascii="Arial" w:cs="Arial" w:eastAsia="Arial" w:hAnsi="Arial"/>
          <w:sz w:val="18"/>
          <w:szCs w:val="18"/>
          <w:color w:val="auto"/>
        </w:rPr>
        <w:t>270</w:t>
      </w:r>
    </w:p>
    <w:p>
      <w:pPr>
        <w:spacing w:after="0" w:line="22" w:lineRule="exact"/>
        <w:rPr>
          <w:rFonts w:ascii="Arial" w:cs="Arial" w:eastAsia="Arial" w:hAnsi="Arial"/>
          <w:sz w:val="18"/>
          <w:szCs w:val="18"/>
          <w:b w:val="1"/>
          <w:bCs w:val="1"/>
          <w:color w:val="auto"/>
        </w:rPr>
      </w:pPr>
    </w:p>
    <w:p>
      <w:pPr>
        <w:ind w:left="1128"/>
        <w:spacing w:after="0"/>
        <w:rPr>
          <w:rFonts w:ascii="Arial" w:cs="Arial" w:eastAsia="Arial" w:hAnsi="Arial"/>
          <w:sz w:val="18"/>
          <w:szCs w:val="18"/>
          <w:b w:val="1"/>
          <w:bCs w:val="1"/>
          <w:color w:val="auto"/>
        </w:rPr>
      </w:pPr>
      <w:r>
        <w:rPr>
          <w:rFonts w:ascii="Arial" w:cs="Arial" w:eastAsia="Arial" w:hAnsi="Arial"/>
          <w:sz w:val="18"/>
          <w:szCs w:val="18"/>
          <w:color w:val="auto"/>
        </w:rPr>
        <w:t>54</w:t>
      </w:r>
    </w:p>
    <w:p>
      <w:pPr>
        <w:spacing w:after="0" w:line="22" w:lineRule="exact"/>
        <w:rPr>
          <w:rFonts w:ascii="Arial" w:cs="Arial" w:eastAsia="Arial" w:hAnsi="Arial"/>
          <w:sz w:val="18"/>
          <w:szCs w:val="18"/>
          <w:b w:val="1"/>
          <w:bCs w:val="1"/>
          <w:color w:val="auto"/>
        </w:rPr>
      </w:pPr>
    </w:p>
    <w:p>
      <w:pPr>
        <w:ind w:left="1068"/>
        <w:spacing w:after="0"/>
        <w:rPr>
          <w:rFonts w:ascii="Arial" w:cs="Arial" w:eastAsia="Arial" w:hAnsi="Arial"/>
          <w:sz w:val="18"/>
          <w:szCs w:val="18"/>
          <w:b w:val="1"/>
          <w:bCs w:val="1"/>
          <w:color w:val="auto"/>
        </w:rPr>
      </w:pPr>
      <w:r>
        <w:rPr>
          <w:rFonts w:ascii="Arial" w:cs="Arial" w:eastAsia="Arial" w:hAnsi="Arial"/>
          <w:sz w:val="17"/>
          <w:szCs w:val="17"/>
          <w:color w:val="auto"/>
        </w:rPr>
        <w:t>(24)</w:t>
      </w:r>
    </w:p>
    <w:p>
      <w:pPr>
        <w:spacing w:after="0" w:line="34" w:lineRule="exact"/>
        <w:rPr>
          <w:rFonts w:ascii="Arial" w:cs="Arial" w:eastAsia="Arial" w:hAnsi="Arial"/>
          <w:sz w:val="18"/>
          <w:szCs w:val="18"/>
          <w:b w:val="1"/>
          <w:bCs w:val="1"/>
          <w:color w:val="auto"/>
        </w:rPr>
      </w:pPr>
    </w:p>
    <w:p>
      <w:pPr>
        <w:ind w:left="1228"/>
        <w:spacing w:after="0"/>
        <w:rPr>
          <w:rFonts w:ascii="Arial" w:cs="Arial" w:eastAsia="Arial" w:hAnsi="Arial"/>
          <w:sz w:val="18"/>
          <w:szCs w:val="18"/>
          <w:b w:val="1"/>
          <w:bCs w:val="1"/>
          <w:color w:val="auto"/>
        </w:rPr>
      </w:pPr>
      <w:r>
        <w:rPr>
          <w:rFonts w:ascii="Arial" w:cs="Arial" w:eastAsia="Arial" w:hAnsi="Arial"/>
          <w:sz w:val="18"/>
          <w:szCs w:val="18"/>
          <w:color w:val="auto"/>
        </w:rPr>
        <w:t>9</w:t>
      </w:r>
    </w:p>
    <w:p>
      <w:pPr>
        <w:spacing w:after="0" w:line="22" w:lineRule="exact"/>
        <w:rPr>
          <w:rFonts w:ascii="Arial" w:cs="Arial" w:eastAsia="Arial" w:hAnsi="Arial"/>
          <w:sz w:val="18"/>
          <w:szCs w:val="18"/>
          <w:b w:val="1"/>
          <w:bCs w:val="1"/>
          <w:color w:val="auto"/>
        </w:rPr>
      </w:pPr>
    </w:p>
    <w:p>
      <w:pPr>
        <w:ind w:left="1068"/>
        <w:spacing w:after="0"/>
        <w:rPr>
          <w:rFonts w:ascii="Arial" w:cs="Arial" w:eastAsia="Arial" w:hAnsi="Arial"/>
          <w:sz w:val="18"/>
          <w:szCs w:val="18"/>
          <w:b w:val="1"/>
          <w:bCs w:val="1"/>
          <w:color w:val="auto"/>
        </w:rPr>
      </w:pPr>
      <w:r>
        <w:rPr>
          <w:rFonts w:ascii="Arial" w:cs="Arial" w:eastAsia="Arial" w:hAnsi="Arial"/>
          <w:sz w:val="17"/>
          <w:szCs w:val="17"/>
          <w:color w:val="auto"/>
        </w:rPr>
        <w:t>(10)</w:t>
      </w:r>
    </w:p>
    <w:p>
      <w:pPr>
        <w:spacing w:after="0" w:line="34" w:lineRule="exact"/>
        <w:rPr>
          <w:rFonts w:ascii="Arial" w:cs="Arial" w:eastAsia="Arial" w:hAnsi="Arial"/>
          <w:sz w:val="18"/>
          <w:szCs w:val="18"/>
          <w:b w:val="1"/>
          <w:bCs w:val="1"/>
          <w:color w:val="auto"/>
        </w:rPr>
      </w:pPr>
    </w:p>
    <w:p>
      <w:pPr>
        <w:ind w:left="1068"/>
        <w:spacing w:after="0"/>
        <w:rPr>
          <w:rFonts w:ascii="Arial" w:cs="Arial" w:eastAsia="Arial" w:hAnsi="Arial"/>
          <w:sz w:val="18"/>
          <w:szCs w:val="18"/>
          <w:b w:val="1"/>
          <w:bCs w:val="1"/>
          <w:color w:val="auto"/>
        </w:rPr>
      </w:pPr>
      <w:r>
        <w:rPr>
          <w:rFonts w:ascii="Arial" w:cs="Arial" w:eastAsia="Arial" w:hAnsi="Arial"/>
          <w:sz w:val="17"/>
          <w:szCs w:val="17"/>
          <w:color w:val="auto"/>
        </w:rPr>
        <w:t>(47)</w:t>
      </w:r>
    </w:p>
    <w:p>
      <w:pPr>
        <w:spacing w:after="0" w:line="34" w:lineRule="exact"/>
        <w:rPr>
          <w:rFonts w:ascii="Arial" w:cs="Arial" w:eastAsia="Arial" w:hAnsi="Arial"/>
          <w:sz w:val="18"/>
          <w:szCs w:val="18"/>
          <w:b w:val="1"/>
          <w:bCs w:val="1"/>
          <w:color w:val="auto"/>
        </w:rPr>
      </w:pPr>
    </w:p>
    <w:p>
      <w:pPr>
        <w:ind w:left="1228"/>
        <w:spacing w:after="0"/>
        <w:rPr>
          <w:rFonts w:ascii="Arial" w:cs="Arial" w:eastAsia="Arial" w:hAnsi="Arial"/>
          <w:sz w:val="18"/>
          <w:szCs w:val="18"/>
          <w:b w:val="1"/>
          <w:bCs w:val="1"/>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9086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888" w:hanging="888"/>
        <w:spacing w:after="0"/>
        <w:tabs>
          <w:tab w:leader="none" w:pos="88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3,449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9086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086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8.2 %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27.6 %</w:t>
      </w:r>
    </w:p>
    <w:p>
      <w:pPr>
        <w:spacing w:after="0" w:line="630" w:lineRule="exact"/>
        <w:rPr>
          <w:sz w:val="20"/>
          <w:szCs w:val="20"/>
          <w:color w:val="auto"/>
        </w:rPr>
      </w:pPr>
    </w:p>
    <w:p>
      <w:pPr>
        <w:sectPr>
          <w:pgSz w:w="11900" w:h="16838" w:orient="portrait"/>
          <w:cols w:equalWidth="0" w:num="3">
            <w:col w:w="7392" w:space="720"/>
            <w:col w:w="1788" w:space="720"/>
            <w:col w:w="600"/>
          </w:cols>
          <w:pgMar w:left="320" w:top="382" w:right="359" w:bottom="1440" w:gutter="0" w:footer="0" w:header="0"/>
          <w:type w:val="continuous"/>
        </w:sectPr>
      </w:pPr>
    </w:p>
    <w:p>
      <w:pPr>
        <w:ind w:left="340" w:right="300" w:hanging="332"/>
        <w:spacing w:after="0" w:line="241"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line="241"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 Refer to our Annual Report on Form 10-K for the year ended December 31, 2020, for more information on the May 28, 2019 divestiture of most of our cheese business in the Middle East and Africa.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JDE Peet's transaction.</w:t>
      </w:r>
    </w:p>
    <w:p>
      <w:pPr>
        <w:spacing w:after="0" w:line="1" w:lineRule="exact"/>
        <w:rPr>
          <w:rFonts w:ascii="Arial" w:cs="Arial" w:eastAsia="Arial" w:hAnsi="Arial"/>
          <w:sz w:val="14"/>
          <w:szCs w:val="14"/>
          <w:color w:val="auto"/>
        </w:rPr>
      </w:pPr>
    </w:p>
    <w:p>
      <w:pPr>
        <w:ind w:left="340" w:right="360" w:hanging="332"/>
        <w:spacing w:after="0" w:line="258"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5" w:lineRule="exact"/>
        <w:rPr>
          <w:rFonts w:ascii="Arial" w:cs="Arial" w:eastAsia="Arial" w:hAnsi="Arial"/>
          <w:sz w:val="14"/>
          <w:szCs w:val="14"/>
          <w:color w:val="auto"/>
        </w:rPr>
      </w:pPr>
    </w:p>
    <w:p>
      <w:pPr>
        <w:ind w:left="320" w:hanging="312"/>
        <w:spacing w:after="0" w:line="233" w:lineRule="auto"/>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ind w:right="40"/>
        <w:spacing w:after="0" w:line="251" w:lineRule="auto"/>
        <w:rPr>
          <w:sz w:val="20"/>
          <w:szCs w:val="20"/>
          <w:color w:val="auto"/>
        </w:rPr>
      </w:pPr>
      <w:r>
        <w:rPr>
          <w:rFonts w:ascii="Arial" w:cs="Arial" w:eastAsia="Arial" w:hAnsi="Arial"/>
          <w:sz w:val="18"/>
          <w:szCs w:val="18"/>
          <w:color w:val="auto"/>
        </w:rPr>
        <w:t>During the first nine months of 2021, we realized higher net pricing and favorable volume/mix, which was partially offset by increased input costs. Higher net pricing, which included the carryover impact of pricing actions taken in 2020 as well as the effects of input cost-driven pricing actions taken during the first nine months of 2021, was reflected in all regions. Favorable volume/mix was driven by Europe, AMEA and Latin America, partially offset by unfavorable volume/mix in North America. Overall, volume/mix benefited from volume gains as we lapped the significant negative impacts of the pandemic in many of our key markets, while in North America, we lapped high volume growth in the prior-year period from increased consumer demand due to the pandemic. The increase in input costs was driven by higher raw material costs, partially offset by lower manufacturing costs driven by productivity and lower incremental COVID-19 related costs. Higher raw material costs were in part due to increased currency exchange transaction costs on imported materials, as well as higher oils, packaging, cocoa, sugar, grains, nuts and other ingredients costs, partially offset by lower dairy costs.</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Total selling, general and administrative expenses increased $119 million from the first nine months of 2020, due to a number of factors noted in the table above, including in part, an unfavorable currency impact related to expenses, incremental expenses from acquisitions, the impact from pension participation changes and higher acquisition-related costs, which were partially offset by a net benefit from acquisition integration costs and contingent consideration adjustments, lower implementation costs incurred for the Simplify to Grow Program, lapping prior-year costs associated with the JDE Peet's transaction and the favorable impact from the resolution of a tax matter. Excluding these factors, selling, general and administrative expenses increased $104 million from the first nine months of 2020. The increase was driven primarily by higher advertising and consumer promotion costs, partially offset by lower overhead costs.</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Favorable currency changes increased operating income by $130 million due primarily to the strength of several currencies relative to the U.S. dollar, including the euro, British pound sterling, Australian dollar, Chinese yuan, Canadian dollar and South African rand, partially offset by the strength of the U.S. dollar relative to several currencies, including the Argentinean peso, Brazilian real, Russian ruble, Turkish lira and Swiss franc.</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margin increased from 14.0% in the first nine months of 2020 to 16.4% in the first nine months of 2021. The increase was driven primarily by a favorable year-over-year change in mark-to-market gains/(losses) from currency and commodity hedging activities, lower intangible asset impairment charges, higher Adjusted Operating Income margin, a net benefit from acquisition integration costs and contingent consideration adjustments and lapping prior-year costs associated with the JDE Peet's transaction, partially offset by higher Simplify to Grow program costs, the impact of pension participation changes and higher acquisition-related costs. Adjusted Operating Income margin increased from 16.7% for the first nine months of 2020 to 17.1% for the first nine months of 2021. The increase was driven primarily by higher net pricing, lower manufacturing costs, lower overhead costs and lower amortization of intangible assets, partially offset by higher raw material costs, unfavorable product mix and higher advertising and consumer promotion costs.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8" w:name="page49"/>
    <w:bookmarkEnd w:id="48"/>
    <w:p>
      <w:pPr>
        <w:spacing w:after="0" w:line="180" w:lineRule="auto"/>
        <w:framePr w:w="380" w:h="95" w:wrap="auto" w:vAnchor="page" w:hAnchor="page" w:x="3200" w:y="8172"/>
        <w:rPr>
          <w:rFonts w:ascii="Arial" w:cs="Arial" w:eastAsia="Arial" w:hAnsi="Arial"/>
          <w:sz w:val="11"/>
          <w:szCs w:val="11"/>
          <w:color w:val="auto"/>
        </w:rPr>
      </w:pPr>
      <w:r>
        <w:rPr>
          <w:rFonts w:ascii="Arial" w:cs="Arial" w:eastAsia="Arial" w:hAnsi="Arial"/>
          <w:sz w:val="11"/>
          <w:szCs w:val="11"/>
          <w:color w:val="auto"/>
        </w:rPr>
        <w:t>(2) (3)</w:t>
      </w:r>
    </w:p>
    <w:p>
      <w:pPr>
        <w:spacing w:after="0" w:line="180" w:lineRule="auto"/>
        <w:framePr w:w="380" w:h="95" w:wrap="auto" w:vAnchor="page" w:hAnchor="page" w:x="3200" w:y="3595"/>
        <w:rPr>
          <w:rFonts w:ascii="Arial" w:cs="Arial" w:eastAsia="Arial" w:hAnsi="Arial"/>
          <w:sz w:val="11"/>
          <w:szCs w:val="11"/>
          <w:color w:val="auto"/>
        </w:rPr>
      </w:pPr>
      <w:r>
        <w:rPr>
          <w:rFonts w:ascii="Arial" w:cs="Arial" w:eastAsia="Arial" w:hAnsi="Arial"/>
          <w:sz w:val="11"/>
          <w:szCs w:val="11"/>
          <w:color w:val="auto"/>
        </w:rPr>
        <w:t>(2) (3)</w:t>
      </w: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rFonts w:ascii="Arial" w:cs="Arial" w:eastAsia="Arial" w:hAnsi="Arial"/>
          <w:sz w:val="11"/>
          <w:szCs w:val="11"/>
          <w:color w:val="auto"/>
        </w:rPr>
      </w:pPr>
    </w:p>
    <w:p>
      <w:pPr>
        <w:spacing w:after="0" w:line="229"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$3,297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$898 million (37.4%) in the first nine months of 2021. Diluted EPS attributable to Mondelēz International was $2.33 in the first nine months of 2021, up $0.67 (40.4%) from the first nine months of 2020.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$2.17 in the first nine months of 2021, up $0.26 (13.6%) from the first nine months of 2020.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$2.08 in the first nine months of 2021, up $0.17 (8.9%) from the first nine months of 2020.</w:t>
      </w:r>
    </w:p>
    <w:p>
      <w:pPr>
        <w:sectPr>
          <w:pgSz w:w="11900" w:h="16838" w:orient="portrait"/>
          <w:cols w:equalWidth="0" w:num="1">
            <w:col w:w="11240"/>
          </w:cols>
          <w:pgMar w:left="320" w:top="382" w:right="339" w:bottom="1440" w:gutter="0" w:footer="0" w:header="0"/>
        </w:sectPr>
      </w:pPr>
    </w:p>
    <w:p>
      <w:pPr>
        <w:spacing w:after="0" w:line="360" w:lineRule="exact"/>
        <w:rPr>
          <w:rFonts w:ascii="Arial" w:cs="Arial" w:eastAsia="Arial" w:hAnsi="Arial"/>
          <w:sz w:val="11"/>
          <w:szCs w:val="11"/>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Nine Months Ended September 30, 2020</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ind w:left="800"/>
        <w:spacing w:after="0" w:line="231"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Net earnings from divestiture</w:t>
      </w:r>
    </w:p>
    <w:p>
      <w:pPr>
        <w:ind w:left="800"/>
        <w:spacing w:after="0" w:line="230" w:lineRule="auto"/>
        <w:rPr>
          <w:sz w:val="20"/>
          <w:szCs w:val="20"/>
          <w:color w:val="auto"/>
        </w:rPr>
      </w:pPr>
      <w:r>
        <w:rPr>
          <w:rFonts w:ascii="Arial" w:cs="Arial" w:eastAsia="Arial" w:hAnsi="Arial"/>
          <w:sz w:val="16"/>
          <w:szCs w:val="16"/>
          <w:color w:val="auto"/>
        </w:rPr>
        <w:t xml:space="preserve">Costs associated with JDE Peet's transaction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(5)</w:t>
      </w:r>
    </w:p>
    <w:p>
      <w:pPr>
        <w:ind w:left="800"/>
        <w:spacing w:after="0" w:line="215"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(6)</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(7)</w:t>
      </w:r>
    </w:p>
    <w:p>
      <w:pPr>
        <w:spacing w:after="0" w:line="1" w:lineRule="exact"/>
        <w:rPr>
          <w:rFonts w:ascii="Arial" w:cs="Arial" w:eastAsia="Arial" w:hAnsi="Arial"/>
          <w:sz w:val="11"/>
          <w:szCs w:val="11"/>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2020</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rFonts w:ascii="Arial" w:cs="Arial" w:eastAsia="Arial" w:hAnsi="Arial"/>
          <w:sz w:val="11"/>
          <w:szCs w:val="11"/>
          <w:color w:val="auto"/>
        </w:rPr>
      </w:pPr>
    </w:p>
    <w:p>
      <w:pPr>
        <w:ind w:left="800"/>
        <w:spacing w:after="0"/>
        <w:rPr>
          <w:sz w:val="20"/>
          <w:szCs w:val="20"/>
          <w:color w:val="auto"/>
        </w:rPr>
      </w:pPr>
      <w:r>
        <w:rPr>
          <w:rFonts w:ascii="Arial" w:cs="Arial" w:eastAsia="Arial" w:hAnsi="Arial"/>
          <w:sz w:val="16"/>
          <w:szCs w:val="16"/>
          <w:color w:val="auto"/>
        </w:rPr>
        <w:t>Increase in equity method investment net earnings</w:t>
      </w:r>
    </w:p>
    <w:p>
      <w:pPr>
        <w:ind w:left="800"/>
        <w:spacing w:after="0" w:line="230" w:lineRule="auto"/>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(8)</w:t>
      </w:r>
    </w:p>
    <w:p>
      <w:pPr>
        <w:ind w:left="800"/>
        <w:spacing w:after="0" w:line="215"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(5)</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(9)</w:t>
      </w:r>
    </w:p>
    <w:p>
      <w:pPr>
        <w:spacing w:after="0" w:line="1" w:lineRule="exact"/>
        <w:rPr>
          <w:rFonts w:ascii="Arial" w:cs="Arial" w:eastAsia="Arial" w:hAnsi="Arial"/>
          <w:sz w:val="11"/>
          <w:szCs w:val="11"/>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2021</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Favorable currency translation</w:t>
      </w:r>
    </w:p>
    <w:p>
      <w:pPr>
        <w:spacing w:after="0" w:line="4" w:lineRule="exact"/>
        <w:rPr>
          <w:rFonts w:ascii="Arial" w:cs="Arial" w:eastAsia="Arial" w:hAnsi="Arial"/>
          <w:sz w:val="11"/>
          <w:szCs w:val="11"/>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2021</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ind w:left="800"/>
        <w:spacing w:after="0" w:line="199"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31"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Net earnings from divestiture</w:t>
      </w:r>
    </w:p>
    <w:p>
      <w:pPr>
        <w:spacing w:after="0" w:line="7" w:lineRule="exact"/>
        <w:rPr>
          <w:rFonts w:ascii="Arial" w:cs="Arial" w:eastAsia="Arial" w:hAnsi="Arial"/>
          <w:sz w:val="11"/>
          <w:szCs w:val="11"/>
          <w:color w:val="auto"/>
        </w:rPr>
      </w:pPr>
    </w:p>
    <w:p>
      <w:pPr>
        <w:ind w:left="800"/>
        <w:spacing w:after="0"/>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8" w:lineRule="auto"/>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Loss on debt extinguishment </w:t>
      </w:r>
      <w:r>
        <w:rPr>
          <w:rFonts w:ascii="Arial" w:cs="Arial" w:eastAsia="Arial" w:hAnsi="Arial"/>
          <w:sz w:val="21"/>
          <w:szCs w:val="21"/>
          <w:color w:val="auto"/>
          <w:vertAlign w:val="superscript"/>
        </w:rPr>
        <w:t>(10)</w:t>
      </w:r>
    </w:p>
    <w:p>
      <w:pPr>
        <w:ind w:left="800"/>
        <w:spacing w:after="0" w:line="231"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(5)</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(6)</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(7)</w:t>
      </w:r>
    </w:p>
    <w:p>
      <w:pPr>
        <w:ind w:left="680"/>
        <w:spacing w:after="0" w:line="211" w:lineRule="auto"/>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1" w:lineRule="exact"/>
        <w:rPr>
          <w:rFonts w:ascii="Arial" w:cs="Arial" w:eastAsia="Arial" w:hAnsi="Arial"/>
          <w:sz w:val="11"/>
          <w:szCs w:val="11"/>
          <w:color w:val="auto"/>
        </w:rPr>
      </w:pPr>
    </w:p>
    <w:p>
      <w:pPr>
        <w:ind w:left="800"/>
        <w:spacing w:after="0"/>
        <w:rPr>
          <w:sz w:val="20"/>
          <w:szCs w:val="20"/>
          <w:color w:val="auto"/>
        </w:rPr>
      </w:pPr>
      <w:r>
        <w:rPr>
          <w:rFonts w:ascii="Arial" w:cs="Arial" w:eastAsia="Arial" w:hAnsi="Arial"/>
          <w:sz w:val="16"/>
          <w:szCs w:val="16"/>
          <w:b w:val="1"/>
          <w:bCs w:val="1"/>
          <w:color w:val="auto"/>
        </w:rPr>
        <w:t>Nine Months Ended September 30, 2021</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103" w:lineRule="exact"/>
        <w:rPr>
          <w:rFonts w:ascii="Arial" w:cs="Arial" w:eastAsia="Arial" w:hAnsi="Arial"/>
          <w:sz w:val="11"/>
          <w:szCs w:val="11"/>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917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19" w:lineRule="exact"/>
        <w:rPr>
          <w:rFonts w:ascii="Arial" w:cs="Arial" w:eastAsia="Arial" w:hAnsi="Arial"/>
          <w:sz w:val="11"/>
          <w:szCs w:val="11"/>
          <w:color w:val="auto"/>
        </w:rPr>
      </w:pPr>
    </w:p>
    <w:p>
      <w:pPr>
        <w:ind w:left="1040" w:hanging="1034"/>
        <w:spacing w:after="0"/>
        <w:tabs>
          <w:tab w:leader="none" w:pos="104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1.66</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0.14</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1"/>
          <w:szCs w:val="11"/>
          <w:color w:val="auto"/>
        </w:rPr>
      </w:pPr>
    </w:p>
    <w:p>
      <w:pPr>
        <w:jc w:val="right"/>
        <w:ind w:right="60"/>
        <w:spacing w:after="0"/>
        <w:rPr>
          <w:sz w:val="20"/>
          <w:szCs w:val="20"/>
          <w:color w:val="auto"/>
        </w:rPr>
      </w:pPr>
      <w:r>
        <w:rPr>
          <w:rFonts w:ascii="Arial" w:cs="Arial" w:eastAsia="Arial" w:hAnsi="Arial"/>
          <w:sz w:val="16"/>
          <w:szCs w:val="16"/>
          <w:color w:val="auto"/>
        </w:rPr>
        <w:t>(0.04)</w:t>
      </w:r>
    </w:p>
    <w:p>
      <w:pPr>
        <w:spacing w:after="0" w:line="32" w:lineRule="exact"/>
        <w:rPr>
          <w:rFonts w:ascii="Arial" w:cs="Arial" w:eastAsia="Arial" w:hAnsi="Arial"/>
          <w:sz w:val="11"/>
          <w:szCs w:val="11"/>
          <w:color w:val="auto"/>
        </w:rPr>
      </w:pPr>
    </w:p>
    <w:p>
      <w:pPr>
        <w:jc w:val="right"/>
        <w:ind w:right="100"/>
        <w:spacing w:after="0"/>
        <w:rPr>
          <w:sz w:val="20"/>
          <w:szCs w:val="20"/>
          <w:color w:val="auto"/>
        </w:rPr>
      </w:pPr>
      <w:r>
        <w:rPr>
          <w:rFonts w:ascii="Arial" w:cs="Arial" w:eastAsia="Arial" w:hAnsi="Arial"/>
          <w:sz w:val="16"/>
          <w:szCs w:val="16"/>
          <w:color w:val="auto"/>
        </w:rPr>
        <w:t>0.21</w:t>
      </w:r>
    </w:p>
    <w:p>
      <w:pPr>
        <w:spacing w:after="0" w:line="32" w:lineRule="exact"/>
        <w:rPr>
          <w:rFonts w:ascii="Arial" w:cs="Arial" w:eastAsia="Arial" w:hAnsi="Arial"/>
          <w:sz w:val="11"/>
          <w:szCs w:val="11"/>
          <w:color w:val="auto"/>
        </w:rPr>
      </w:pPr>
    </w:p>
    <w:p>
      <w:pPr>
        <w:jc w:val="right"/>
        <w:ind w:right="100"/>
        <w:spacing w:after="0"/>
        <w:rPr>
          <w:sz w:val="20"/>
          <w:szCs w:val="20"/>
          <w:color w:val="auto"/>
        </w:rPr>
      </w:pPr>
      <w:r>
        <w:rPr>
          <w:rFonts w:ascii="Arial" w:cs="Arial" w:eastAsia="Arial" w:hAnsi="Arial"/>
          <w:sz w:val="16"/>
          <w:szCs w:val="16"/>
          <w:color w:val="auto"/>
        </w:rPr>
        <w:t>0.01</w:t>
      </w:r>
    </w:p>
    <w:p>
      <w:pPr>
        <w:spacing w:after="0" w:line="32" w:lineRule="exact"/>
        <w:rPr>
          <w:rFonts w:ascii="Arial" w:cs="Arial" w:eastAsia="Arial" w:hAnsi="Arial"/>
          <w:sz w:val="11"/>
          <w:szCs w:val="11"/>
          <w:color w:val="auto"/>
        </w:rPr>
      </w:pPr>
    </w:p>
    <w:p>
      <w:pPr>
        <w:jc w:val="right"/>
        <w:ind w:right="100"/>
        <w:spacing w:after="0"/>
        <w:rPr>
          <w:sz w:val="20"/>
          <w:szCs w:val="20"/>
          <w:color w:val="auto"/>
        </w:rPr>
      </w:pPr>
      <w:r>
        <w:rPr>
          <w:rFonts w:ascii="Arial" w:cs="Arial" w:eastAsia="Arial" w:hAnsi="Arial"/>
          <w:sz w:val="16"/>
          <w:szCs w:val="16"/>
          <w:color w:val="auto"/>
        </w:rPr>
        <w:t>0.05</w:t>
      </w:r>
    </w:p>
    <w:p>
      <w:pPr>
        <w:spacing w:after="0" w:line="32" w:lineRule="exact"/>
        <w:rPr>
          <w:rFonts w:ascii="Arial" w:cs="Arial" w:eastAsia="Arial" w:hAnsi="Arial"/>
          <w:sz w:val="11"/>
          <w:szCs w:val="11"/>
          <w:color w:val="auto"/>
        </w:rPr>
      </w:pPr>
    </w:p>
    <w:p>
      <w:pPr>
        <w:jc w:val="right"/>
        <w:ind w:right="100"/>
        <w:spacing w:after="0"/>
        <w:rPr>
          <w:sz w:val="20"/>
          <w:szCs w:val="20"/>
          <w:color w:val="auto"/>
        </w:rPr>
      </w:pPr>
      <w:r>
        <w:rPr>
          <w:rFonts w:ascii="Arial" w:cs="Arial" w:eastAsia="Arial" w:hAnsi="Arial"/>
          <w:sz w:val="16"/>
          <w:szCs w:val="16"/>
          <w:color w:val="auto"/>
        </w:rPr>
        <w:t>0.02</w:t>
      </w:r>
    </w:p>
    <w:p>
      <w:pPr>
        <w:spacing w:after="0" w:line="32" w:lineRule="exact"/>
        <w:rPr>
          <w:rFonts w:ascii="Arial" w:cs="Arial" w:eastAsia="Arial" w:hAnsi="Arial"/>
          <w:sz w:val="11"/>
          <w:szCs w:val="11"/>
          <w:color w:val="auto"/>
        </w:rPr>
      </w:pPr>
    </w:p>
    <w:p>
      <w:pPr>
        <w:jc w:val="right"/>
        <w:ind w:right="60"/>
        <w:spacing w:after="0"/>
        <w:rPr>
          <w:sz w:val="20"/>
          <w:szCs w:val="20"/>
          <w:color w:val="auto"/>
        </w:rPr>
      </w:pPr>
      <w:r>
        <w:rPr>
          <w:rFonts w:ascii="Arial" w:cs="Arial" w:eastAsia="Arial" w:hAnsi="Arial"/>
          <w:sz w:val="16"/>
          <w:szCs w:val="16"/>
          <w:color w:val="auto"/>
        </w:rPr>
        <w:t>(0.31)</w:t>
      </w:r>
    </w:p>
    <w:p>
      <w:pPr>
        <w:spacing w:after="0" w:line="32" w:lineRule="exact"/>
        <w:rPr>
          <w:rFonts w:ascii="Arial" w:cs="Arial" w:eastAsia="Arial" w:hAnsi="Arial"/>
          <w:sz w:val="11"/>
          <w:szCs w:val="11"/>
          <w:color w:val="auto"/>
        </w:rPr>
      </w:pPr>
    </w:p>
    <w:p>
      <w:pPr>
        <w:jc w:val="right"/>
        <w:ind w:right="100"/>
        <w:spacing w:after="0"/>
        <w:rPr>
          <w:sz w:val="20"/>
          <w:szCs w:val="20"/>
          <w:color w:val="auto"/>
        </w:rPr>
      </w:pPr>
      <w:r>
        <w:rPr>
          <w:rFonts w:ascii="Arial" w:cs="Arial" w:eastAsia="Arial" w:hAnsi="Arial"/>
          <w:sz w:val="16"/>
          <w:szCs w:val="16"/>
          <w:color w:val="auto"/>
        </w:rPr>
        <w:t>0.05</w:t>
      </w:r>
    </w:p>
    <w:p>
      <w:pPr>
        <w:spacing w:after="0" w:line="26" w:lineRule="exact"/>
        <w:rPr>
          <w:rFonts w:ascii="Arial" w:cs="Arial" w:eastAsia="Arial" w:hAnsi="Arial"/>
          <w:sz w:val="11"/>
          <w:szCs w:val="11"/>
          <w:color w:val="auto"/>
        </w:rPr>
      </w:pPr>
    </w:p>
    <w:p>
      <w:pPr>
        <w:ind w:left="1040" w:hanging="1034"/>
        <w:spacing w:after="0"/>
        <w:tabs>
          <w:tab w:leader="none" w:pos="10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1.91</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0.14</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1"/>
          <w:szCs w:val="11"/>
          <w:color w:val="auto"/>
        </w:rPr>
      </w:pPr>
    </w:p>
    <w:p>
      <w:pPr>
        <w:jc w:val="right"/>
        <w:ind w:right="60"/>
        <w:spacing w:after="0"/>
        <w:rPr>
          <w:sz w:val="20"/>
          <w:szCs w:val="20"/>
          <w:color w:val="auto"/>
        </w:rPr>
      </w:pPr>
      <w:r>
        <w:rPr>
          <w:rFonts w:ascii="Arial" w:cs="Arial" w:eastAsia="Arial" w:hAnsi="Arial"/>
          <w:sz w:val="16"/>
          <w:szCs w:val="16"/>
          <w:color w:val="auto"/>
        </w:rPr>
        <w:t>(0.05)</w:t>
      </w:r>
    </w:p>
    <w:p>
      <w:pPr>
        <w:spacing w:after="0" w:line="32" w:lineRule="exact"/>
        <w:rPr>
          <w:rFonts w:ascii="Arial" w:cs="Arial" w:eastAsia="Arial" w:hAnsi="Arial"/>
          <w:sz w:val="11"/>
          <w:szCs w:val="11"/>
          <w:color w:val="auto"/>
        </w:rPr>
      </w:pPr>
    </w:p>
    <w:p>
      <w:pPr>
        <w:jc w:val="right"/>
        <w:ind w:right="100"/>
        <w:spacing w:after="0"/>
        <w:rPr>
          <w:sz w:val="20"/>
          <w:szCs w:val="20"/>
          <w:color w:val="auto"/>
        </w:rPr>
      </w:pPr>
      <w:r>
        <w:rPr>
          <w:rFonts w:ascii="Arial" w:cs="Arial" w:eastAsia="Arial" w:hAnsi="Arial"/>
          <w:sz w:val="16"/>
          <w:szCs w:val="16"/>
          <w:color w:val="auto"/>
        </w:rPr>
        <w:t>0.04</w:t>
      </w:r>
    </w:p>
    <w:p>
      <w:pPr>
        <w:spacing w:after="0" w:line="26" w:lineRule="exact"/>
        <w:rPr>
          <w:rFonts w:ascii="Arial" w:cs="Arial" w:eastAsia="Arial" w:hAnsi="Arial"/>
          <w:sz w:val="11"/>
          <w:szCs w:val="11"/>
          <w:color w:val="auto"/>
        </w:rPr>
      </w:pPr>
    </w:p>
    <w:p>
      <w:pPr>
        <w:ind w:left="1040" w:hanging="1034"/>
        <w:spacing w:after="0"/>
        <w:tabs>
          <w:tab w:leader="none" w:pos="10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2.08</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0.09</w:t>
      </w:r>
    </w:p>
    <w:p>
      <w:pPr>
        <w:spacing w:after="0" w:line="26" w:lineRule="exact"/>
        <w:rPr>
          <w:rFonts w:ascii="Arial" w:cs="Arial" w:eastAsia="Arial" w:hAnsi="Arial"/>
          <w:sz w:val="11"/>
          <w:szCs w:val="11"/>
          <w:color w:val="auto"/>
        </w:rPr>
      </w:pPr>
    </w:p>
    <w:p>
      <w:pPr>
        <w:ind w:left="1040" w:hanging="1034"/>
        <w:spacing w:after="0"/>
        <w:tabs>
          <w:tab w:leader="none" w:pos="10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2.17</w:t>
      </w:r>
    </w:p>
    <w:p>
      <w:pPr>
        <w:spacing w:after="0" w:line="5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(0.20)</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0.16</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0.40</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27" w:lineRule="exact"/>
        <w:rPr>
          <w:rFonts w:ascii="Arial" w:cs="Arial" w:eastAsia="Arial" w:hAnsi="Arial"/>
          <w:sz w:val="11"/>
          <w:szCs w:val="11"/>
          <w:color w:val="auto"/>
        </w:rPr>
      </w:pPr>
    </w:p>
    <w:p>
      <w:pPr>
        <w:ind w:left="1040" w:hanging="1034"/>
        <w:spacing w:after="0"/>
        <w:tabs>
          <w:tab w:leader="none" w:pos="104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2.33</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17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wp:posOffset>
            </wp:positionV>
            <wp:extent cx="9175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62" w:lineRule="exact"/>
        <w:rPr>
          <w:rFonts w:ascii="Arial" w:cs="Arial" w:eastAsia="Arial" w:hAnsi="Arial"/>
          <w:sz w:val="11"/>
          <w:szCs w:val="11"/>
          <w:color w:val="auto"/>
        </w:rPr>
      </w:pPr>
    </w:p>
    <w:p>
      <w:pPr>
        <w:sectPr>
          <w:pgSz w:w="11900" w:h="16838" w:orient="portrait"/>
          <w:cols w:equalWidth="0" w:num="2">
            <w:col w:w="9060" w:space="720"/>
            <w:col w:w="1460"/>
          </w:cols>
          <w:pgMar w:left="320" w:top="382" w:right="339" w:bottom="1440" w:gutter="0" w:footer="0" w:header="0"/>
          <w:type w:val="continuous"/>
        </w:sect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right="160" w:hanging="332"/>
        <w:spacing w:after="0" w:line="241"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w:t>
      </w:r>
    </w:p>
    <w:p>
      <w:pPr>
        <w:ind w:left="340" w:right="440" w:hanging="332"/>
        <w:spacing w:after="0" w:line="241"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impact from 2020 partial sales of our equity method investments in KDP and JDE Peet’s and the second quarter 2021 sale of KDP shares as if the sales occurred at the beginning of all periods presented. The third quarter 2021 sale of KDP shares will be reflected on a lag basis in the fourth quarter of 2021.</w:t>
      </w: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306" w:lineRule="exact"/>
        <w:rPr>
          <w:rFonts w:ascii="Arial" w:cs="Arial" w:eastAsia="Arial" w:hAnsi="Arial"/>
          <w:sz w:val="11"/>
          <w:szCs w:val="11"/>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gain on equity method investment transactions.</w:t>
      </w:r>
    </w:p>
    <w:p>
      <w:pPr>
        <w:spacing w:after="0" w:line="15"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82" w:right="5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2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5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3"/>
        </w:trPr>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gridSpan w:val="3"/>
          </w:tcPr>
          <w:p>
            <w:pPr>
              <w:ind w:left="60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2,714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7,248</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7,182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188"/>
        </w:trPr>
        <w:tc>
          <w:tcPr>
            <w:tcW w:w="52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7"/>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18.2 %</w:t>
            </w:r>
          </w:p>
        </w:tc>
      </w:tr>
      <w:tr>
        <w:trPr>
          <w:trHeight w:val="418"/>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2,089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48.3 %</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74"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Net revenues increased $ 141 million (23.1%), due to higher net pricing (15.1 pp) and favorable volume/mix (10.8 pp), partially offset by unfavorable currency (2.8 pp). Higher net pricing was reflected across all categories, driven primarily by Argentina, Brazil and Mexico. Favorable volume/mix reflected strong volume growth as the region lapped a weak prior-year quarter impacted by pandemic-related lockdowns. Favorable volume/mix was driven by gains in chocolate, biscuits, gum and candy, partially offset by declines in refreshment beverages and cheese &amp; grocery. Unfavorable currency impacts were due primarily to the strength of the U.S. dollar relative to several currencies in the region, primarily the Argentinean peso, partially offset by the strength of several currencies relative to the U.S. dollar, primarily the Mexican peso and Brazilian real.</w:t>
      </w:r>
    </w:p>
    <w:p>
      <w:pPr>
        <w:spacing w:after="0" w:line="2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Segment operating income increased $14 million (18.2%), primarily due to higher net pricing, favorable volume/mix and lower manufacturing costs (productivity and lower incremental COVID-19 related costs) and lower costs incurred for the Simplify to Grow Program. These favorable items were partially offset by higher raw material costs, higher advertising and consumer promotion costs, higher other selling, general and administrative expenses and unfavorable currency.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Net revenues increased $ 242 million (13.1%), due to higher net pricing (13.1 pp) and favorable volume/mix (7.6 pp), partially offset by unfavorable currency (7.6 pp). Higher net pricing was reflected across all categories, driven primarily by Argentina, Brazil and Mexico. Favorable volume/mix reflected strong volume growth as the region lapped a weak prior-year period impacted by pandemic-related lockdowns. Favorable volume/mix was driven by gains in chocolate, biscuits, gum and candy, partially offset by declines in refreshment beverages and cheese &amp; grocery. Unfavorable currency impacts were due primarily to the strength of the U.S. dollar relative to several currencies in the region including the Argentinian peso and Brazilian real, partially offset by the strength of several currencies relative to the U.S. dollar, primarily the Mexican peso.</w:t>
      </w:r>
    </w:p>
    <w:p>
      <w:pPr>
        <w:spacing w:after="0" w:line="2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Segment operating income increased $72 million (48.3%), primarily due to higher net pricing, lower manufacturing costs (productivity and lower incremental COVID-19 related costs), favorable volume/mix, lower costs incurred for the Simplify to Grow Program and the favorable impact from the resolution of a tax matter. These favorable items were partially offset by higher raw material costs, higher advertising and consumer promotion costs and unfavorable currency.</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1,629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27.1 %</w:t>
            </w:r>
          </w:p>
        </w:tc>
      </w:tr>
      <w:tr>
        <w:trPr>
          <w:trHeight w:val="337"/>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4,826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842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36.9 %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revenues increased $159 million (10.8%), due to favorable volume/mix (3.9 pp), favorable currency (3.0 pp), the impact of an acquisition (2.1 pp) and higher net pricing (1.8 pp). Favorable volume/mix reflected overall volume gains from increased demand for most of our snack category products as we continue to recover from the impacts of the pandemic, though some markets were still challenged. Favorable volume/mix was driven by gains in chocolate, gum and candy, partially offset by declines in cheese &amp; grocery, biscuits and refreshment beverages. Favorable currency impacts were due to the strength of most currencies relative to the U.S. dollar, including the Chinese yuan, South African rand and Australian dollar. The April 1, 2021 acquisition of Gourmet Food added incremental net revenues of $31 million (constant currency basis) in the third quarter of 2021. Higher net pricing was reflected across all categories except cheese &amp; grocery and candy.</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income increased $57 million (27.1%), primarily due to lower manufacturing costs driven by productivity, higher net pricing, lower costs incurred for the Simplify to Grow Program, favorable currency, favorable volume/mix, lapping prior-year divestiture-related costs and the impact of an acquisition. These favorable items were partially offset by higher raw material costs and higher advertising and consumer promotion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increased $617 million (14.7%), due to favorable volume/mix (5.7 pp), favorable currency (5.5 pp), higher net pricing (2.2 pp) and the impact of an acquisition (1.3 pp). Favorable volume/mix reflected net overall volume gains as the negative impacts from the pandemic that we experienced in the prior-year period subsided across most of the region, though some markets were still challenged. Favorable volume/mix was driven by gains in chocolate, gum, biscuits and candy, partially offset by declines in cheese &amp; grocery and refreshment beverages. Favorable currency impacts were due to the strength of most currencies relative to the U.S. dollar, including the Australian dollar, Chinese yuan, South African rand, New Zealand dollar and Philippine peso. Higher net pricing was reflected across all categories except cheese &amp; grocery. The April 1, 2021 acquisition of Gourmet Food added incremental net revenues of $54 million (constant currency basis) in the first nine months of 2021.</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Segment operating income increased $227 million (36.9%), primarily due to lower manufacturing costs (productivity and lower incremental COVID-19 related costs), higher net pricing, favorable volume/mix, favorable currency, lower costs incurred for the Simplify to Grow Program, the impact of an acquisition and lapping prior-year intangible asset impairment charges. These favorable items were partially offset by higher raw material costs, higher advertising and consumer promotion costs and higher other selling, general and administrative expenses.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2,714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594"/>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8,035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1,478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23.1 %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7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Net revenues increased $188 million (7.4%), due to favorable volume/mix (3.1 pp), favorable currency (2.0 pp), higher net pricing (1.5 pp) and the impact of an acquisition (0.8 pp). Favorable volume/mix was driven by strong volume growth as we experienced increased demand for most of our snack category products and our world travel business continued to recover as global travel improved though still below pre-pandemic levels. Favorable volume/mix was driven by gains in chocolate, biscuits and cheese &amp; grocery, partially offset by declines in gum, candy and refreshment beverages. Favorable currency impacts reflected the strength of most currencies in the region relative to the U.S. dollar, including the British pound sterling, euro, Norwegian krone, Russian ruble and Swedish krona, partially offset by the strength of the U.S. dollar relative to a few currencies, including the Turkish lira and Polish zloty. Higher net pricing was reflected across all categories except cheese &amp; grocery. The March 25, 2021 acquisition of Grenade added incremental net revenues of $20 million (constant currency basis) in the third quarter of 2021.</w:t>
      </w:r>
    </w:p>
    <w:p>
      <w:pPr>
        <w:spacing w:after="0" w:line="2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Segment operating income increased $76 million (17.6%), primarily due to lower Simplify to Grow Program costs, higher net pricing, favorable volume/mix, lower other selling, general and administrative expenses, favorable currency and lower manufacturing costs (productivity and lower incremental COVID-19 related costs). These favorable items were partially offset by higher raw material costs, higher advertising and consumer promotion costs and acquisition integration costs incurred in the quarter.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revenues increased $787 million (10.9%), due to favorable currency (5.9 pp), favorable volume/mix (3.2 pp), higher net pricing (1.2 pp) and the impact of an acquisition (0.6 pp). Favorable currency impacts reflected the strength of most currencies in the region relative to the U.S. dollar, including the euro, British pound sterling, Swedish krona, Norwegian krone, Czech koruna and Polish zloty, partially offset by the strength of the U.S. dollar relative to a few currencies, including the Turkish lira and Russian ruble. Favorable volume/mix was driven by strong volume growth as we experienced increased demand for most of our snack category products and our world travel business continued to recover as global travel improved though still below pre-pandemic levels. Favorable volume/mix was driven by gains in chocolate, biscuits, cheese &amp; grocery, and refreshment beverages, partially offset by declines in gum and candy. Higher net pricing was reflected across all categories except cheese &amp; grocery. The March 25, 2021 acquisition of Grenade added incremental net revenues of $41 million (constant currency basis) in the first nine months of 2021.</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Segment operating income increased $ 277 million (23.1%), primarily due to favorable volume/mix, favorable currency, higher net pricing, lower manufacturing costs (productivity and lower incremental COVID-19 related costs), lower Simplify to Grow Program costs, lapping prior-year intangible asset impairment charges and lower other selling, general and administrative expenses. These favorable items were partially offset by higher raw material costs, the impact of pension participation changes, higher advertising and consumer promotion costs and acquisition integration costs incurred in the first nine months of 2021.</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2,088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594"/>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5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5080" w:type="dxa"/>
            <w:vAlign w:val="bottom"/>
          </w:tcPr>
          <w:p>
            <w:pPr>
              <w:spacing w:after="0"/>
              <w:rPr>
                <w:sz w:val="15"/>
                <w:szCs w:val="15"/>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6,112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932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revenues increased $29 million (1.4%), due to higher net pricing (2.4 pp), the impact of an acquisition (0.6 pp) and favorable currency (0.5 pp), partially offset by unfavorable volume/mix (2.1 pp). Higher net pricing was reflected across all categories. The January 4, 2021 acquisition of Hu Master Holdings added incremental net revenues of $11 million in the third quarter of 2021. Favorable currency impact was due to the strength of the Canadian dollar relative to the U.S. dollar. Unfavorable volume mix reflected volume declines as the region lapped a very strong prior-year quarter that reflected significantly increased food purchases for in-home consumption due to the pandemic. Unfavorable volume/mix was driven by a decline in biscuits, candy and chocolate, partially offset by a gain in gum.</w:t>
      </w:r>
    </w:p>
    <w:p>
      <w:pPr>
        <w:spacing w:after="0" w:line="2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Segment operating income decreased $24 million (6.2%), primarily due to higher Simplify to Grow Program costs, higher raw material costs and unfavorable volume/mix. These unfavorable items were partially offset by a net benefit from acquisition integration costs and contingent consideration adjustments, higher net pricing, lapping prior-year intangible asset impairment charges, lower manufacturing costs (primarily lower incremental COVID-19 related costs), lower advertising and consumer promotion costs and lower other selling, general and administrative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$133 million (2.2%), due to the impact of acquisitions (2.2 pp), higher net pricing (1.1 pp) and favorable currency (0.7 pp), partially offset by unfavorable volume/mix (1.8 pp). The April 1, 2020 acquisition of Give &amp; Go added incremental net revenues of $106 million and the January 4, 2021 acquisition of Hu Master Holdings added incremental net revenues of $27 million in the first nine months of 2021. Higher net pricing was driven by biscuits, chocolate and gum, partially offset by lower net pricing in candy. Favorable currency impact was due to the strength of the Canadian dollar relative to the U.S. dollar. Unfavorable volume mix reflected volume declines as the region lapped a very strong prior-year period that reflected significantly increased food purchases for in-home consumption due to the pandemic. Unfavorable volume/mix was driven by declines in biscuits, candy, gum and chocolate.</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Segment operating income decreased $260 million (21.8%), primarily due to higher Simplify to Grow Program costs, unfavorable volume/mix, higher raw material costs and higher advertising and consumer promotion costs. These unfavorable items were partially offset by higher net pricing, a net benefit from acquisition integration costs and contingent consideration adjustments, lower other selling, general and administrative expenses, lower intangible asset impairment charges, lower manufacturing costs (lower incremental COVID-19 related costs and productivity), favorable currency and the impact of acquisitions.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believe that cash from operations, our revolving credit facilities, short-term borrowings and long-term debt will continue to provide sufficient liquidity for our working capital needs, planned capital expenditures, payments of our contractual, tax and benefit plan obligations and payments for acquisitions, share repurchases and quarterly dividends. In light of the ongoing uncertainty related to the COVID-19 pandemic, however, an economic or credit crisis could occur and impair credit availability and our ability to raise capital when needed. A disruption in the financial markets could also impair our banking and other business partners, on whom we rely for access to capital and as counterparties for a number of our derivative contracts. Any of these and other developments could materially harm our access to capital or financial condition. We carry $7.0 billion of undrawn credit facilities, continue to utilize our commercial paper program and international credit lines, and we secured and continue to evaluate long-term debt issuances to meet our short- and longer-term funding requirements. We also use intercompany loans with our international subsidiaries to improve financial flexibility. In addition, our publicly-traded investments in KDP and JDEP had a fair value of $ 6.0 billion as of September 30, 2021 and are available as a source of additional liquidity. In 2020, we sold portions of our stakes in these businesses worth $2.5 billion in total, and in the first nine months of 2021, we sold an additional $1.5 billion worth of KDP shares. Overall, at this time, we do not expect any negative effects to our funding sources that would have a material effect on our liquidity; however, if a serious economic or credit market crisis were to occur, it could have a material adverse effect on our liquidity,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provided by operating activities was $2,720 million in the first nine months of 2021 and $2,315 million in the first nine months of 2020. The increase in net cash provided by operating activities was due primarily to higher earnings and lower working capital requirements, partially offset by higher tax payments and lower dividends received from our equity method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Net cash provided by investing activities was $106 million in the first nine months of 2021 and net cash used in investing activities was $357 million in the first nine months of 2020. The change was due primarily to lower cash expenditures for acquisitions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and higher cash proceeds from the sale of shares in our equity method investments (refer to Note 6,</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We continue to make capital expenditures primarily to modernize manufacturing facilities and support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initiatives. We expect 2021 capital expenditures to be approximately $1.0 billion, including capital expenditures in connection with our Simplify to Grow Program. We expect to continue to fund these expenditures with cash from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financing activities was $2,971 million in the first nine months of 2021 and $495 million in the first nine months of 2020. The increase in cash used in financing activities was primarily due to higher amounts of net long-term debt repayments, higher share repurchases and higher dividends paid in the first nine months of 2021 than in the same prior-year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Chipita Acquisition</w:t>
      </w:r>
    </w:p>
    <w:p>
      <w:pPr>
        <w:spacing w:after="0" w:line="2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We expect our acquisition of Chipita S.A. to close in the first half of 2022 and to pay approximately € 1.7 billion ($2.0 billion) in cash for the business, which we have raised through issuing long-term debt primarily in the third quarter of 2021. Refer to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for additional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nine months of 2021. The nature and amount of our long -term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23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73.0% (or $15.4 billion) of the $21.1 billion of consolidated net revenue in the nine months ended September 30, 2021. The operations held by MIHN represented approximately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81.3% (or $22.6 billion) of the $27.8 billion of net assets as of September 30, 2021 and 76.2% (or $21.1 billion) of the $27.7 billion of net assets as of December 31, 2020.</w:t>
      </w:r>
    </w:p>
    <w:p>
      <w:pPr>
        <w:spacing w:after="0" w:line="22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December 2020, our Board of Directors approved a new $6.0 billion long-term financing authority to replace the prior $8.0 billion authority. As of September 30, 2021, we had approximately $40.0 million of long-term financing authority remaining.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next 12 months, we expect to repay approximately $2.0 billion of maturing long-term debt: $0.3 billion in December 2021, $ 1.2 billion in July 2022 and $0.5 billion in September 2022. We expect to fund these repayments with cash on hand, as well as short-term and long-term debt.</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Our total debt was $20.0 billion at September 30, 2021 and $20.0 billion at December 31, 2020. Our debt-to-capitalization ratio was 0.42 at September 30, 2021 and 0.42 at December 31, 2020. At September 30, 2021, the weighted-average term of our outstanding long-term debt was 9.6 years. Our average daily commercial paper borrowings outstanding were $0.5 billion in the first nine months of 2021 and $3.0 billion in the first nine months of 2020. We had commercial paper outstanding totaling $184 million as of September 30, 2021 and no commercial paper borrowings outstanding at December 31, 2020. We expect to continue to use cash or commercial paper to finance various short-term financing needs. Through September 30, 2021, we continue to comply with our debt covenants. Refer to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2021, the primary drivers of the increase in our aggregate commodity costs were higher currency exchange transaction costs on imported materials, as well as increased costs for oils, packaging, cocoa, sugar, grains, nuts and other ingredients costs.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external factors such as the current COVID-19 global pandemic,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32"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As a result of international supply chain, transportation and labor market disruptions and generally higher commodity, transportation and labor costs in the third quarter of 2021, we expect price volatility and a higher aggregate cost environment to continue in the remainder of 2021 and into 2022. While the costs of our principal raw materials fluctuate, we believe there will continue to be an adequate supply of the raw materials we use and that they will generally remain available.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5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information on debt transactions during 2021. There were no other material developments or changes to our off-balance sheet arrangements and aggregate contractual obligations disclosed in our Annual Report on Form 10-K for the year ended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xml:space="preserve">, to our condensed consolidated financial statements and Part II, Item 2, </w:t>
      </w:r>
      <w:r>
        <w:rPr>
          <w:rFonts w:ascii="Arial" w:cs="Arial" w:eastAsia="Arial" w:hAnsi="Arial"/>
          <w:sz w:val="18"/>
          <w:szCs w:val="18"/>
          <w:i w:val="1"/>
          <w:iCs w:val="1"/>
          <w:color w:val="auto"/>
        </w:rPr>
        <w:t>Unregistered Sales of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Use of Proceeds</w:t>
      </w:r>
      <w:r>
        <w:rPr>
          <w:rFonts w:ascii="Arial" w:cs="Arial" w:eastAsia="Arial" w:hAnsi="Arial"/>
          <w:sz w:val="18"/>
          <w:szCs w:val="18"/>
          <w:color w:val="auto"/>
        </w:rPr>
        <w:t>, for more information on our stock plans, grant activity and share repurchase program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 of September 30, 2021, our Board of Directors has authorized share repurchases up to $23.7 billion through December 31, 2023. Under this program, we have repurchased approximately $19.7 billion of shares through</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September 30, 2021 ($1.8 billion in the first nine months of 2021, $1.4 billion in 2020, $1.5 billion in 2019, $2.0 billion in 2018, $2.2 billion in 2017, $2.6 billion in 2016, $3.6 billion in 2015, $1.9 billion in 2014 and $2.7 billion in 2013), at a weighted-average cost of $41.74 per share.</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paid dividends of $1,337 million in the first nine months of 2021 and $1,227 million in the first nine months of 2020. The third quarter 2021 dividend of $0.35 per share, declared on July 27, 2021 for shareholders of record as of September 30, 2021, was paid on October 14, 2021.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3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anticipate that the 2021 distributions will be characterized as dividends under U.S. federal income tax rules. The final determination will be made on an IRS Form 1099–DIV issued in early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2020.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2020.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the impact of new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“likely,” “estimate,” “anticipate,” “objective,” “predict,” “project,” “seek,” “aim,” “potential,” “outlook” and similar expressions are intended to identify our forward-looking statements, including but not limited to statements about: the impact of the COVID-19 pandemic on our business including consumer demand, costs, product mix, the availability of our products, our strategic initiatives, our and our partners’ global supply chains, operations, technology, assets and routes to market, and our financial performance; our future performance, including our future revenue and earnings growth; our strategy to accelerate consumer-centric growth, drive operational excellence and create a winning growth culture; volatility in global consumer, commodity, transportation, labor, currency and capital markets; price volatility, inflation and pricing actions; the cost environment, including higher operating, raw material, transportation, labor and fuel costs, factors affecting costs and measures we are taking to address increased costs; supply, transportation and labor constraints; snack consumption and our ability to meet demand for our products; our tax rate, tax positions, tax proceedings and the impact of potential U.S. and other tax reform on our results; the U.K.'s separation from the E.U. and its impact on our business and results, including in connection with disagreements on trade terms, delays affecting our supply chain or distribution, disruptions to sales or collections, or further increases in inflationary cost pressures; the costs of, timing of expenditures under and completion of our restructuring program; commodity prices, supply and availability; our investments including in JDE Peet's and KDP and our ownership interest in those investments;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strategic transactions, including the Chipita acquisition; innovation; political, business and economic conditions and volatility; currency exchange rates, controls and restrictions, volatility in foreign currencies and the effect of currency translation on our results of operations; the application of highly inflationary accounting for our Argentinean subsidiaries and the potential for and impacts from currency devaluation in other countries;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liquidity, funding sources and uses of funding, including debt issuances and our use of commercial paper; our capital structure and liquidity, credit availability and our ability to raise capital, and the impact of market disruptions on us, our counterparties and our business partners; the planned phase out of London Interbank Offered Rates; our risk management program, including the use of financial instruments and the impacts and effectiveness of our hedging activities; working capital; capital expenditures and funding; funding of debt maturities and other obligations; share repurchases; dividends; long-term value for our shareholders; the characterization of 2021 distributions as dividends; compliance with our debt covenants; and our contractual and other obligations.</w:t>
      </w:r>
    </w:p>
    <w:p>
      <w:pPr>
        <w:spacing w:after="0" w:line="23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These forward-looking statements involve risks and uncertainties, many of which are beyond our control, and many of these risks and uncertainties are currently amplified by and may continue to be amplified by the COVID-19 pandemic, including the spread of new variants of COVID-19. Important factors that could cause our actual results to differ materially from those described in our forward-looking statements include, but are not limited to, uncertainty about the effectiveness of efforts by health officials and governments to control the spread of COVID-19 and inoculate and treat populations impacted by COVID-19; uncertainty about the reimposition or lessening of restrictions imposed by governments intended to mitigate the spread of COVID-19 and the magnitude, duration, geographic reach and impact on the global economy of COVID-19; the ongoing, and uncertain future, impact of the COVID-19 pandemic on our business, growth, reputation, prospects, financial condition, operating results (including components of our financial results), cash flows and liquidity; risks from operating globally including in emerging markets; changes in currency exchange rates, controls and restrictions; volatility of commodity and other input costs; weakness in economic conditions; weakness in consumer spending; pricing actions; tax matters including changes in tax laws and rates, disagreements with taxing authorities and imposition of new taxes; use of information technology and third party service providers; unanticipated disruptions to our business, such as the malware incident, cyberattacks or other security breaches; global or regional health pandemics or epidemics, including COVID-19; competition;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customers, suppliers or distributors; legal, regulatory, tax or benefit law changes, claims or actions; </w:t>
      </w:r>
      <w:r>
        <w:rPr>
          <w:rFonts w:ascii="Arial" w:cs="Arial" w:eastAsia="Arial" w:hAnsi="Arial"/>
          <w:sz w:val="18"/>
          <w:szCs w:val="18"/>
          <w:color w:val="212529"/>
        </w:rPr>
        <w:t>the impact of climate change on our supply chain and</w:t>
      </w:r>
      <w:r>
        <w:rPr>
          <w:rFonts w:ascii="Arial" w:cs="Arial" w:eastAsia="Arial" w:hAnsi="Arial"/>
          <w:sz w:val="18"/>
          <w:szCs w:val="18"/>
          <w:color w:val="auto"/>
        </w:rPr>
        <w:t xml:space="preserve"> </w:t>
      </w:r>
      <w:r>
        <w:rPr>
          <w:rFonts w:ascii="Arial" w:cs="Arial" w:eastAsia="Arial" w:hAnsi="Arial"/>
          <w:sz w:val="18"/>
          <w:szCs w:val="18"/>
          <w:color w:val="212529"/>
        </w:rPr>
        <w:t xml:space="preserve">operations; </w:t>
      </w:r>
      <w:r>
        <w:rPr>
          <w:rFonts w:ascii="Arial" w:cs="Arial" w:eastAsia="Arial" w:hAnsi="Arial"/>
          <w:sz w:val="18"/>
          <w:szCs w:val="18"/>
          <w:color w:val="000000"/>
        </w:rPr>
        <w:t>strategic transactions; significant changes in valuation factors that may adversely affect our impairment testing of goodwill and</w:t>
      </w:r>
      <w:r>
        <w:rPr>
          <w:rFonts w:ascii="Arial" w:cs="Arial" w:eastAsia="Arial" w:hAnsi="Arial"/>
          <w:sz w:val="18"/>
          <w:szCs w:val="18"/>
          <w:color w:val="212529"/>
        </w:rPr>
        <w:t xml:space="preserve"> </w:t>
      </w:r>
      <w:r>
        <w:rPr>
          <w:rFonts w:ascii="Arial" w:cs="Arial" w:eastAsia="Arial" w:hAnsi="Arial"/>
          <w:sz w:val="18"/>
          <w:szCs w:val="18"/>
          <w:color w:val="000000"/>
        </w:rPr>
        <w:t>intangible assets; perceived or actual product quality issues or product recalls; failure to maintain effective internal control over financial reporting; volatility of and access to capital or other markets and our liquidity;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0"/>
          <w:szCs w:val="10"/>
          <w:color w:val="auto"/>
        </w:rPr>
        <w:t>(1)</w:t>
      </w:r>
      <w:r>
        <w:rPr>
          <w:rFonts w:ascii="Arial" w:cs="Arial" w:eastAsia="Arial" w:hAnsi="Arial"/>
          <w:sz w:val="18"/>
          <w:szCs w:val="18"/>
          <w:color w:val="auto"/>
        </w:rPr>
        <w:t>.</w:t>
      </w:r>
    </w:p>
    <w:p>
      <w:pPr>
        <w:spacing w:after="0" w:line="19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ind w:left="980" w:right="200" w:hanging="324"/>
        <w:spacing w:after="0" w:line="250" w:lineRule="auto"/>
        <w:tabs>
          <w:tab w:leader="none" w:pos="9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600" w:hanging="324"/>
        <w:spacing w:after="0" w:line="261" w:lineRule="auto"/>
        <w:tabs>
          <w:tab w:leader="none" w:pos="9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14" w:lineRule="exact"/>
        <w:rPr>
          <w:rFonts w:ascii="Arial" w:cs="Arial" w:eastAsia="Arial" w:hAnsi="Arial"/>
          <w:sz w:val="18"/>
          <w:szCs w:val="18"/>
          <w:color w:val="auto"/>
        </w:rPr>
      </w:pPr>
    </w:p>
    <w:p>
      <w:pPr>
        <w:ind w:left="660" w:right="140" w:hanging="328"/>
        <w:spacing w:after="0" w:line="213"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“Adjusted Operating Income” is defined as operating income excluding the impacts of the Simplify to Grow Program </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gains or losses (including non-cash impairment charges) on goodwill and intangible assets; divestiture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or acquisition gains or losses, divestiture-related costs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acquisition-related costs, and acquisition integration costs and contingent consideration adjustments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the operating results of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remeasurement of net monetary position </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mark-to-market impacts from commodity, forecasted currency and equity method investment transaction derivative contracts </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impact from resolution of tax matters </w:t>
      </w:r>
      <w:r>
        <w:rPr>
          <w:rFonts w:ascii="Arial" w:cs="Arial" w:eastAsia="Arial" w:hAnsi="Arial"/>
          <w:sz w:val="22"/>
          <w:szCs w:val="22"/>
          <w:color w:val="auto"/>
          <w:vertAlign w:val="superscript"/>
        </w:rPr>
        <w:t>(7)</w:t>
      </w:r>
      <w:r>
        <w:rPr>
          <w:rFonts w:ascii="Arial" w:cs="Arial" w:eastAsia="Arial" w:hAnsi="Arial"/>
          <w:sz w:val="17"/>
          <w:szCs w:val="17"/>
          <w:color w:val="auto"/>
        </w:rPr>
        <w:t xml:space="preserve">; CEO transition remuneration </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impact from pension participation changes </w:t>
      </w:r>
      <w:r>
        <w:rPr>
          <w:rFonts w:ascii="Arial" w:cs="Arial" w:eastAsia="Arial" w:hAnsi="Arial"/>
          <w:sz w:val="22"/>
          <w:szCs w:val="22"/>
          <w:color w:val="auto"/>
          <w:vertAlign w:val="superscript"/>
        </w:rPr>
        <w:t>(9)</w:t>
      </w:r>
      <w:r>
        <w:rPr>
          <w:rFonts w:ascii="Arial" w:cs="Arial" w:eastAsia="Arial" w:hAnsi="Arial"/>
          <w:sz w:val="17"/>
          <w:szCs w:val="17"/>
          <w:color w:val="auto"/>
        </w:rPr>
        <w:t xml:space="preserve">; initial impacts from enacted tax law changes </w:t>
      </w:r>
      <w:r>
        <w:rPr>
          <w:rFonts w:ascii="Arial" w:cs="Arial" w:eastAsia="Arial" w:hAnsi="Arial"/>
          <w:sz w:val="22"/>
          <w:szCs w:val="22"/>
          <w:color w:val="auto"/>
          <w:vertAlign w:val="superscript"/>
        </w:rPr>
        <w:t>(10)</w:t>
      </w:r>
      <w:r>
        <w:rPr>
          <w:rFonts w:ascii="Arial" w:cs="Arial" w:eastAsia="Arial" w:hAnsi="Arial"/>
          <w:sz w:val="17"/>
          <w:szCs w:val="17"/>
          <w:color w:val="auto"/>
        </w:rPr>
        <w:t>; and costs associated with the JDE Peet's transaction. We also present “Adjusted Operating Income margin,” which is subject to the same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adjustments as Adjusted Operating Income. We also evaluate growth in our Adjusted Operating Income on a constant currency basis</w:t>
      </w:r>
    </w:p>
    <w:p>
      <w:pPr>
        <w:ind w:left="660"/>
        <w:spacing w:after="0" w:line="183" w:lineRule="auto"/>
        <w:rPr>
          <w:sz w:val="20"/>
          <w:szCs w:val="20"/>
          <w:color w:val="auto"/>
        </w:rPr>
      </w:pPr>
      <w:r>
        <w:rPr>
          <w:rFonts w:ascii="Arial" w:cs="Arial" w:eastAsia="Arial" w:hAnsi="Arial"/>
          <w:sz w:val="10"/>
          <w:szCs w:val="10"/>
          <w:color w:val="auto"/>
        </w:rPr>
        <w:t>(3)</w:t>
      </w:r>
      <w:r>
        <w:rPr>
          <w:rFonts w:ascii="Arial" w:cs="Arial" w:eastAsia="Arial" w:hAnsi="Arial"/>
          <w:sz w:val="27"/>
          <w:szCs w:val="27"/>
          <w:color w:val="auto"/>
          <w:vertAlign w:val="subscript"/>
        </w:rPr>
        <w:t>.</w:t>
      </w:r>
    </w:p>
    <w:p>
      <w:pPr>
        <w:spacing w:after="0" w:line="243" w:lineRule="exact"/>
        <w:rPr>
          <w:sz w:val="20"/>
          <w:szCs w:val="20"/>
          <w:color w:val="auto"/>
        </w:rPr>
      </w:pPr>
    </w:p>
    <w:p>
      <w:pPr>
        <w:ind w:left="660" w:right="80" w:hanging="328"/>
        <w:spacing w:after="0" w:line="24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equity method investment transactions;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gains or losses on interest rate swaps no longer designated as accounting cash flow hedges due to changed financing and hedging plans.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980" w:right="60" w:hanging="324"/>
        <w:spacing w:after="0" w:line="241" w:lineRule="auto"/>
        <w:tabs>
          <w:tab w:leader="none" w:pos="967" w:val="left"/>
        </w:tabs>
        <w:numPr>
          <w:ilvl w:val="1"/>
          <w:numId w:val="51"/>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second quarter of 2021, we added to the non-GAAP definitions the exclusion of initial impacts from enacted tax law changes (refer to footnote (10) below). In the third quarter of 2021, we also added the exclusion of contingent consideration adjustments (refer to footnote (2) below) and the mark-to-market impacts from equity method investment transaction derivative contracts (refer to footnote (6) below).</w:t>
      </w:r>
    </w:p>
    <w:p>
      <w:pPr>
        <w:spacing w:after="0" w:line="1" w:lineRule="exact"/>
        <w:rPr>
          <w:rFonts w:ascii="Arial" w:cs="Arial" w:eastAsia="Arial" w:hAnsi="Arial"/>
          <w:sz w:val="14"/>
          <w:szCs w:val="14"/>
          <w:color w:val="auto"/>
        </w:rPr>
      </w:pPr>
    </w:p>
    <w:p>
      <w:pPr>
        <w:ind w:left="980" w:hanging="324"/>
        <w:spacing w:after="0" w:line="241" w:lineRule="auto"/>
        <w:tabs>
          <w:tab w:leader="none" w:pos="967" w:val="left"/>
        </w:tabs>
        <w:numPr>
          <w:ilvl w:val="1"/>
          <w:numId w:val="51"/>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During the third quarter of 2021, we began to exclude the impact of certain adjustments made to our acquisition contingent consideration liabilities that were recorded at the date of acquisition. We made this adjustment to better facilitate comparisons of our underlying operating performance across periods.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6, </w:t>
      </w:r>
      <w:r>
        <w:rPr>
          <w:rFonts w:ascii="Arial" w:cs="Arial" w:eastAsia="Arial" w:hAnsi="Arial"/>
          <w:sz w:val="14"/>
          <w:szCs w:val="14"/>
          <w:i w:val="1"/>
          <w:iCs w:val="1"/>
          <w:color w:val="auto"/>
        </w:rPr>
        <w:t>Equity</w:t>
      </w:r>
      <w:r>
        <w:rPr>
          <w:rFonts w:ascii="Arial" w:cs="Arial" w:eastAsia="Arial" w:hAnsi="Arial"/>
          <w:sz w:val="14"/>
          <w:szCs w:val="14"/>
          <w:color w:val="auto"/>
        </w:rPr>
        <w:t xml:space="preserve"> </w:t>
      </w:r>
      <w:r>
        <w:rPr>
          <w:rFonts w:ascii="Arial" w:cs="Arial" w:eastAsia="Arial" w:hAnsi="Arial"/>
          <w:sz w:val="14"/>
          <w:szCs w:val="14"/>
          <w:i w:val="1"/>
          <w:iCs w:val="1"/>
          <w:color w:val="auto"/>
        </w:rPr>
        <w:t>Method Investments</w:t>
      </w:r>
      <w:r>
        <w:rPr>
          <w:rFonts w:ascii="Arial" w:cs="Arial" w:eastAsia="Arial" w:hAnsi="Arial"/>
          <w:sz w:val="14"/>
          <w:szCs w:val="14"/>
          <w:color w:val="auto"/>
        </w:rPr>
        <w:t>, for information on acquisitions and divestitures impacting the comparability of our results.</w:t>
      </w:r>
    </w:p>
    <w:p>
      <w:pPr>
        <w:spacing w:after="0" w:line="2" w:lineRule="exact"/>
        <w:rPr>
          <w:rFonts w:ascii="Arial" w:cs="Arial" w:eastAsia="Arial" w:hAnsi="Arial"/>
          <w:sz w:val="14"/>
          <w:szCs w:val="14"/>
          <w:color w:val="auto"/>
        </w:rPr>
      </w:pPr>
    </w:p>
    <w:p>
      <w:pPr>
        <w:jc w:val="both"/>
        <w:ind w:left="980" w:right="160" w:hanging="324"/>
        <w:spacing w:after="0" w:line="241" w:lineRule="auto"/>
        <w:tabs>
          <w:tab w:leader="none" w:pos="967"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80" w:hanging="324"/>
        <w:spacing w:after="0" w:line="241" w:lineRule="auto"/>
        <w:tabs>
          <w:tab w:leader="none" w:pos="967" w:val="left"/>
        </w:tabs>
        <w:numPr>
          <w:ilvl w:val="1"/>
          <w:numId w:val="51"/>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100" w:hanging="324"/>
        <w:spacing w:after="0" w:line="241" w:lineRule="auto"/>
        <w:tabs>
          <w:tab w:leader="none" w:pos="967" w:val="left"/>
        </w:tabs>
        <w:numPr>
          <w:ilvl w:val="1"/>
          <w:numId w:val="51"/>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ind w:left="980" w:right="600" w:hanging="324"/>
        <w:spacing w:after="0" w:line="247" w:lineRule="auto"/>
        <w:tabs>
          <w:tab w:leader="none" w:pos="967" w:val="left"/>
        </w:tabs>
        <w:numPr>
          <w:ilvl w:val="1"/>
          <w:numId w:val="51"/>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contracts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jc w:val="both"/>
        <w:ind w:left="980" w:right="20"/>
        <w:spacing w:after="0" w:line="241" w:lineRule="auto"/>
        <w:rPr>
          <w:sz w:val="20"/>
          <w:szCs w:val="20"/>
          <w:color w:val="auto"/>
        </w:rPr>
      </w:pPr>
      <w:r>
        <w:rPr>
          <w:rFonts w:ascii="Arial" w:cs="Arial" w:eastAsia="Arial" w:hAnsi="Arial"/>
          <w:sz w:val="14"/>
          <w:szCs w:val="14"/>
          <w:color w:val="auto"/>
        </w:rPr>
        <w:t>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1" w:lineRule="exact"/>
        <w:rPr>
          <w:sz w:val="20"/>
          <w:szCs w:val="20"/>
          <w:color w:val="auto"/>
        </w:rPr>
      </w:pPr>
    </w:p>
    <w:p>
      <w:pPr>
        <w:ind w:left="980" w:right="300" w:hanging="324"/>
        <w:spacing w:after="0" w:line="241" w:lineRule="auto"/>
        <w:tabs>
          <w:tab w:leader="none" w:pos="967"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in this report, and Note 14,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in our Annual Report on Form 10-K for the year ended December 31, 2020.</w:t>
      </w:r>
    </w:p>
    <w:p>
      <w:pPr>
        <w:ind w:left="980" w:hanging="324"/>
        <w:spacing w:after="0" w:line="241" w:lineRule="auto"/>
        <w:tabs>
          <w:tab w:leader="none" w:pos="967"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 During the first quarter of 2020, Mr. Van de Put's equity grants became fully vested.</w:t>
      </w:r>
    </w:p>
    <w:p>
      <w:pPr>
        <w:spacing w:after="0" w:line="3" w:lineRule="exact"/>
        <w:rPr>
          <w:rFonts w:ascii="Arial" w:cs="Arial" w:eastAsia="Arial" w:hAnsi="Arial"/>
          <w:sz w:val="14"/>
          <w:szCs w:val="14"/>
          <w:color w:val="auto"/>
        </w:rPr>
      </w:pPr>
    </w:p>
    <w:p>
      <w:pPr>
        <w:ind w:left="980" w:right="180" w:hanging="324"/>
        <w:spacing w:after="0" w:line="241" w:lineRule="auto"/>
        <w:tabs>
          <w:tab w:leader="none" w:pos="967"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40" w:hanging="324"/>
        <w:spacing w:after="0" w:line="241" w:lineRule="auto"/>
        <w:tabs>
          <w:tab w:leader="none" w:pos="979"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have excluded the initial impacts from enacted tax law changes. Initial impacts include items such as the remeasurement of deferred tax balances and the transition tax from the 2017 U.S. tax reform. Previously, we only excluded the initial impacts from more material tax reforms, specifically the impacts of the 2019 Swiss tax reform and 2017 U.S. tax reform. We exclude initial impacts from enacted tax law changes from our Adjusted EPS as they do not reflect our ongoing tax obligations under the enacted tax law changes. Refer to our Annual Report on Form 10-K for the year ended December 31, 2020 for more information on the impact of Swiss and U.S. tax reform.</w:t>
      </w:r>
    </w:p>
    <w:p>
      <w:pPr>
        <w:spacing w:after="0" w:line="1" w:lineRule="exact"/>
        <w:rPr>
          <w:rFonts w:ascii="Arial" w:cs="Arial" w:eastAsia="Arial" w:hAnsi="Arial"/>
          <w:sz w:val="14"/>
          <w:szCs w:val="14"/>
          <w:color w:val="auto"/>
        </w:rPr>
      </w:pPr>
    </w:p>
    <w:p>
      <w:pPr>
        <w:ind w:left="980" w:hanging="324"/>
        <w:spacing w:after="0" w:line="244" w:lineRule="auto"/>
        <w:tabs>
          <w:tab w:leader="none" w:pos="979"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and acquisitions.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ectPr>
          <w:pgSz w:w="11900" w:h="16838" w:orient="portrait"/>
          <w:cols w:equalWidth="0" w:num="1">
            <w:col w:w="11220"/>
          </w:cols>
          <w:pgMar w:left="320" w:top="382" w:right="359" w:bottom="1440" w:gutter="0" w:footer="0" w:header="0"/>
        </w:sectPr>
      </w:pPr>
    </w:p>
    <w:p>
      <w:pPr>
        <w:spacing w:after="0" w:line="110"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For the Three Months Ended September 30, 2021</w:t>
      </w:r>
    </w:p>
    <w:p>
      <w:pPr>
        <w:spacing w:after="0" w:line="28" w:lineRule="exact"/>
        <w:rPr>
          <w:sz w:val="20"/>
          <w:szCs w:val="20"/>
          <w:color w:val="auto"/>
        </w:rPr>
      </w:pPr>
    </w:p>
    <w:tbl>
      <w:tblPr>
        <w:tblLayout w:type="fixed"/>
        <w:tblInd w:w="216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For the Three Months Ended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480"/>
          </w:cols>
          <w:pgMar w:left="320" w:top="382"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4,376</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6,665</w:t>
            </w:r>
          </w:p>
        </w:tc>
      </w:tr>
      <w:tr>
        <w:trPr>
          <w:trHeight w:val="213"/>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2,568</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4,463</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7,031</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2,289</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4,376</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6,665</w:t>
            </w:r>
          </w:p>
        </w:tc>
      </w:tr>
      <w:tr>
        <w:trPr>
          <w:trHeight w:val="21"/>
        </w:trPr>
        <w:tc>
          <w:tcPr>
            <w:tcW w:w="2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82" w:right="359" w:bottom="1440" w:gutter="0" w:footer="0" w:header="0"/>
          <w:type w:val="continuous"/>
        </w:sectPr>
      </w:pPr>
    </w:p>
    <w:p>
      <w:pPr>
        <w:spacing w:after="0" w:line="39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For the Nine Months Ended September 30, 2021</w:t>
      </w:r>
    </w:p>
    <w:p>
      <w:pPr>
        <w:spacing w:after="0" w:line="28" w:lineRule="exact"/>
        <w:rPr>
          <w:sz w:val="20"/>
          <w:szCs w:val="20"/>
          <w:color w:val="auto"/>
        </w:rPr>
      </w:pPr>
    </w:p>
    <w:tbl>
      <w:tblPr>
        <w:tblLayout w:type="fixed"/>
        <w:tblInd w:w="216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For the Nine Months Ended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480"/>
          </w:cols>
          <w:pgMar w:left="320" w:top="382"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7,440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21,062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12,660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19,283</w:t>
            </w:r>
          </w:p>
        </w:tc>
      </w:tr>
      <w:tr>
        <w:trPr>
          <w:trHeight w:val="213"/>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7,458</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12,816</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20,274</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6,623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12,660</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19,283</w:t>
            </w:r>
          </w:p>
        </w:tc>
      </w:tr>
      <w:tr>
        <w:trPr>
          <w:trHeight w:val="21"/>
        </w:trPr>
        <w:tc>
          <w:tcPr>
            <w:tcW w:w="2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forecasted currency and equity method investment transaction derivative contracts; acquisition integration costs and contingent consideration adjustments; acquisition-related costs; divestiture-related costs; gain on an acquisition; the remeasurement of net monetary position; impact from pension participation changes: costs associated with JDE Peet's transaction; and impact from resolution of tax matters. We also evaluate Adjusted Operating Income on a constant currency basis. We believe these measures provide improved comparability of underlying operating results.</w:t>
      </w:r>
    </w:p>
    <w:p>
      <w:pPr>
        <w:spacing w:after="0" w:line="105"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14.0 %</w:t>
            </w:r>
          </w:p>
        </w:tc>
      </w:tr>
      <w:tr>
        <w:trPr>
          <w:trHeight w:val="229"/>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78"/>
        </w:trPr>
        <w:tc>
          <w:tcPr>
            <w:tcW w:w="40" w:type="dxa"/>
            <w:vAlign w:val="bottom"/>
          </w:tcPr>
          <w:p>
            <w:pPr>
              <w:spacing w:after="0"/>
              <w:rPr>
                <w:sz w:val="15"/>
                <w:szCs w:val="15"/>
                <w:color w:val="auto"/>
              </w:rPr>
            </w:pPr>
          </w:p>
        </w:tc>
        <w:tc>
          <w:tcPr>
            <w:tcW w:w="504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rPr>
              <w:t>Acquisition integration costs and</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27"/>
        </w:trPr>
        <w:tc>
          <w:tcPr>
            <w:tcW w:w="40" w:type="dxa"/>
            <w:vAlign w:val="bottom"/>
          </w:tcPr>
          <w:p>
            <w:pPr>
              <w:spacing w:after="0"/>
              <w:rPr>
                <w:sz w:val="19"/>
                <w:szCs w:val="19"/>
                <w:color w:val="auto"/>
              </w:rPr>
            </w:pPr>
          </w:p>
        </w:tc>
        <w:tc>
          <w:tcPr>
            <w:tcW w:w="504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Other/rounding</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1,236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6.1 %</w:t>
            </w:r>
          </w:p>
        </w:tc>
      </w:tr>
      <w:tr>
        <w:trPr>
          <w:trHeight w:val="229"/>
        </w:trPr>
        <w:tc>
          <w:tcPr>
            <w:tcW w:w="40" w:type="dxa"/>
            <w:vAlign w:val="bottom"/>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currency translation</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1,217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4.5 %</w:t>
            </w: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736"/>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For the Nine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27.6 %</w:t>
            </w: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(3)</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88"/>
        </w:trPr>
        <w:tc>
          <w:tcPr>
            <w:tcW w:w="40" w:type="dxa"/>
            <w:vAlign w:val="bottom"/>
            <w:shd w:val="clear" w:color="auto" w:fill="CCEEFF"/>
          </w:tcPr>
          <w:p>
            <w:pPr>
              <w:spacing w:after="0"/>
              <w:rPr>
                <w:sz w:val="16"/>
                <w:szCs w:val="16"/>
                <w:color w:val="auto"/>
              </w:rPr>
            </w:pPr>
          </w:p>
        </w:tc>
        <w:tc>
          <w:tcPr>
            <w:tcW w:w="50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Acquisition integration costs and</w:t>
            </w: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7"/>
        </w:trPr>
        <w:tc>
          <w:tcPr>
            <w:tcW w:w="40" w:type="dxa"/>
            <w:vAlign w:val="bottom"/>
            <w:shd w:val="clear" w:color="auto" w:fill="CCEEFF"/>
          </w:tcPr>
          <w:p>
            <w:pPr>
              <w:spacing w:after="0"/>
              <w:rPr>
                <w:sz w:val="18"/>
                <w:szCs w:val="18"/>
                <w:color w:val="auto"/>
              </w:rPr>
            </w:pPr>
          </w:p>
        </w:tc>
        <w:tc>
          <w:tcPr>
            <w:tcW w:w="5040" w:type="dxa"/>
            <w:vAlign w:val="bottom"/>
            <w:shd w:val="clear" w:color="auto" w:fill="CCEEFF"/>
          </w:tcPr>
          <w:p>
            <w:pPr>
              <w:ind w:left="300"/>
              <w:spacing w:after="0" w:line="216"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(4)</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(7)</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Other/rounding</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880" w:type="dxa"/>
            <w:vAlign w:val="bottom"/>
            <w:tcBorders>
              <w:top w:val="single" w:sz="8" w:color="auto"/>
            </w:tcBorders>
            <w:gridSpan w:val="2"/>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3,605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3,213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392</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12.2 %</w:t>
            </w:r>
          </w:p>
        </w:tc>
      </w:tr>
      <w:tr>
        <w:trPr>
          <w:trHeight w:val="230"/>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currency translation</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880" w:type="dxa"/>
            <w:vAlign w:val="bottom"/>
            <w:tcBorders>
              <w:top w:val="single" w:sz="8" w:color="auto"/>
              <w:bottom w:val="single" w:sz="8" w:color="auto"/>
            </w:tcBorders>
            <w:gridSpan w:val="2"/>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3,475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8.2 %</w:t>
            </w:r>
          </w:p>
        </w:tc>
      </w:tr>
      <w:tr>
        <w:trPr>
          <w:trHeight w:val="21"/>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forecasted currency and equity method investment transaction derivatives.</w:t>
      </w:r>
    </w:p>
    <w:p>
      <w:pPr>
        <w:ind w:left="340" w:right="20" w:hanging="332"/>
        <w:spacing w:after="0" w:line="241"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 Refer to our Annual Report on Form 10-K for the year ended December 31, 2020, for more information on the May 28, 2019 divestiture of most of our cheese business in the Middle East and Africa.</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JDE Peet's transaction.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0"/>
          <w:szCs w:val="10"/>
          <w:color w:val="auto"/>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net earnings from divestitures; a loss related to interest rate swaps; a loss on debt extinguishment and related expenses; initial impacts from enacted tax law changes, gain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07" w:lineRule="exact"/>
        <w:rPr>
          <w:sz w:val="20"/>
          <w:szCs w:val="20"/>
          <w:color w:val="auto"/>
        </w:rPr>
      </w:pPr>
    </w:p>
    <w:p>
      <w:pPr>
        <w:jc w:val="center"/>
        <w:ind w:left="2060"/>
        <w:spacing w:after="0"/>
        <w:rPr>
          <w:sz w:val="20"/>
          <w:szCs w:val="20"/>
          <w:color w:val="auto"/>
        </w:rPr>
      </w:pPr>
      <w:r>
        <w:rPr>
          <w:rFonts w:ascii="Arial" w:cs="Arial" w:eastAsia="Arial" w:hAnsi="Arial"/>
          <w:sz w:val="14"/>
          <w:szCs w:val="14"/>
          <w:b w:val="1"/>
          <w:bCs w:val="1"/>
          <w:color w:val="auto"/>
        </w:rPr>
        <w:t>For the Three Months Ended</w:t>
      </w:r>
    </w:p>
    <w:p>
      <w:pPr>
        <w:jc w:val="center"/>
        <w:ind w:left="20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2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0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518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rPr>
              <w:t>Acquisition integration costs and</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518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(3)</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(5)</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0.71</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Favorable currency translation</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9.4 %</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00" w:type="dxa"/>
            <w:vAlign w:val="bottom"/>
          </w:tcPr>
          <w:p>
            <w:pPr>
              <w:jc w:val="right"/>
              <w:ind w:right="294"/>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0" w:lineRule="exact"/>
        <w:rPr>
          <w:sz w:val="20"/>
          <w:szCs w:val="20"/>
          <w:color w:val="auto"/>
        </w:rPr>
      </w:pPr>
    </w:p>
    <w:p>
      <w:pPr>
        <w:jc w:val="center"/>
        <w:ind w:left="2040"/>
        <w:spacing w:after="0"/>
        <w:rPr>
          <w:sz w:val="20"/>
          <w:szCs w:val="20"/>
          <w:color w:val="auto"/>
        </w:rPr>
      </w:pPr>
      <w:r>
        <w:rPr>
          <w:rFonts w:ascii="Arial" w:cs="Arial" w:eastAsia="Arial" w:hAnsi="Arial"/>
          <w:sz w:val="14"/>
          <w:szCs w:val="14"/>
          <w:b w:val="1"/>
          <w:bCs w:val="1"/>
          <w:color w:val="auto"/>
        </w:rPr>
        <w:t>For the Nine Months Ended</w:t>
      </w:r>
    </w:p>
    <w:p>
      <w:pPr>
        <w:jc w:val="center"/>
        <w:ind w:left="20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40.4 %</w:t>
            </w:r>
          </w:p>
        </w:tc>
      </w:tr>
      <w:tr>
        <w:trPr>
          <w:trHeight w:val="229"/>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10"/>
                <w:szCs w:val="10"/>
                <w:color w:val="auto"/>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(0.16)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78"/>
        </w:trPr>
        <w:tc>
          <w:tcPr>
            <w:tcW w:w="520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rPr>
              <w:t>Acquisition integration costs and</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27"/>
        </w:trPr>
        <w:tc>
          <w:tcPr>
            <w:tcW w:w="520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0"/>
                <w:szCs w:val="10"/>
                <w:color w:val="auto"/>
              </w:rPr>
              <w:t>(2)</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(7)</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(8)</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(5)</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(0.40)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880" w:type="dxa"/>
            <w:vAlign w:val="bottom"/>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19"/>
                <w:szCs w:val="19"/>
                <w:color w:val="auto"/>
              </w:rPr>
            </w:pPr>
          </w:p>
        </w:tc>
        <w:tc>
          <w:tcPr>
            <w:tcW w:w="880" w:type="dxa"/>
            <w:vAlign w:val="bottom"/>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13.6 %</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Favorable currency translation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8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8.9 %</w:t>
            </w: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340" w:right="120" w:hanging="332"/>
        <w:spacing w:after="0" w:line="251"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60" w:hanging="328"/>
        <w:spacing w:after="0" w:line="241" w:lineRule="auto"/>
        <w:tabs>
          <w:tab w:leader="none" w:pos="656" w:val="left"/>
        </w:tabs>
        <w:numPr>
          <w:ilvl w:val="1"/>
          <w:numId w:val="54"/>
        </w:numPr>
        <w:rPr>
          <w:rFonts w:ascii="Arial" w:cs="Arial" w:eastAsia="Arial" w:hAnsi="Arial"/>
          <w:sz w:val="14"/>
          <w:szCs w:val="14"/>
          <w:color w:val="auto"/>
        </w:rPr>
      </w:pPr>
      <w:r>
        <w:rPr>
          <w:rFonts w:ascii="Arial" w:cs="Arial" w:eastAsia="Arial" w:hAnsi="Arial"/>
          <w:sz w:val="14"/>
          <w:szCs w:val="14"/>
          <w:color w:val="auto"/>
        </w:rPr>
        <w:t>For the three months ended September 30, 2021, taxes for the: Simplify to Grow Program were $(32) million, mark-to-market gains from derivatives were $24 million, acquisition integration costs and contingent consideration adjustments were $15 million and gain on equity method transactions were $59 million.</w:t>
      </w:r>
    </w:p>
    <w:p>
      <w:pPr>
        <w:jc w:val="both"/>
        <w:ind w:left="660" w:right="80" w:hanging="328"/>
        <w:spacing w:after="0" w:line="241" w:lineRule="auto"/>
        <w:tabs>
          <w:tab w:leader="none" w:pos="656" w:val="left"/>
        </w:tabs>
        <w:numPr>
          <w:ilvl w:val="1"/>
          <w:numId w:val="54"/>
        </w:numPr>
        <w:rPr>
          <w:rFonts w:ascii="Arial" w:cs="Arial" w:eastAsia="Arial" w:hAnsi="Arial"/>
          <w:sz w:val="14"/>
          <w:szCs w:val="14"/>
          <w:color w:val="auto"/>
        </w:rPr>
      </w:pPr>
      <w:r>
        <w:rPr>
          <w:rFonts w:ascii="Arial" w:cs="Arial" w:eastAsia="Arial" w:hAnsi="Arial"/>
          <w:sz w:val="14"/>
          <w:szCs w:val="14"/>
          <w:color w:val="auto"/>
        </w:rPr>
        <w:t>For the three months ended September 30, 2020, taxes for the: Simplify to Grow Program were $(22) million, intangible asset impairment charges were $(12) million, mark-to-market gains from derivatives were $27 million, net earnings from divestitures were $8 million, initial impacts from enacted tax law changes were $30 million, gain on equity method investment transactions were $77 million and equity method investee items were $(1) million.</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56" w:val="left"/>
        </w:tabs>
        <w:numPr>
          <w:ilvl w:val="1"/>
          <w:numId w:val="54"/>
        </w:numPr>
        <w:rPr>
          <w:rFonts w:ascii="Arial" w:cs="Arial" w:eastAsia="Arial" w:hAnsi="Arial"/>
          <w:sz w:val="14"/>
          <w:szCs w:val="14"/>
          <w:color w:val="auto"/>
        </w:rPr>
      </w:pPr>
      <w:r>
        <w:rPr>
          <w:rFonts w:ascii="Arial" w:cs="Arial" w:eastAsia="Arial" w:hAnsi="Arial"/>
          <w:sz w:val="14"/>
          <w:szCs w:val="14"/>
          <w:color w:val="auto"/>
        </w:rPr>
        <w:t>For the nine months ended September 30, 2021, taxes for the: Simplify to Grow Program were $(98) million, intangible asset impairment charges were $(8) million, mark-to-market gains from derivatives were $42 million, acquisition-related costs were $(4) million, acquisition integration costs and contingent consideration adjustments were $14 million, net earnings from divestitures were $4 million, remeasurement of net monetary position were zero, impact from pension participation changes were $(8) million, loss on debt extinguishment were $(34) million, initial impacts from enacted tax law changes were $95 million, gain on equity method investment transactions were $184 million and equity method investee items were $(4) million.</w:t>
      </w:r>
    </w:p>
    <w:p>
      <w:pPr>
        <w:spacing w:after="0" w:line="1" w:lineRule="exact"/>
        <w:rPr>
          <w:rFonts w:ascii="Arial" w:cs="Arial" w:eastAsia="Arial" w:hAnsi="Arial"/>
          <w:sz w:val="14"/>
          <w:szCs w:val="14"/>
          <w:color w:val="auto"/>
        </w:rPr>
      </w:pPr>
    </w:p>
    <w:p>
      <w:pPr>
        <w:ind w:left="660" w:right="40" w:hanging="328"/>
        <w:spacing w:after="0" w:line="241" w:lineRule="auto"/>
        <w:tabs>
          <w:tab w:leader="none" w:pos="656" w:val="left"/>
        </w:tabs>
        <w:numPr>
          <w:ilvl w:val="1"/>
          <w:numId w:val="54"/>
        </w:numPr>
        <w:rPr>
          <w:rFonts w:ascii="Arial" w:cs="Arial" w:eastAsia="Arial" w:hAnsi="Arial"/>
          <w:sz w:val="14"/>
          <w:szCs w:val="14"/>
          <w:color w:val="auto"/>
        </w:rPr>
      </w:pPr>
      <w:r>
        <w:rPr>
          <w:rFonts w:ascii="Arial" w:cs="Arial" w:eastAsia="Arial" w:hAnsi="Arial"/>
          <w:sz w:val="14"/>
          <w:szCs w:val="14"/>
          <w:color w:val="auto"/>
        </w:rPr>
        <w:t>For the nine months ended September 30, 2020, taxes for the: Simplify to Grow Program were $(55) million, intangible asset impairment charges were $(33) million, mark-to-market losses from derivatives were $(5) million, acquisition-related costs were zero, net earnings from divestiture were $17 million, costs associated with the JDE Peet's transaction were $261 million, impact from pension participation changes were $(2) million, loss related to interest rate swaps were $(24) million, initial impacts from enacted tax law changes were $30 million, gain on equity method investment transactions were $94 million and equity method investee items were $(5) million.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right="420" w:hanging="332"/>
        <w:spacing w:after="0" w:line="241"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the impact from 2020 partial sales of our equity method investments in KDP and JDE Peet’s and the second quarter 2021 sale of KDP shares as if the sales occurred at the beginning of all periods presented. The third quarter 2021 sale of KDP shares will be reflected on a lag basis in the fourth quarter of 2021.</w:t>
      </w: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impact.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and losses on equity method investment transactions.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21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and local markets, including commodity, currency and capital markets. While some of these markets such as the U.S. and other major stock markets and certain currencies have rebounded significantly in recent quarters,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work to mitigate these risks and we largely employ existing strategies that are described below to mitigate currency, commodity and interest rate market risks.</w:t>
      </w:r>
    </w:p>
    <w:p>
      <w:pPr>
        <w:spacing w:after="0" w:line="23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21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nine months ended September 30, 2021.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w:t>
      </w: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unforeseen conditions such as the current COVID-19 global pandemic.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above for updates on recent supply chain, transportation, labor and other 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Financial Conduct Authority in the United Kingdom plans to initiate the phase-out of many term LIBOR rates by the end of 2021 and to phase out the remaining LIBOR rates by June 30, 2023. We do not anticipate a significant impact to our financial position from the planned phase out of LIBOR given our current mix of variable and fixed-rate debt. We periodically use interest rate swaps and forward interest rate contracts to achieve a desired proportion of</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variable versus fixed rate debt based on current and projected market conditions. For more information on our 2021 debt activity, 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7"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2021 derivative activity. For additional information on our hedging strategies, policies and practices on an ongoing basis, also refer to our Annual Report on Form 10-K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2021. Based on this evaluation, the CEO and CFO concluded that our disclosure controls and procedures were effective as of September 30,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2021. Many of our employees and those of our outsourcing partners and other accounting service providers continued to work remotely as a significant number of our and their offices were closed in response to the COVID-19 pandemic. There were no material changes in our internal controls over financial reporting as we were able to continue to maintain our existing controls and procedures over our financial reporting during the quarter ended September 30, 2021.</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2021 was: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 xml:space="preserve">Plans or Programs </w:t>
            </w:r>
            <w:r>
              <w:rPr>
                <w:rFonts w:ascii="Arial" w:cs="Arial" w:eastAsia="Arial" w:hAnsi="Arial"/>
                <w:sz w:val="17"/>
                <w:szCs w:val="17"/>
                <w:b w:val="1"/>
                <w:bCs w:val="1"/>
                <w:color w:val="auto"/>
                <w:w w:val="99"/>
                <w:vertAlign w:val="superscript"/>
              </w:rPr>
              <w:t>(2)(3)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1,977,156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August 1-31,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2,947,430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62.47</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2,945,511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September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40" w:right="240" w:hanging="332"/>
        <w:spacing w:after="0" w:line="24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3,828 shares, 1,919 shares and 289 shares for the fiscal months of July, August and September 2021, respectively.</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$23.7 billion of our Common Stock through December 31, 2023. Authorizations to increase and extend the program duration included: $4.0 billion on December 2, 2020, $6.0 billion on January 31, 2018, $6.0 billion on July 29, 2015, $1.7 billion on December 3, 2013, $6.0 billion on August 6, 2013 (cumulatively including amounts authorized on March 12, 2013) and the lesser of 40 million shares and $1.2 billion on March 12, 2013. Since the program inception on March 12, 2013 through September 30, 2021, we have repurchased $19.7 billion, and as of September 30, 2021, we had approximately $4.0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460" w:type="dxa"/>
            <w:vAlign w:val="bottom"/>
            <w:gridSpan w:val="14"/>
          </w:tcPr>
          <w:p>
            <w:pPr>
              <w:ind w:left="1740"/>
              <w:spacing w:after="0"/>
              <w:rPr>
                <w:sz w:val="20"/>
                <w:szCs w:val="20"/>
                <w:color w:val="auto"/>
              </w:rPr>
            </w:pPr>
            <w:r>
              <w:rPr>
                <w:rFonts w:ascii="Arial" w:cs="Arial" w:eastAsia="Arial" w:hAnsi="Arial"/>
                <w:sz w:val="18"/>
                <w:szCs w:val="18"/>
                <w:color w:val="auto"/>
              </w:rPr>
              <w:t>Description</w:t>
            </w:r>
          </w:p>
        </w:tc>
      </w:tr>
      <w:tr>
        <w:trPr>
          <w:trHeight w:val="182"/>
        </w:trPr>
        <w:tc>
          <w:tcPr>
            <w:tcW w:w="11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500" w:type="dxa"/>
            <w:vAlign w:val="bottom"/>
            <w:tcBorders>
              <w:top w:val="single" w:sz="8" w:color="auto"/>
            </w:tcBorders>
            <w:gridSpan w:val="15"/>
          </w:tcPr>
          <w:p>
            <w:pPr>
              <w:spacing w:after="0" w:line="182" w:lineRule="exact"/>
              <w:rPr>
                <w:sz w:val="20"/>
                <w:szCs w:val="20"/>
                <w:color w:val="auto"/>
              </w:rPr>
            </w:pPr>
            <w:r>
              <w:rPr>
                <w:rFonts w:ascii="Arial" w:cs="Arial" w:eastAsia="Arial" w:hAnsi="Arial"/>
                <w:sz w:val="18"/>
                <w:szCs w:val="18"/>
                <w:color w:val="auto"/>
              </w:rPr>
              <w:t>The Registrant agrees to furnish to the SEC upon request copies of any instruments defining the rights of</w:t>
            </w:r>
          </w:p>
        </w:tc>
      </w:tr>
      <w:tr>
        <w:trPr>
          <w:trHeight w:val="176"/>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15"/>
          </w:tcPr>
          <w:p>
            <w:pPr>
              <w:spacing w:after="0" w:line="176" w:lineRule="exact"/>
              <w:rPr>
                <w:sz w:val="20"/>
                <w:szCs w:val="20"/>
                <w:color w:val="auto"/>
              </w:rPr>
            </w:pPr>
            <w:r>
              <w:rPr>
                <w:rFonts w:ascii="Arial" w:cs="Arial" w:eastAsia="Arial" w:hAnsi="Arial"/>
                <w:sz w:val="18"/>
                <w:szCs w:val="18"/>
                <w:color w:val="auto"/>
              </w:rPr>
              <w:t>holders of long-term debt of the Registrant and its consolidated subsidiaries that does not exceed 10</w:t>
            </w:r>
          </w:p>
        </w:tc>
      </w:tr>
      <w:tr>
        <w:trPr>
          <w:trHeight w:val="217"/>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5"/>
          </w:tcPr>
          <w:p>
            <w:pPr>
              <w:spacing w:after="0"/>
              <w:rPr>
                <w:sz w:val="20"/>
                <w:szCs w:val="20"/>
                <w:color w:val="auto"/>
              </w:rPr>
            </w:pPr>
            <w:r>
              <w:rPr>
                <w:rFonts w:ascii="Arial" w:cs="Arial" w:eastAsia="Arial" w:hAnsi="Arial"/>
                <w:sz w:val="18"/>
                <w:szCs w:val="18"/>
                <w:color w:val="auto"/>
              </w:rPr>
              <w:t>percent of the total assets of the Registrant and its consolidated subsidiaries.</w:t>
            </w: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60" w:type="dxa"/>
            <w:vAlign w:val="bottom"/>
            <w:tcBorders>
              <w:bottom w:val="single" w:sz="8" w:color="0000FF"/>
            </w:tcBorders>
            <w:gridSpan w:val="7"/>
          </w:tcPr>
          <w:p>
            <w:pPr>
              <w:spacing w:after="0" w:line="189"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Fourth Supplemental Indenture, dated as of September 9, 2021, by and among Mondelez International</w:t>
              </w:r>
            </w:hyperlink>
          </w:p>
        </w:tc>
        <w:tc>
          <w:tcPr>
            <w:tcW w:w="340" w:type="dxa"/>
            <w:vAlign w:val="bottom"/>
            <w:gridSpan w:val="8"/>
          </w:tcPr>
          <w:p>
            <w:pPr>
              <w:spacing w:after="0"/>
              <w:rPr>
                <w:sz w:val="16"/>
                <w:szCs w:val="16"/>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gridSpan w:val="15"/>
          </w:tcPr>
          <w:p>
            <w:pPr>
              <w:spacing w:after="0" w:line="169"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Holdings Netherlands B.V., as issuer, Mondelēz International, Inc., as guarantor, and Deutsche Bank Trust</w:t>
              </w:r>
            </w:hyperlink>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Company Americas, as trustee, paying agent, transfer agent and registrar (incorporated by reference to</w:t>
              </w:r>
            </w:hyperlink>
          </w:p>
        </w:tc>
        <w:tc>
          <w:tcPr>
            <w:tcW w:w="2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40" w:type="dxa"/>
            <w:vAlign w:val="bottom"/>
            <w:tcBorders>
              <w:bottom w:val="single" w:sz="8" w:color="0000FF"/>
            </w:tcBorders>
            <w:gridSpan w:val="6"/>
          </w:tcPr>
          <w:p>
            <w:pPr>
              <w:spacing w:after="0" w:line="169"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Exhibit 4.2 of the Registrant’s Current Report on Form 8-K filed with the SEC on September 13, 2021).</w:t>
              </w:r>
            </w:hyperlink>
          </w:p>
        </w:tc>
        <w:tc>
          <w:tcPr>
            <w:tcW w:w="360" w:type="dxa"/>
            <w:vAlign w:val="bottom"/>
            <w:gridSpan w:val="9"/>
          </w:tcPr>
          <w:p>
            <w:pPr>
              <w:spacing w:after="0"/>
              <w:rPr>
                <w:sz w:val="14"/>
                <w:szCs w:val="14"/>
                <w:color w:val="auto"/>
              </w:rPr>
            </w:pPr>
          </w:p>
        </w:tc>
      </w:tr>
      <w:tr>
        <w:trPr>
          <w:trHeight w:val="222"/>
        </w:trPr>
        <w:tc>
          <w:tcPr>
            <w:tcW w:w="110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00" w:type="dxa"/>
            <w:vAlign w:val="bottom"/>
            <w:gridSpan w:val="15"/>
          </w:tcPr>
          <w:p>
            <w:pPr>
              <w:spacing w:after="0"/>
              <w:rPr>
                <w:rFonts w:ascii="Arial" w:cs="Arial" w:eastAsia="Arial" w:hAnsi="Arial"/>
                <w:sz w:val="18"/>
                <w:szCs w:val="18"/>
                <w:color w:val="0000FF"/>
              </w:rPr>
            </w:pPr>
            <w:hyperlink r:id="rId141">
              <w:r>
                <w:rPr>
                  <w:rFonts w:ascii="Arial" w:cs="Arial" w:eastAsia="Arial" w:hAnsi="Arial"/>
                  <w:sz w:val="18"/>
                  <w:szCs w:val="18"/>
                  <w:color w:val="0000FF"/>
                </w:rPr>
                <w:t>Fifth Supplemental Indenture, dated as of September 24, 2021, by and among Mondelez International</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tcBorders>
            <w:gridSpan w:val="5"/>
          </w:tcPr>
          <w:p>
            <w:pPr>
              <w:spacing w:after="0" w:line="157" w:lineRule="exact"/>
              <w:rPr>
                <w:rFonts w:ascii="Arial" w:cs="Arial" w:eastAsia="Arial" w:hAnsi="Arial"/>
                <w:sz w:val="18"/>
                <w:szCs w:val="18"/>
                <w:color w:val="0000FF"/>
              </w:rPr>
            </w:pPr>
            <w:hyperlink r:id="rId141">
              <w:r>
                <w:rPr>
                  <w:rFonts w:ascii="Arial" w:cs="Arial" w:eastAsia="Arial" w:hAnsi="Arial"/>
                  <w:sz w:val="18"/>
                  <w:szCs w:val="18"/>
                  <w:color w:val="0000FF"/>
                </w:rPr>
                <w:t>Holdings Netherlands B.V., as issuer, Mondelēz International, Inc., as guarantor, and Deutsche Bank</w:t>
              </w:r>
            </w:hyperlink>
          </w:p>
        </w:tc>
        <w:tc>
          <w:tcPr>
            <w:tcW w:w="420" w:type="dxa"/>
            <w:vAlign w:val="bottom"/>
            <w:gridSpan w:val="10"/>
          </w:tcPr>
          <w:p>
            <w:pPr>
              <w:spacing w:after="0" w:line="157" w:lineRule="exact"/>
              <w:rPr>
                <w:rFonts w:ascii="Arial" w:cs="Arial" w:eastAsia="Arial" w:hAnsi="Arial"/>
                <w:sz w:val="18"/>
                <w:szCs w:val="18"/>
                <w:color w:val="0000FF"/>
                <w:w w:val="97"/>
              </w:rPr>
            </w:pPr>
            <w:hyperlink r:id="rId141">
              <w:r>
                <w:rPr>
                  <w:rFonts w:ascii="Arial" w:cs="Arial" w:eastAsia="Arial" w:hAnsi="Arial"/>
                  <w:sz w:val="18"/>
                  <w:szCs w:val="18"/>
                  <w:color w:val="0000FF"/>
                  <w:w w:val="97"/>
                </w:rPr>
                <w:t>Trust</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141">
              <w:r>
                <w:rPr>
                  <w:rFonts w:ascii="Arial" w:cs="Arial" w:eastAsia="Arial" w:hAnsi="Arial"/>
                  <w:sz w:val="18"/>
                  <w:szCs w:val="18"/>
                  <w:color w:val="0000FF"/>
                  <w:w w:val="99"/>
                </w:rPr>
                <w:t>Company Americas, as trustee (incorporated by reference to Exhibit 4.2 to the Registrant’s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gridSpan w:val="13"/>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on Form 8-K filed with the SEC on September 24,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Mondelez International Holdings Netherlands B.V. Deed of Adherence to the Investor Rights Agreement,</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dated July 23, 2021, and Deed of Assignment of Rights Under the Investor Rights Agreement between</w:t>
              </w:r>
            </w:hyperlink>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bottom w:val="single" w:sz="8" w:color="0000FF"/>
            </w:tcBorders>
            <w:gridSpan w:val="14"/>
          </w:tcPr>
          <w:p>
            <w:pPr>
              <w:spacing w:after="0" w:line="156" w:lineRule="exact"/>
              <w:rPr>
                <w:rFonts w:ascii="Arial" w:cs="Arial" w:eastAsia="Arial" w:hAnsi="Arial"/>
                <w:sz w:val="18"/>
                <w:szCs w:val="18"/>
                <w:color w:val="0000FF"/>
                <w:w w:val="99"/>
              </w:rPr>
            </w:pPr>
            <w:hyperlink w:anchor="page71">
              <w:r>
                <w:rPr>
                  <w:rFonts w:ascii="Arial" w:cs="Arial" w:eastAsia="Arial" w:hAnsi="Arial"/>
                  <w:sz w:val="18"/>
                  <w:szCs w:val="18"/>
                  <w:color w:val="0000FF"/>
                  <w:w w:val="99"/>
                </w:rPr>
                <w:t>Mondelez Coffee HoldCo B.V. and Mondelez International Holdings Netherlands B.V., dated July 23, 2021.</w:t>
              </w:r>
            </w:hyperlink>
          </w:p>
        </w:tc>
        <w:tc>
          <w:tcPr>
            <w:tcW w:w="20" w:type="dxa"/>
            <w:vAlign w:val="bottom"/>
          </w:tcPr>
          <w:p>
            <w:pPr>
              <w:spacing w:after="0"/>
              <w:rPr>
                <w:sz w:val="13"/>
                <w:szCs w:val="13"/>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5"/>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Certification of Chief Executive Officer pursuant to Rule 13a-14(a)/15d-14(a) of the Securities Exchange</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Act of 1934, as amended.</w:t>
              </w:r>
            </w:hyperlink>
          </w:p>
        </w:tc>
        <w:tc>
          <w:tcPr>
            <w:tcW w:w="260" w:type="dxa"/>
            <w:vAlign w:val="bottom"/>
            <w:gridSpan w:val="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5"/>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Certification of Chief Financial Officer pursuant to Rule 13a-14(a)/15d-14(a) of the Securities Exchange</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Act of 1934, as amended.</w:t>
              </w:r>
            </w:hyperlink>
          </w:p>
        </w:tc>
        <w:tc>
          <w:tcPr>
            <w:tcW w:w="320" w:type="dxa"/>
            <w:vAlign w:val="bottom"/>
            <w:gridSpan w:val="7"/>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Certifications of Chief Executive Officer and Chief Financial Officer pursuant to 18 U.S.C. 1350, as</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82">
              <w:r>
                <w:rPr>
                  <w:rFonts w:ascii="Arial" w:cs="Arial" w:eastAsia="Arial" w:hAnsi="Arial"/>
                  <w:sz w:val="18"/>
                  <w:szCs w:val="18"/>
                  <w:color w:val="0000FF"/>
                </w:rPr>
                <w:t>adopted pursuant to Section 906 of the Sarbanes-Oxley Act of 2002.</w:t>
              </w:r>
            </w:hyperlink>
          </w:p>
        </w:tc>
        <w:tc>
          <w:tcPr>
            <w:tcW w:w="700" w:type="dxa"/>
            <w:vAlign w:val="bottom"/>
            <w:gridSpan w:val="11"/>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220" w:right="879" w:hanging="1194"/>
        <w:spacing w:after="0" w:line="215" w:lineRule="auto"/>
        <w:tabs>
          <w:tab w:leader="none" w:pos="12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following materials from Mondelēz International’s Quarterly Report on Form 10-Q for the quarter ended September 30, 2021 are formatted in iXBRL (Inline eXtensible Business Reporting Language):</w:t>
      </w:r>
    </w:p>
    <w:p>
      <w:pPr>
        <w:ind w:left="1220" w:right="639" w:hanging="6"/>
        <w:spacing w:after="0" w:line="203" w:lineRule="auto"/>
        <w:tabs>
          <w:tab w:leader="none" w:pos="143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Condensed Consolidated Statements of Earnings, (ii) the Condensed Consolidated Statements of Comprehensive Earnings, (iii) the Condensed Consolidated Balance Sheets, (iv) the Condensed Consolidated Statements of Equity, (v) the Condensed Consolidated Statements of Cash Flows and</w:t>
      </w:r>
    </w:p>
    <w:p>
      <w:pPr>
        <w:spacing w:after="0" w:line="1" w:lineRule="exact"/>
        <w:rPr>
          <w:rFonts w:ascii="Arial" w:cs="Arial" w:eastAsia="Arial" w:hAnsi="Arial"/>
          <w:sz w:val="18"/>
          <w:szCs w:val="18"/>
          <w:color w:val="auto"/>
        </w:rPr>
      </w:pPr>
    </w:p>
    <w:p>
      <w:pPr>
        <w:ind w:left="1520" w:hanging="306"/>
        <w:spacing w:after="0"/>
        <w:tabs>
          <w:tab w:leader="none" w:pos="1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1220" w:right="979" w:hanging="1194"/>
        <w:spacing w:after="0" w:line="227" w:lineRule="auto"/>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2021,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2" w:right="1440"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571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November 2,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382" w:right="459" w:bottom="1440" w:gutter="0" w:footer="0" w:header="0"/>
        </w:sectPr>
      </w:pPr>
    </w:p>
    <w:bookmarkStart w:id="70" w:name="page71"/>
    <w:bookmarkEnd w:id="70"/>
    <w:p>
      <w:pPr>
        <w:ind w:left="10080"/>
        <w:spacing w:after="0"/>
        <w:rPr>
          <w:sz w:val="20"/>
          <w:szCs w:val="20"/>
          <w:color w:val="auto"/>
        </w:rPr>
      </w:pPr>
      <w:r>
        <w:rPr>
          <w:rFonts w:ascii="Arial" w:cs="Arial" w:eastAsia="Arial" w:hAnsi="Arial"/>
          <w:sz w:val="19"/>
          <w:szCs w:val="19"/>
          <w:b w:val="1"/>
          <w:bCs w:val="1"/>
          <w:color w:val="auto"/>
        </w:rPr>
        <w:t>Exhibit 10.1</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 L I F F O R D</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 H A N C E</w:t>
      </w:r>
    </w:p>
    <w:p>
      <w:pPr>
        <w:jc w:val="right"/>
        <w:spacing w:after="0"/>
        <w:rPr>
          <w:sz w:val="20"/>
          <w:szCs w:val="20"/>
          <w:color w:val="auto"/>
        </w:rPr>
      </w:pPr>
      <w:r>
        <w:rPr>
          <w:rFonts w:ascii="Arial" w:cs="Arial" w:eastAsia="Arial" w:hAnsi="Arial"/>
          <w:sz w:val="13"/>
          <w:szCs w:val="13"/>
          <w:color w:val="auto"/>
        </w:rPr>
        <w:t>CLIFFORD CHANCE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MONDELEZ INTERNATIONAL HOLDINGS NETHERLANDS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24130</wp:posOffset>
            </wp:positionV>
            <wp:extent cx="459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5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DEED OF ADHERENCE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TO THE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13335</wp:posOffset>
            </wp:positionV>
            <wp:extent cx="4594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ectPr>
          <w:pgSz w:w="11900" w:h="16838" w:orient="portrait"/>
          <w:cols w:equalWidth="0" w:num="1">
            <w:col w:w="11180"/>
          </w:cols>
          <w:pgMar w:left="340" w:top="180" w:right="37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 xml:space="preserve">THIS DEED OF ADHERENCE </w:t>
      </w:r>
      <w:r>
        <w:rPr>
          <w:rFonts w:ascii="Arial" w:cs="Arial" w:eastAsia="Arial" w:hAnsi="Arial"/>
          <w:sz w:val="22"/>
          <w:szCs w:val="22"/>
          <w:color w:val="auto"/>
        </w:rPr>
        <w:t>(the "</w:t>
      </w:r>
      <w:r>
        <w:rPr>
          <w:rFonts w:ascii="Arial" w:cs="Arial" w:eastAsia="Arial" w:hAnsi="Arial"/>
          <w:sz w:val="22"/>
          <w:szCs w:val="22"/>
          <w:b w:val="1"/>
          <w:bCs w:val="1"/>
          <w:color w:val="auto"/>
        </w:rPr>
        <w:t>Deed of Adherence</w:t>
      </w:r>
      <w:r>
        <w:rPr>
          <w:rFonts w:ascii="Arial" w:cs="Arial" w:eastAsia="Arial" w:hAnsi="Arial"/>
          <w:sz w:val="22"/>
          <w:szCs w:val="22"/>
          <w:color w:val="auto"/>
        </w:rPr>
        <w:t>") is made on 23 July 2021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w:t>
      </w:r>
      <w:r>
        <w:rPr>
          <w:rFonts w:ascii="Arial" w:cs="Arial" w:eastAsia="Arial" w:hAnsi="Arial"/>
          <w:sz w:val="22"/>
          <w:szCs w:val="22"/>
          <w:color w:val="auto"/>
        </w:rPr>
        <w:t>:</w:t>
      </w:r>
    </w:p>
    <w:p>
      <w:pPr>
        <w:spacing w:after="0" w:line="260" w:lineRule="exact"/>
        <w:rPr>
          <w:sz w:val="20"/>
          <w:szCs w:val="20"/>
          <w:color w:val="auto"/>
        </w:rPr>
      </w:pPr>
    </w:p>
    <w:p>
      <w:pPr>
        <w:jc w:val="both"/>
        <w:spacing w:after="0" w:line="348" w:lineRule="auto"/>
        <w:rPr>
          <w:sz w:val="20"/>
          <w:szCs w:val="20"/>
          <w:color w:val="auto"/>
        </w:rPr>
      </w:pPr>
      <w:r>
        <w:rPr>
          <w:rFonts w:ascii="Arial" w:cs="Arial" w:eastAsia="Arial" w:hAnsi="Arial"/>
          <w:sz w:val="19"/>
          <w:szCs w:val="19"/>
          <w:b w:val="1"/>
          <w:bCs w:val="1"/>
          <w:color w:val="auto"/>
        </w:rPr>
        <w:t>Mondelez International Holdings Netherlands B.V.</w:t>
      </w:r>
      <w:r>
        <w:rPr>
          <w:rFonts w:ascii="Arial" w:cs="Arial" w:eastAsia="Arial" w:hAnsi="Arial"/>
          <w:sz w:val="19"/>
          <w:szCs w:val="19"/>
          <w:color w:val="auto"/>
        </w:rPr>
        <w:t>, a private company with limited liability (</w:t>
      </w:r>
      <w:r>
        <w:rPr>
          <w:rFonts w:ascii="Arial" w:cs="Arial" w:eastAsia="Arial" w:hAnsi="Arial"/>
          <w:sz w:val="19"/>
          <w:szCs w:val="19"/>
          <w:i w:val="1"/>
          <w:iCs w:val="1"/>
          <w:color w:val="auto"/>
        </w:rPr>
        <w:t>een besloten vennootschap met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beperkte aansprakelijkheid</w:t>
      </w:r>
      <w:r>
        <w:rPr>
          <w:rFonts w:ascii="Arial" w:cs="Arial" w:eastAsia="Arial" w:hAnsi="Arial"/>
          <w:sz w:val="19"/>
          <w:szCs w:val="19"/>
          <w:color w:val="auto"/>
        </w:rPr>
        <w:t>) incorporated under the laws of The Netherlands, with its seat (</w:t>
      </w:r>
      <w:r>
        <w:rPr>
          <w:rFonts w:ascii="Arial" w:cs="Arial" w:eastAsia="Arial" w:hAnsi="Arial"/>
          <w:sz w:val="19"/>
          <w:szCs w:val="19"/>
          <w:i w:val="1"/>
          <w:iCs w:val="1"/>
          <w:color w:val="auto"/>
        </w:rPr>
        <w:t>statutaire zetel</w:t>
      </w:r>
      <w:r>
        <w:rPr>
          <w:rFonts w:ascii="Arial" w:cs="Arial" w:eastAsia="Arial" w:hAnsi="Arial"/>
          <w:sz w:val="19"/>
          <w:szCs w:val="19"/>
          <w:color w:val="auto"/>
        </w:rPr>
        <w:t>) in Breda, The</w:t>
      </w:r>
      <w:r>
        <w:rPr>
          <w:rFonts w:ascii="Arial" w:cs="Arial" w:eastAsia="Arial" w:hAnsi="Arial"/>
          <w:sz w:val="19"/>
          <w:szCs w:val="19"/>
          <w:i w:val="1"/>
          <w:iCs w:val="1"/>
          <w:color w:val="auto"/>
        </w:rPr>
        <w:t xml:space="preserve"> </w:t>
      </w:r>
      <w:r>
        <w:rPr>
          <w:rFonts w:ascii="Arial" w:cs="Arial" w:eastAsia="Arial" w:hAnsi="Arial"/>
          <w:sz w:val="19"/>
          <w:szCs w:val="19"/>
          <w:color w:val="auto"/>
        </w:rPr>
        <w:t>Netherlands and its office address at Verlengde Poolseweg 34, Bond Towers, 4818 CL Breda, The Netherlands and registered with the Dutch Commercial Register (</w:t>
      </w:r>
      <w:r>
        <w:rPr>
          <w:rFonts w:ascii="Arial" w:cs="Arial" w:eastAsia="Arial" w:hAnsi="Arial"/>
          <w:sz w:val="19"/>
          <w:szCs w:val="19"/>
          <w:i w:val="1"/>
          <w:iCs w:val="1"/>
          <w:color w:val="auto"/>
        </w:rPr>
        <w:t>Handelsregister</w:t>
      </w:r>
      <w:r>
        <w:rPr>
          <w:rFonts w:ascii="Arial" w:cs="Arial" w:eastAsia="Arial" w:hAnsi="Arial"/>
          <w:sz w:val="19"/>
          <w:szCs w:val="19"/>
          <w:color w:val="auto"/>
        </w:rPr>
        <w:t>) under number 66713994 (the "</w:t>
      </w:r>
      <w:r>
        <w:rPr>
          <w:rFonts w:ascii="Arial" w:cs="Arial" w:eastAsia="Arial" w:hAnsi="Arial"/>
          <w:sz w:val="19"/>
          <w:szCs w:val="19"/>
          <w:b w:val="1"/>
          <w:bCs w:val="1"/>
          <w:color w:val="auto"/>
        </w:rPr>
        <w:t>New Party</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p>
    <w:p>
      <w:pPr>
        <w:spacing w:after="0" w:line="266" w:lineRule="exact"/>
        <w:rPr>
          <w:sz w:val="20"/>
          <w:szCs w:val="20"/>
          <w:color w:val="auto"/>
        </w:rPr>
      </w:pPr>
    </w:p>
    <w:p>
      <w:pPr>
        <w:jc w:val="both"/>
        <w:ind w:left="660" w:hanging="652"/>
        <w:spacing w:after="0" w:line="320" w:lineRule="auto"/>
        <w:tabs>
          <w:tab w:leader="none" w:pos="64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Deed of Adherence is supplemental to the investor rights agreement of 25 May 2020 between Mondelez Coffee HoldCo B.V., a private company with limited liability (</w:t>
      </w:r>
      <w:r>
        <w:rPr>
          <w:rFonts w:ascii="Arial" w:cs="Arial" w:eastAsia="Arial" w:hAnsi="Arial"/>
          <w:sz w:val="19"/>
          <w:szCs w:val="19"/>
          <w:i w:val="1"/>
          <w:iCs w:val="1"/>
          <w:color w:val="auto"/>
        </w:rPr>
        <w:t>besloten vennootschap met beperkte aansprakelijkheid</w:t>
      </w:r>
      <w:r>
        <w:rPr>
          <w:rFonts w:ascii="Arial" w:cs="Arial" w:eastAsia="Arial" w:hAnsi="Arial"/>
          <w:sz w:val="19"/>
          <w:szCs w:val="19"/>
          <w:color w:val="auto"/>
        </w:rPr>
        <w:t>) incorporated under the laws of The Netherlands, whose registered office is at Verlengde Poolseweg 34, Bond Towers, 4818 CL Breda, The Netherlands ("</w:t>
      </w:r>
      <w:r>
        <w:rPr>
          <w:rFonts w:ascii="Arial" w:cs="Arial" w:eastAsia="Arial" w:hAnsi="Arial"/>
          <w:sz w:val="19"/>
          <w:szCs w:val="19"/>
          <w:b w:val="1"/>
          <w:bCs w:val="1"/>
          <w:color w:val="auto"/>
        </w:rPr>
        <w:t>MCH</w:t>
      </w:r>
      <w:r>
        <w:rPr>
          <w:rFonts w:ascii="Arial" w:cs="Arial" w:eastAsia="Arial" w:hAnsi="Arial"/>
          <w:sz w:val="19"/>
          <w:szCs w:val="19"/>
          <w:color w:val="auto"/>
        </w:rPr>
        <w:t>"), Acorn Holdings B.V., a private company with limited liability (</w:t>
      </w:r>
      <w:r>
        <w:rPr>
          <w:rFonts w:ascii="Arial" w:cs="Arial" w:eastAsia="Arial" w:hAnsi="Arial"/>
          <w:sz w:val="19"/>
          <w:szCs w:val="19"/>
          <w:i w:val="1"/>
          <w:iCs w:val="1"/>
          <w:color w:val="auto"/>
        </w:rPr>
        <w:t>besloten</w:t>
      </w:r>
      <w:r>
        <w:rPr>
          <w:rFonts w:ascii="Arial" w:cs="Arial" w:eastAsia="Arial" w:hAnsi="Arial"/>
          <w:sz w:val="19"/>
          <w:szCs w:val="19"/>
          <w:color w:val="auto"/>
        </w:rPr>
        <w:t xml:space="preserve"> </w:t>
      </w:r>
      <w:r>
        <w:rPr>
          <w:rFonts w:ascii="Arial" w:cs="Arial" w:eastAsia="Arial" w:hAnsi="Arial"/>
          <w:sz w:val="19"/>
          <w:szCs w:val="19"/>
          <w:i w:val="1"/>
          <w:iCs w:val="1"/>
          <w:color w:val="auto"/>
        </w:rPr>
        <w:t>vennootschap met beperkte aansprakelijkheid</w:t>
      </w:r>
      <w:r>
        <w:rPr>
          <w:rFonts w:ascii="Arial" w:cs="Arial" w:eastAsia="Arial" w:hAnsi="Arial"/>
          <w:sz w:val="19"/>
          <w:szCs w:val="19"/>
          <w:color w:val="auto"/>
        </w:rPr>
        <w:t>) incorporated under the laws of The Netherlands, whose registered office is</w:t>
      </w:r>
      <w:r>
        <w:rPr>
          <w:rFonts w:ascii="Arial" w:cs="Arial" w:eastAsia="Arial" w:hAnsi="Arial"/>
          <w:sz w:val="19"/>
          <w:szCs w:val="19"/>
          <w:i w:val="1"/>
          <w:iCs w:val="1"/>
          <w:color w:val="auto"/>
        </w:rPr>
        <w:t xml:space="preserve"> </w:t>
      </w:r>
      <w:r>
        <w:rPr>
          <w:rFonts w:ascii="Arial" w:cs="Arial" w:eastAsia="Arial" w:hAnsi="Arial"/>
          <w:sz w:val="19"/>
          <w:szCs w:val="19"/>
          <w:color w:val="auto"/>
        </w:rPr>
        <w:t>at Oosterdoksstraat 80, 1011 DK Amsterdam, The Netherlands, and JDE Peet's N.V., a public company (</w:t>
      </w:r>
      <w:r>
        <w:rPr>
          <w:rFonts w:ascii="Arial" w:cs="Arial" w:eastAsia="Arial" w:hAnsi="Arial"/>
          <w:sz w:val="19"/>
          <w:szCs w:val="19"/>
          <w:i w:val="1"/>
          <w:iCs w:val="1"/>
          <w:color w:val="auto"/>
        </w:rPr>
        <w:t>naamloze</w:t>
      </w:r>
      <w:r>
        <w:rPr>
          <w:rFonts w:ascii="Arial" w:cs="Arial" w:eastAsia="Arial" w:hAnsi="Arial"/>
          <w:sz w:val="19"/>
          <w:szCs w:val="19"/>
          <w:color w:val="auto"/>
        </w:rPr>
        <w:t xml:space="preserve"> </w:t>
      </w:r>
      <w:r>
        <w:rPr>
          <w:rFonts w:ascii="Arial" w:cs="Arial" w:eastAsia="Arial" w:hAnsi="Arial"/>
          <w:sz w:val="19"/>
          <w:szCs w:val="19"/>
          <w:i w:val="1"/>
          <w:iCs w:val="1"/>
          <w:color w:val="auto"/>
        </w:rPr>
        <w:t>vennootschap</w:t>
      </w:r>
      <w:r>
        <w:rPr>
          <w:rFonts w:ascii="Arial" w:cs="Arial" w:eastAsia="Arial" w:hAnsi="Arial"/>
          <w:sz w:val="19"/>
          <w:szCs w:val="19"/>
          <w:color w:val="auto"/>
        </w:rPr>
        <w:t>) incorporated under the laws of The Netherlands, whose registered office is at Oosterdoksstraat 80, 1011</w:t>
      </w:r>
      <w:r>
        <w:rPr>
          <w:rFonts w:ascii="Arial" w:cs="Arial" w:eastAsia="Arial" w:hAnsi="Arial"/>
          <w:sz w:val="19"/>
          <w:szCs w:val="19"/>
          <w:i w:val="1"/>
          <w:iCs w:val="1"/>
          <w:color w:val="auto"/>
        </w:rPr>
        <w:t xml:space="preserve"> </w:t>
      </w:r>
      <w:r>
        <w:rPr>
          <w:rFonts w:ascii="Arial" w:cs="Arial" w:eastAsia="Arial" w:hAnsi="Arial"/>
          <w:sz w:val="19"/>
          <w:szCs w:val="19"/>
          <w:color w:val="auto"/>
        </w:rPr>
        <w:t>DK Amsterdam, The Netherlands ("</w:t>
      </w:r>
      <w:r>
        <w:rPr>
          <w:rFonts w:ascii="Arial" w:cs="Arial" w:eastAsia="Arial" w:hAnsi="Arial"/>
          <w:sz w:val="19"/>
          <w:szCs w:val="19"/>
          <w:b w:val="1"/>
          <w:bCs w:val="1"/>
          <w:color w:val="auto"/>
        </w:rPr>
        <w:t>JDEP</w:t>
      </w:r>
      <w:r>
        <w:rPr>
          <w:rFonts w:ascii="Arial" w:cs="Arial" w:eastAsia="Arial" w:hAnsi="Arial"/>
          <w:sz w:val="19"/>
          <w:szCs w:val="19"/>
          <w:color w:val="auto"/>
        </w:rPr>
        <w:t>"), a copy of which is attached hereto as Annex A (the "</w:t>
      </w:r>
      <w:r>
        <w:rPr>
          <w:rFonts w:ascii="Arial" w:cs="Arial" w:eastAsia="Arial" w:hAnsi="Arial"/>
          <w:sz w:val="19"/>
          <w:szCs w:val="19"/>
          <w:b w:val="1"/>
          <w:bCs w:val="1"/>
          <w:color w:val="auto"/>
        </w:rPr>
        <w:t>IRA</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640" w:hanging="632"/>
        <w:spacing w:after="0"/>
        <w:tabs>
          <w:tab w:leader="none" w:pos="64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New Party is a group company of MCH and a member of MCH's Shareholder Group (as defined in the IRA).</w:t>
      </w:r>
    </w:p>
    <w:p>
      <w:pPr>
        <w:spacing w:after="0" w:line="258" w:lineRule="exact"/>
        <w:rPr>
          <w:rFonts w:ascii="Arial" w:cs="Arial" w:eastAsia="Arial" w:hAnsi="Arial"/>
          <w:sz w:val="21"/>
          <w:szCs w:val="21"/>
          <w:color w:val="auto"/>
        </w:rPr>
      </w:pPr>
    </w:p>
    <w:p>
      <w:pPr>
        <w:jc w:val="both"/>
        <w:ind w:left="660" w:hanging="652"/>
        <w:spacing w:after="0" w:line="342" w:lineRule="auto"/>
        <w:tabs>
          <w:tab w:leader="none" w:pos="651" w:val="left"/>
        </w:tabs>
        <w:numPr>
          <w:ilvl w:val="0"/>
          <w:numId w:val="59"/>
        </w:numPr>
        <w:rPr>
          <w:rFonts w:ascii="Arial" w:cs="Arial" w:eastAsia="Arial" w:hAnsi="Arial"/>
          <w:sz w:val="19"/>
          <w:szCs w:val="19"/>
          <w:color w:val="auto"/>
        </w:rPr>
      </w:pPr>
      <w:r>
        <w:rPr>
          <w:rFonts w:ascii="Arial" w:cs="Arial" w:eastAsia="Arial" w:hAnsi="Arial"/>
          <w:sz w:val="19"/>
          <w:szCs w:val="19"/>
          <w:color w:val="auto"/>
        </w:rPr>
        <w:t>On the date of this Deed of Adherence, the New Party shall acquire MCH's entire holding of shares in the capital of JDE Peet's N.V., being 114,273,798 ordinary shares, numbered 347,779,039 up to and including 461,398,325 and 498,064,991 up to and including 498,719,501, and all rights attaching thereto (the "</w:t>
      </w:r>
      <w:r>
        <w:rPr>
          <w:rFonts w:ascii="Arial" w:cs="Arial" w:eastAsia="Arial" w:hAnsi="Arial"/>
          <w:sz w:val="19"/>
          <w:szCs w:val="19"/>
          <w:b w:val="1"/>
          <w:bCs w:val="1"/>
          <w:color w:val="auto"/>
        </w:rPr>
        <w:t>Deed of Sale and Transfer</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jc w:val="both"/>
        <w:ind w:left="660" w:hanging="652"/>
        <w:spacing w:after="0" w:line="277" w:lineRule="auto"/>
        <w:tabs>
          <w:tab w:leader="none" w:pos="649" w:val="left"/>
        </w:tabs>
        <w:numPr>
          <w:ilvl w:val="0"/>
          <w:numId w:val="59"/>
        </w:numPr>
        <w:rPr>
          <w:rFonts w:ascii="Arial" w:cs="Arial" w:eastAsia="Arial" w:hAnsi="Arial"/>
          <w:sz w:val="22"/>
          <w:szCs w:val="22"/>
          <w:color w:val="auto"/>
        </w:rPr>
      </w:pPr>
      <w:r>
        <w:rPr>
          <w:rFonts w:ascii="Arial" w:cs="Arial" w:eastAsia="Arial" w:hAnsi="Arial"/>
          <w:sz w:val="22"/>
          <w:szCs w:val="22"/>
          <w:color w:val="auto"/>
        </w:rPr>
        <w:t>On the same date, MCH assigned to the New Party any and all of its the rights under the IRA (the "</w:t>
      </w:r>
      <w:r>
        <w:rPr>
          <w:rFonts w:ascii="Arial" w:cs="Arial" w:eastAsia="Arial" w:hAnsi="Arial"/>
          <w:sz w:val="22"/>
          <w:szCs w:val="22"/>
          <w:b w:val="1"/>
          <w:bCs w:val="1"/>
          <w:color w:val="auto"/>
        </w:rPr>
        <w:t>Deed of</w:t>
      </w:r>
      <w:r>
        <w:rPr>
          <w:rFonts w:ascii="Arial" w:cs="Arial" w:eastAsia="Arial" w:hAnsi="Arial"/>
          <w:sz w:val="22"/>
          <w:szCs w:val="22"/>
          <w:color w:val="auto"/>
        </w:rPr>
        <w:t xml:space="preserve"> </w:t>
      </w:r>
      <w:r>
        <w:rPr>
          <w:rFonts w:ascii="Arial" w:cs="Arial" w:eastAsia="Arial" w:hAnsi="Arial"/>
          <w:sz w:val="22"/>
          <w:szCs w:val="22"/>
          <w:b w:val="1"/>
          <w:bCs w:val="1"/>
          <w:color w:val="auto"/>
        </w:rPr>
        <w:t>Assignment</w:t>
      </w:r>
      <w:r>
        <w:rPr>
          <w:rFonts w:ascii="Arial" w:cs="Arial" w:eastAsia="Arial" w:hAnsi="Arial"/>
          <w:sz w:val="22"/>
          <w:szCs w:val="22"/>
          <w:color w:val="auto"/>
        </w:rPr>
        <w:t>"), under the condition precedent (</w:t>
      </w:r>
      <w:r>
        <w:rPr>
          <w:rFonts w:ascii="Arial" w:cs="Arial" w:eastAsia="Arial" w:hAnsi="Arial"/>
          <w:sz w:val="22"/>
          <w:szCs w:val="22"/>
          <w:i w:val="1"/>
          <w:iCs w:val="1"/>
          <w:color w:val="auto"/>
        </w:rPr>
        <w:t>opschortende voorwaarde</w:t>
      </w:r>
      <w:r>
        <w:rPr>
          <w:rFonts w:ascii="Arial" w:cs="Arial" w:eastAsia="Arial" w:hAnsi="Arial"/>
          <w:sz w:val="22"/>
          <w:szCs w:val="22"/>
          <w:color w:val="auto"/>
        </w:rPr>
        <w:t>) of the execution of the Deed of Sale and</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of the Shares in the Company and the signing of this Deed of Adherence in accordance with clause 13.1 of the IRA.</w:t>
      </w:r>
    </w:p>
    <w:p>
      <w:pPr>
        <w:spacing w:after="0" w:line="188" w:lineRule="exact"/>
        <w:rPr>
          <w:rFonts w:ascii="Arial" w:cs="Arial" w:eastAsia="Arial" w:hAnsi="Arial"/>
          <w:sz w:val="22"/>
          <w:szCs w:val="22"/>
          <w:color w:val="auto"/>
        </w:rPr>
      </w:pPr>
    </w:p>
    <w:p>
      <w:pPr>
        <w:ind w:left="660" w:hanging="652"/>
        <w:spacing w:after="0" w:line="289" w:lineRule="auto"/>
        <w:tabs>
          <w:tab w:leader="none" w:pos="652"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light of the foregoing and in accordance with clause 13.1 of the IRA, the New Party wishes to become a party to the IRA by entering into this Deed of Adherence.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DEED OF ADHERENCE WITNESSES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1240"/>
          </w:cols>
          <w:pgMar w:left="320" w:top="1435" w:right="339" w:bottom="1440" w:gutter="0" w:footer="0" w:header="0"/>
        </w:sectPr>
      </w:pPr>
    </w:p>
    <w:bookmarkStart w:id="72" w:name="page73"/>
    <w:bookmarkEnd w:id="72"/>
    <w:p>
      <w:pPr>
        <w:spacing w:after="0" w:line="2"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New Party confirms that it has been provided with copy of the IRA.</w:t>
      </w:r>
    </w:p>
    <w:p>
      <w:pPr>
        <w:spacing w:after="0" w:line="260" w:lineRule="exact"/>
        <w:rPr>
          <w:rFonts w:ascii="Arial" w:cs="Arial" w:eastAsia="Arial" w:hAnsi="Arial"/>
          <w:sz w:val="22"/>
          <w:szCs w:val="22"/>
          <w:color w:val="auto"/>
        </w:rPr>
      </w:pPr>
    </w:p>
    <w:p>
      <w:pPr>
        <w:jc w:val="both"/>
        <w:ind w:left="660" w:hanging="652"/>
        <w:spacing w:after="0" w:line="356" w:lineRule="auto"/>
        <w:tabs>
          <w:tab w:leader="none" w:pos="6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New Party agrees and undertakes to be bound by the provisions of the IRA as a Shareholder and a Party (as defined in the IRA) and, consequently, as of the date hereof it assumes all rights and obligations of MCH under the IRA, under the condition precedent (</w:t>
      </w:r>
      <w:r>
        <w:rPr>
          <w:rFonts w:ascii="Arial" w:cs="Arial" w:eastAsia="Arial" w:hAnsi="Arial"/>
          <w:sz w:val="19"/>
          <w:szCs w:val="19"/>
          <w:i w:val="1"/>
          <w:iCs w:val="1"/>
          <w:color w:val="auto"/>
        </w:rPr>
        <w:t>opschortende voorwaarde</w:t>
      </w:r>
      <w:r>
        <w:rPr>
          <w:rFonts w:ascii="Arial" w:cs="Arial" w:eastAsia="Arial" w:hAnsi="Arial"/>
          <w:sz w:val="19"/>
          <w:szCs w:val="19"/>
          <w:color w:val="auto"/>
        </w:rPr>
        <w:t>) of the execution of the Deed of Sale and Transfer.</w:t>
      </w:r>
    </w:p>
    <w:p>
      <w:pPr>
        <w:spacing w:after="0" w:line="134" w:lineRule="exact"/>
        <w:rPr>
          <w:rFonts w:ascii="Arial" w:cs="Arial" w:eastAsia="Arial" w:hAnsi="Arial"/>
          <w:sz w:val="19"/>
          <w:szCs w:val="19"/>
          <w:color w:val="auto"/>
        </w:rPr>
      </w:pPr>
    </w:p>
    <w:p>
      <w:pPr>
        <w:ind w:left="660" w:hanging="652"/>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This Deed of Adherence is made for the benefit of:</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parties to the IRA; and</w:t>
      </w:r>
    </w:p>
    <w:p>
      <w:pPr>
        <w:spacing w:after="0" w:line="260" w:lineRule="exact"/>
        <w:rPr>
          <w:rFonts w:ascii="Arial" w:cs="Arial" w:eastAsia="Arial" w:hAnsi="Arial"/>
          <w:sz w:val="22"/>
          <w:szCs w:val="22"/>
          <w:color w:val="auto"/>
        </w:rPr>
      </w:pPr>
    </w:p>
    <w:p>
      <w:pPr>
        <w:ind w:left="1300" w:hanging="644"/>
        <w:spacing w:after="0" w:line="302" w:lineRule="auto"/>
        <w:tabs>
          <w:tab w:leader="none" w:pos="1295" w:val="left"/>
        </w:tabs>
        <w:numPr>
          <w:ilvl w:val="1"/>
          <w:numId w:val="60"/>
        </w:numPr>
        <w:rPr>
          <w:rFonts w:ascii="Arial" w:cs="Arial" w:eastAsia="Arial" w:hAnsi="Arial"/>
          <w:sz w:val="22"/>
          <w:szCs w:val="22"/>
          <w:color w:val="auto"/>
        </w:rPr>
      </w:pPr>
      <w:r>
        <w:rPr>
          <w:rFonts w:ascii="Arial" w:cs="Arial" w:eastAsia="Arial" w:hAnsi="Arial"/>
          <w:sz w:val="22"/>
          <w:szCs w:val="22"/>
          <w:color w:val="auto"/>
        </w:rPr>
        <w:t>every other person who after the date of the IRA (and whether before or after the execution of this Deed of Adherence) assumes any rights or obligations under the IRA or who adheres to it.</w:t>
      </w:r>
    </w:p>
    <w:p>
      <w:pPr>
        <w:spacing w:after="0" w:line="173" w:lineRule="exact"/>
        <w:rPr>
          <w:rFonts w:ascii="Arial" w:cs="Arial" w:eastAsia="Arial" w:hAnsi="Arial"/>
          <w:sz w:val="22"/>
          <w:szCs w:val="22"/>
          <w:color w:val="auto"/>
        </w:rPr>
      </w:pPr>
    </w:p>
    <w:p>
      <w:pPr>
        <w:ind w:left="660" w:hanging="652"/>
        <w:spacing w:after="0"/>
        <w:tabs>
          <w:tab w:leader="none" w:pos="6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This Deed of Adherence is governed by and shall be construed in accordance with the laws of the Netherlands.</w:t>
      </w:r>
    </w:p>
    <w:p>
      <w:pPr>
        <w:spacing w:after="0" w:line="271" w:lineRule="exact"/>
        <w:rPr>
          <w:rFonts w:ascii="Arial" w:cs="Arial" w:eastAsia="Arial" w:hAnsi="Arial"/>
          <w:sz w:val="21"/>
          <w:szCs w:val="21"/>
          <w:color w:val="auto"/>
        </w:rPr>
      </w:pPr>
    </w:p>
    <w:p>
      <w:pPr>
        <w:ind w:left="660" w:hanging="652"/>
        <w:spacing w:after="0" w:line="302"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dispute arising out of or in connection with this Deed of Adherence must be finally settled in arbitration in accordance with clause 14 of the IRA.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auto"/>
        </w:rPr>
        <w:t xml:space="preserve">THIS DEED OF ADHERENCE WAS EXECUTED </w:t>
      </w:r>
      <w:r>
        <w:rPr>
          <w:rFonts w:ascii="Arial" w:cs="Arial" w:eastAsia="Arial" w:hAnsi="Arial"/>
          <w:sz w:val="22"/>
          <w:szCs w:val="22"/>
          <w:color w:val="auto"/>
        </w:rPr>
        <w:t>on the date stated at the beginning: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320" w:type="dxa"/>
            <w:vAlign w:val="bottom"/>
            <w:gridSpan w:val="3"/>
          </w:tcPr>
          <w:p>
            <w:pPr>
              <w:spacing w:after="0"/>
              <w:rPr>
                <w:sz w:val="20"/>
                <w:szCs w:val="20"/>
                <w:color w:val="auto"/>
              </w:rPr>
            </w:pPr>
            <w:r>
              <w:rPr>
                <w:rFonts w:ascii="Arial" w:cs="Arial" w:eastAsia="Arial" w:hAnsi="Arial"/>
                <w:sz w:val="22"/>
                <w:szCs w:val="22"/>
                <w:b w:val="1"/>
                <w:bCs w:val="1"/>
                <w:color w:val="auto"/>
              </w:rPr>
              <w:t>Mondelez International Holdings Netherlands B.V.</w:t>
            </w:r>
          </w:p>
        </w:tc>
        <w:tc>
          <w:tcPr>
            <w:tcW w:w="3920" w:type="dxa"/>
            <w:vAlign w:val="bottom"/>
          </w:tcPr>
          <w:p>
            <w:pPr>
              <w:spacing w:after="0"/>
              <w:rPr>
                <w:sz w:val="24"/>
                <w:szCs w:val="24"/>
                <w:color w:val="auto"/>
              </w:rPr>
            </w:pPr>
          </w:p>
        </w:tc>
      </w:tr>
      <w:tr>
        <w:trPr>
          <w:trHeight w:val="537"/>
        </w:trPr>
        <w:tc>
          <w:tcPr>
            <w:tcW w:w="80" w:type="dxa"/>
            <w:vAlign w:val="bottom"/>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B.E.H. Bekkers</w:t>
            </w:r>
          </w:p>
        </w:tc>
        <w:tc>
          <w:tcPr>
            <w:tcW w:w="34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F.S. Janssen</w:t>
            </w:r>
          </w:p>
        </w:tc>
      </w:tr>
      <w:tr>
        <w:trPr>
          <w:trHeight w:val="276"/>
        </w:trPr>
        <w:tc>
          <w:tcPr>
            <w:tcW w:w="80" w:type="dxa"/>
            <w:vAlign w:val="bottom"/>
          </w:tcPr>
          <w:p>
            <w:pPr>
              <w:spacing w:after="0"/>
              <w:rPr>
                <w:sz w:val="23"/>
                <w:szCs w:val="23"/>
                <w:color w:val="auto"/>
              </w:rPr>
            </w:pPr>
          </w:p>
        </w:tc>
        <w:tc>
          <w:tcPr>
            <w:tcW w:w="7240" w:type="dxa"/>
            <w:vAlign w:val="bottom"/>
            <w:gridSpan w:val="2"/>
          </w:tcPr>
          <w:p>
            <w:pPr>
              <w:ind w:left="80"/>
              <w:spacing w:after="0"/>
              <w:rPr>
                <w:sz w:val="20"/>
                <w:szCs w:val="20"/>
                <w:color w:val="auto"/>
              </w:rPr>
            </w:pPr>
            <w:r>
              <w:rPr>
                <w:rFonts w:ascii="Arial" w:cs="Arial" w:eastAsia="Arial" w:hAnsi="Arial"/>
                <w:sz w:val="22"/>
                <w:szCs w:val="22"/>
                <w:color w:val="auto"/>
              </w:rPr>
              <w:t>Name: B.E.H. Bekkers</w:t>
            </w:r>
          </w:p>
        </w:tc>
        <w:tc>
          <w:tcPr>
            <w:tcW w:w="3920" w:type="dxa"/>
            <w:vAlign w:val="bottom"/>
          </w:tcPr>
          <w:p>
            <w:pPr>
              <w:ind w:left="60"/>
              <w:spacing w:after="0"/>
              <w:rPr>
                <w:sz w:val="20"/>
                <w:szCs w:val="20"/>
                <w:color w:val="auto"/>
              </w:rPr>
            </w:pPr>
            <w:r>
              <w:rPr>
                <w:rFonts w:ascii="Arial" w:cs="Arial" w:eastAsia="Arial" w:hAnsi="Arial"/>
                <w:sz w:val="22"/>
                <w:szCs w:val="22"/>
                <w:color w:val="auto"/>
              </w:rPr>
              <w:t>Name: F.S. Janssen</w:t>
            </w:r>
          </w:p>
        </w:tc>
      </w:tr>
      <w:tr>
        <w:trPr>
          <w:trHeight w:val="274"/>
        </w:trPr>
        <w:tc>
          <w:tcPr>
            <w:tcW w:w="80" w:type="dxa"/>
            <w:vAlign w:val="bottom"/>
          </w:tcPr>
          <w:p>
            <w:pPr>
              <w:spacing w:after="0"/>
              <w:rPr>
                <w:sz w:val="23"/>
                <w:szCs w:val="23"/>
                <w:color w:val="auto"/>
              </w:rPr>
            </w:pPr>
          </w:p>
        </w:tc>
        <w:tc>
          <w:tcPr>
            <w:tcW w:w="7240" w:type="dxa"/>
            <w:vAlign w:val="bottom"/>
            <w:gridSpan w:val="2"/>
          </w:tcPr>
          <w:p>
            <w:pPr>
              <w:ind w:left="80"/>
              <w:spacing w:after="0"/>
              <w:rPr>
                <w:sz w:val="20"/>
                <w:szCs w:val="20"/>
                <w:color w:val="auto"/>
              </w:rPr>
            </w:pPr>
            <w:r>
              <w:rPr>
                <w:rFonts w:ascii="Arial" w:cs="Arial" w:eastAsia="Arial" w:hAnsi="Arial"/>
                <w:sz w:val="22"/>
                <w:szCs w:val="22"/>
                <w:color w:val="auto"/>
              </w:rPr>
              <w:t>Title: General attorney</w:t>
            </w:r>
          </w:p>
        </w:tc>
        <w:tc>
          <w:tcPr>
            <w:tcW w:w="3920" w:type="dxa"/>
            <w:vAlign w:val="bottom"/>
          </w:tcPr>
          <w:p>
            <w:pPr>
              <w:ind w:left="60"/>
              <w:spacing w:after="0"/>
              <w:rPr>
                <w:sz w:val="20"/>
                <w:szCs w:val="20"/>
                <w:color w:val="auto"/>
              </w:rPr>
            </w:pPr>
            <w:r>
              <w:rPr>
                <w:rFonts w:ascii="Arial" w:cs="Arial" w:eastAsia="Arial" w:hAnsi="Arial"/>
                <w:sz w:val="22"/>
                <w:szCs w:val="22"/>
                <w:color w:val="auto"/>
              </w:rPr>
              <w:t>Title General 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422" w:right="339" w:bottom="1440" w:gutter="0" w:footer="0" w:header="0"/>
        </w:sectPr>
      </w:pPr>
    </w:p>
    <w:bookmarkStart w:id="74" w:name="page75"/>
    <w:bookmarkEnd w:id="74"/>
    <w:p>
      <w:pPr>
        <w:spacing w:after="0"/>
        <w:rPr>
          <w:sz w:val="20"/>
          <w:szCs w:val="20"/>
          <w:color w:val="auto"/>
        </w:rPr>
      </w:pPr>
      <w:r>
        <w:rPr>
          <w:rFonts w:ascii="Arial" w:cs="Arial" w:eastAsia="Arial" w:hAnsi="Arial"/>
          <w:sz w:val="25"/>
          <w:szCs w:val="25"/>
          <w:b w:val="1"/>
          <w:bCs w:val="1"/>
          <w:color w:val="auto"/>
        </w:rPr>
        <w:t>C L I F F O R D</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 H A N C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2240"/>
        <w:spacing w:after="0"/>
        <w:rPr>
          <w:sz w:val="20"/>
          <w:szCs w:val="20"/>
          <w:color w:val="auto"/>
        </w:rPr>
      </w:pPr>
      <w:r>
        <w:rPr>
          <w:rFonts w:ascii="Arial" w:cs="Arial" w:eastAsia="Arial" w:hAnsi="Arial"/>
          <w:sz w:val="22"/>
          <w:szCs w:val="22"/>
          <w:color w:val="auto"/>
        </w:rPr>
        <w:t>MONDELEZ COFFEE HOLDCO B.V.</w:t>
      </w:r>
    </w:p>
    <w:p>
      <w:pPr>
        <w:spacing w:after="0" w:line="220" w:lineRule="exact"/>
        <w:rPr>
          <w:sz w:val="20"/>
          <w:szCs w:val="20"/>
          <w:color w:val="auto"/>
        </w:rPr>
      </w:pPr>
    </w:p>
    <w:p>
      <w:pPr>
        <w:jc w:val="center"/>
        <w:ind w:left="22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left="2240"/>
        <w:spacing w:after="0"/>
        <w:rPr>
          <w:sz w:val="20"/>
          <w:szCs w:val="20"/>
          <w:color w:val="auto"/>
        </w:rPr>
      </w:pPr>
      <w:r>
        <w:rPr>
          <w:rFonts w:ascii="Arial" w:cs="Arial" w:eastAsia="Arial" w:hAnsi="Arial"/>
          <w:sz w:val="21"/>
          <w:szCs w:val="21"/>
          <w:color w:val="auto"/>
        </w:rPr>
        <w:t>MONDELEZ INTERNATIONAL HOLDINGS NETHERLANDS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168910</wp:posOffset>
            </wp:positionV>
            <wp:extent cx="4594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79" w:lineRule="exact"/>
        <w:rPr>
          <w:sz w:val="20"/>
          <w:szCs w:val="20"/>
          <w:color w:val="auto"/>
        </w:rPr>
      </w:pPr>
    </w:p>
    <w:p>
      <w:pPr>
        <w:jc w:val="center"/>
        <w:ind w:left="2280"/>
        <w:spacing w:after="0"/>
        <w:rPr>
          <w:sz w:val="20"/>
          <w:szCs w:val="20"/>
          <w:color w:val="auto"/>
        </w:rPr>
      </w:pPr>
      <w:r>
        <w:rPr>
          <w:rFonts w:ascii="Arial" w:cs="Arial" w:eastAsia="Arial" w:hAnsi="Arial"/>
          <w:sz w:val="22"/>
          <w:szCs w:val="22"/>
          <w:color w:val="auto"/>
        </w:rPr>
        <w:t>DEED OF ASSIGNMENT</w:t>
      </w:r>
    </w:p>
    <w:p>
      <w:pPr>
        <w:spacing w:after="0" w:line="21" w:lineRule="exact"/>
        <w:rPr>
          <w:sz w:val="20"/>
          <w:szCs w:val="20"/>
          <w:color w:val="auto"/>
        </w:rPr>
      </w:pPr>
    </w:p>
    <w:p>
      <w:pPr>
        <w:jc w:val="center"/>
        <w:ind w:left="2280"/>
        <w:spacing w:after="0"/>
        <w:rPr>
          <w:sz w:val="20"/>
          <w:szCs w:val="20"/>
          <w:color w:val="auto"/>
        </w:rPr>
      </w:pPr>
      <w:r>
        <w:rPr>
          <w:rFonts w:ascii="Arial" w:cs="Arial" w:eastAsia="Arial" w:hAnsi="Arial"/>
          <w:sz w:val="22"/>
          <w:szCs w:val="22"/>
          <w:color w:val="auto"/>
        </w:rPr>
        <w:t>OF RIGHTS</w:t>
      </w:r>
    </w:p>
    <w:p>
      <w:pPr>
        <w:spacing w:after="0" w:line="4" w:lineRule="exact"/>
        <w:rPr>
          <w:sz w:val="20"/>
          <w:szCs w:val="20"/>
          <w:color w:val="auto"/>
        </w:rPr>
      </w:pPr>
    </w:p>
    <w:p>
      <w:pPr>
        <w:jc w:val="center"/>
        <w:ind w:left="2280"/>
        <w:spacing w:after="0"/>
        <w:rPr>
          <w:sz w:val="20"/>
          <w:szCs w:val="20"/>
          <w:color w:val="auto"/>
        </w:rPr>
      </w:pPr>
      <w:r>
        <w:rPr>
          <w:rFonts w:ascii="Arial" w:cs="Arial" w:eastAsia="Arial" w:hAnsi="Arial"/>
          <w:sz w:val="22"/>
          <w:szCs w:val="22"/>
          <w:color w:val="auto"/>
        </w:rPr>
        <w:t>UNDER THE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13335</wp:posOffset>
            </wp:positionV>
            <wp:extent cx="459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CLIFFORD CHANCE LLP</w:t>
      </w:r>
    </w:p>
    <w:p>
      <w:pPr>
        <w:sectPr>
          <w:pgSz w:w="11900" w:h="16838" w:orient="portrait"/>
          <w:cols w:equalWidth="0" w:num="2">
            <w:col w:w="8980" w:space="720"/>
            <w:col w:w="1460"/>
          </w:cols>
          <w:pgMar w:left="340" w:top="163" w:right="399" w:bottom="1440" w:gutter="0" w:footer="0" w:header="0"/>
        </w:sectPr>
      </w:pPr>
    </w:p>
    <w:bookmarkStart w:id="75" w:name="page76"/>
    <w:bookmarkEnd w:id="75"/>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DEED OF ASSIGNMENT </w:t>
      </w:r>
      <w:r>
        <w:rPr>
          <w:rFonts w:ascii="Arial" w:cs="Arial" w:eastAsia="Arial" w:hAnsi="Arial"/>
          <w:sz w:val="22"/>
          <w:szCs w:val="22"/>
          <w:color w:val="auto"/>
        </w:rPr>
        <w:t>(the "</w:t>
      </w:r>
      <w:r>
        <w:rPr>
          <w:rFonts w:ascii="Arial" w:cs="Arial" w:eastAsia="Arial" w:hAnsi="Arial"/>
          <w:sz w:val="22"/>
          <w:szCs w:val="22"/>
          <w:b w:val="1"/>
          <w:bCs w:val="1"/>
          <w:color w:val="auto"/>
        </w:rPr>
        <w:t>Deed of Assignment</w:t>
      </w:r>
      <w:r>
        <w:rPr>
          <w:rFonts w:ascii="Arial" w:cs="Arial" w:eastAsia="Arial" w:hAnsi="Arial"/>
          <w:sz w:val="22"/>
          <w:szCs w:val="22"/>
          <w:color w:val="auto"/>
        </w:rPr>
        <w:t>") is made on 23 July 2021</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r>
        <w:rPr>
          <w:rFonts w:ascii="Arial" w:cs="Arial" w:eastAsia="Arial" w:hAnsi="Arial"/>
          <w:sz w:val="22"/>
          <w:szCs w:val="22"/>
          <w:color w:val="auto"/>
        </w:rPr>
        <w:t>:</w:t>
      </w:r>
    </w:p>
    <w:p>
      <w:pPr>
        <w:spacing w:after="0" w:line="260" w:lineRule="exact"/>
        <w:rPr>
          <w:sz w:val="20"/>
          <w:szCs w:val="20"/>
          <w:color w:val="auto"/>
        </w:rPr>
      </w:pPr>
    </w:p>
    <w:p>
      <w:pPr>
        <w:jc w:val="both"/>
        <w:ind w:left="660" w:hanging="652"/>
        <w:spacing w:after="0" w:line="348" w:lineRule="auto"/>
        <w:tabs>
          <w:tab w:leader="none" w:pos="665"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Mondelez Coffee HoldCo B.V.</w:t>
      </w:r>
      <w:r>
        <w:rPr>
          <w:rFonts w:ascii="Arial" w:cs="Arial" w:eastAsia="Arial" w:hAnsi="Arial"/>
          <w:sz w:val="19"/>
          <w:szCs w:val="19"/>
          <w:color w:val="auto"/>
        </w:rPr>
        <w:t>, a private company with limited liability (</w:t>
      </w:r>
      <w:r>
        <w:rPr>
          <w:rFonts w:ascii="Arial" w:cs="Arial" w:eastAsia="Arial" w:hAnsi="Arial"/>
          <w:sz w:val="19"/>
          <w:szCs w:val="19"/>
          <w:i w:val="1"/>
          <w:iCs w:val="1"/>
          <w:color w:val="auto"/>
        </w:rPr>
        <w:t>een besloten vennootschap met beperkte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aansprakelijkheid</w:t>
      </w:r>
      <w:r>
        <w:rPr>
          <w:rFonts w:ascii="Arial" w:cs="Arial" w:eastAsia="Arial" w:hAnsi="Arial"/>
          <w:sz w:val="19"/>
          <w:szCs w:val="19"/>
          <w:color w:val="auto"/>
        </w:rPr>
        <w:t>) incorporated under the laws of The Netherlands, with its seat (</w:t>
      </w:r>
      <w:r>
        <w:rPr>
          <w:rFonts w:ascii="Arial" w:cs="Arial" w:eastAsia="Arial" w:hAnsi="Arial"/>
          <w:sz w:val="19"/>
          <w:szCs w:val="19"/>
          <w:i w:val="1"/>
          <w:iCs w:val="1"/>
          <w:color w:val="auto"/>
        </w:rPr>
        <w:t>statutaire zetel</w:t>
      </w:r>
      <w:r>
        <w:rPr>
          <w:rFonts w:ascii="Arial" w:cs="Arial" w:eastAsia="Arial" w:hAnsi="Arial"/>
          <w:sz w:val="19"/>
          <w:szCs w:val="19"/>
          <w:color w:val="auto"/>
        </w:rPr>
        <w:t>) in Breda, The</w:t>
      </w:r>
      <w:r>
        <w:rPr>
          <w:rFonts w:ascii="Arial" w:cs="Arial" w:eastAsia="Arial" w:hAnsi="Arial"/>
          <w:sz w:val="19"/>
          <w:szCs w:val="19"/>
          <w:i w:val="1"/>
          <w:iCs w:val="1"/>
          <w:color w:val="auto"/>
        </w:rPr>
        <w:t xml:space="preserve"> </w:t>
      </w:r>
      <w:r>
        <w:rPr>
          <w:rFonts w:ascii="Arial" w:cs="Arial" w:eastAsia="Arial" w:hAnsi="Arial"/>
          <w:sz w:val="19"/>
          <w:szCs w:val="19"/>
          <w:color w:val="auto"/>
        </w:rPr>
        <w:t>Netherlands and its office address at Verlengde Poolseweg 34, Bond Towers, 4818 CL Breda, The Netherlands and registered with the Dutch Commercial Register (</w:t>
      </w:r>
      <w:r>
        <w:rPr>
          <w:rFonts w:ascii="Arial" w:cs="Arial" w:eastAsia="Arial" w:hAnsi="Arial"/>
          <w:sz w:val="19"/>
          <w:szCs w:val="19"/>
          <w:i w:val="1"/>
          <w:iCs w:val="1"/>
          <w:color w:val="auto"/>
        </w:rPr>
        <w:t>Handelsregister</w:t>
      </w:r>
      <w:r>
        <w:rPr>
          <w:rFonts w:ascii="Arial" w:cs="Arial" w:eastAsia="Arial" w:hAnsi="Arial"/>
          <w:sz w:val="19"/>
          <w:szCs w:val="19"/>
          <w:color w:val="auto"/>
        </w:rPr>
        <w:t>) under number 62773178 (the "</w:t>
      </w:r>
      <w:r>
        <w:rPr>
          <w:rFonts w:ascii="Arial" w:cs="Arial" w:eastAsia="Arial" w:hAnsi="Arial"/>
          <w:sz w:val="19"/>
          <w:szCs w:val="19"/>
          <w:b w:val="1"/>
          <w:bCs w:val="1"/>
          <w:color w:val="auto"/>
        </w:rPr>
        <w:t>Assignor</w:t>
      </w:r>
      <w:r>
        <w:rPr>
          <w:rFonts w:ascii="Arial" w:cs="Arial" w:eastAsia="Arial" w:hAnsi="Arial"/>
          <w:sz w:val="19"/>
          <w:szCs w:val="19"/>
          <w:color w:val="auto"/>
        </w:rPr>
        <w:t>"); and</w:t>
      </w:r>
    </w:p>
    <w:p>
      <w:pPr>
        <w:spacing w:after="0" w:line="136" w:lineRule="exact"/>
        <w:rPr>
          <w:rFonts w:ascii="Arial" w:cs="Arial" w:eastAsia="Arial" w:hAnsi="Arial"/>
          <w:sz w:val="19"/>
          <w:szCs w:val="19"/>
          <w:color w:val="auto"/>
        </w:rPr>
      </w:pPr>
    </w:p>
    <w:p>
      <w:pPr>
        <w:jc w:val="both"/>
        <w:ind w:left="660" w:hanging="652"/>
        <w:spacing w:after="0" w:line="288" w:lineRule="auto"/>
        <w:tabs>
          <w:tab w:leader="none" w:pos="655"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Mondelez International Holdings Netherlands B.V.</w:t>
      </w:r>
      <w:r>
        <w:rPr>
          <w:rFonts w:ascii="Arial" w:cs="Arial" w:eastAsia="Arial" w:hAnsi="Arial"/>
          <w:sz w:val="22"/>
          <w:szCs w:val="22"/>
          <w:color w:val="auto"/>
        </w:rPr>
        <w:t>, a private company with limited liability (</w:t>
      </w:r>
      <w:r>
        <w:rPr>
          <w:rFonts w:ascii="Arial" w:cs="Arial" w:eastAsia="Arial" w:hAnsi="Arial"/>
          <w:sz w:val="22"/>
          <w:szCs w:val="22"/>
          <w:i w:val="1"/>
          <w:iCs w:val="1"/>
          <w:color w:val="auto"/>
        </w:rPr>
        <w:t>een besloten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vennootschap met beperkte aansprakelijkheid</w:t>
      </w:r>
      <w:r>
        <w:rPr>
          <w:rFonts w:ascii="Arial" w:cs="Arial" w:eastAsia="Arial" w:hAnsi="Arial"/>
          <w:sz w:val="22"/>
          <w:szCs w:val="22"/>
          <w:color w:val="auto"/>
        </w:rPr>
        <w:t>) incorporated under the laws of The Netherlands, with its seat (</w:t>
      </w:r>
      <w:r>
        <w:rPr>
          <w:rFonts w:ascii="Arial" w:cs="Arial" w:eastAsia="Arial" w:hAnsi="Arial"/>
          <w:sz w:val="22"/>
          <w:szCs w:val="22"/>
          <w:i w:val="1"/>
          <w:iCs w:val="1"/>
          <w:color w:val="auto"/>
        </w:rPr>
        <w:t>statutaire zetel</w:t>
      </w:r>
      <w:r>
        <w:rPr>
          <w:rFonts w:ascii="Arial" w:cs="Arial" w:eastAsia="Arial" w:hAnsi="Arial"/>
          <w:sz w:val="22"/>
          <w:szCs w:val="22"/>
          <w:color w:val="auto"/>
        </w:rPr>
        <w:t>) in Breda, The Netherlands and its office address at Verlengde Poolseweg 34, Bond Towers, 4818 CL Breda, The</w:t>
      </w:r>
      <w:r>
        <w:rPr>
          <w:rFonts w:ascii="Arial" w:cs="Arial" w:eastAsia="Arial" w:hAnsi="Arial"/>
          <w:sz w:val="22"/>
          <w:szCs w:val="22"/>
          <w:i w:val="1"/>
          <w:iCs w:val="1"/>
          <w:color w:val="auto"/>
        </w:rPr>
        <w:t xml:space="preserve"> </w:t>
      </w:r>
      <w:r>
        <w:rPr>
          <w:rFonts w:ascii="Arial" w:cs="Arial" w:eastAsia="Arial" w:hAnsi="Arial"/>
          <w:sz w:val="22"/>
          <w:szCs w:val="22"/>
          <w:color w:val="auto"/>
        </w:rPr>
        <w:t>Netherlands and registered with the Dutch Commercial Register (</w:t>
      </w:r>
      <w:r>
        <w:rPr>
          <w:rFonts w:ascii="Arial" w:cs="Arial" w:eastAsia="Arial" w:hAnsi="Arial"/>
          <w:sz w:val="22"/>
          <w:szCs w:val="22"/>
          <w:i w:val="1"/>
          <w:iCs w:val="1"/>
          <w:color w:val="auto"/>
        </w:rPr>
        <w:t>Handelsregister</w:t>
      </w:r>
      <w:r>
        <w:rPr>
          <w:rFonts w:ascii="Arial" w:cs="Arial" w:eastAsia="Arial" w:hAnsi="Arial"/>
          <w:sz w:val="22"/>
          <w:szCs w:val="22"/>
          <w:color w:val="auto"/>
        </w:rPr>
        <w:t>) under number 66713994 (the "</w:t>
      </w:r>
      <w:r>
        <w:rPr>
          <w:rFonts w:ascii="Arial" w:cs="Arial" w:eastAsia="Arial" w:hAnsi="Arial"/>
          <w:sz w:val="22"/>
          <w:szCs w:val="22"/>
          <w:b w:val="1"/>
          <w:bCs w:val="1"/>
          <w:color w:val="auto"/>
        </w:rPr>
        <w:t>Assignee</w:t>
      </w:r>
      <w:r>
        <w:rPr>
          <w:rFonts w:ascii="Arial" w:cs="Arial" w:eastAsia="Arial" w:hAnsi="Arial"/>
          <w:sz w:val="22"/>
          <w:szCs w:val="22"/>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Assignor and Assignee collectively hereinafter also referred to as: the "</w:t>
      </w:r>
      <w:r>
        <w:rPr>
          <w:rFonts w:ascii="Arial" w:cs="Arial" w:eastAsia="Arial" w:hAnsi="Arial"/>
          <w:sz w:val="22"/>
          <w:szCs w:val="22"/>
          <w:b w:val="1"/>
          <w:bCs w:val="1"/>
          <w:color w:val="auto"/>
        </w:rPr>
        <w:t>Parties</w:t>
      </w:r>
      <w:r>
        <w:rPr>
          <w:rFonts w:ascii="Arial" w:cs="Arial" w:eastAsia="Arial" w:hAnsi="Arial"/>
          <w:sz w:val="22"/>
          <w:szCs w:val="22"/>
          <w:color w:val="auto"/>
        </w:rPr>
        <w:t>" and individually as: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p>
    <w:p>
      <w:pPr>
        <w:spacing w:after="0" w:line="266" w:lineRule="exact"/>
        <w:rPr>
          <w:sz w:val="20"/>
          <w:szCs w:val="20"/>
          <w:color w:val="auto"/>
        </w:rPr>
      </w:pPr>
    </w:p>
    <w:p>
      <w:pPr>
        <w:ind w:left="660" w:hanging="652"/>
        <w:spacing w:after="0" w:line="273" w:lineRule="auto"/>
        <w:tabs>
          <w:tab w:leader="none" w:pos="53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Assignor holds 114,273,798 ordinary shares, numbered 347,779,039 up to and including 461,398,325 and 498,064,991 up to and including 498,719,501, and all rights attaching thereto (the "</w:t>
      </w:r>
      <w:r>
        <w:rPr>
          <w:rFonts w:ascii="Arial" w:cs="Arial" w:eastAsia="Arial" w:hAnsi="Arial"/>
          <w:sz w:val="22"/>
          <w:szCs w:val="22"/>
          <w:b w:val="1"/>
          <w:bCs w:val="1"/>
          <w:color w:val="auto"/>
        </w:rPr>
        <w:t>Shares</w:t>
      </w:r>
      <w:r>
        <w:rPr>
          <w:rFonts w:ascii="Arial" w:cs="Arial" w:eastAsia="Arial" w:hAnsi="Arial"/>
          <w:sz w:val="22"/>
          <w:szCs w:val="22"/>
          <w:color w:val="auto"/>
        </w:rPr>
        <w:t>"), in the capital of JDE Peet's N.V., a public company under the laws of The Netherlands (</w:t>
      </w:r>
      <w:r>
        <w:rPr>
          <w:rFonts w:ascii="Arial" w:cs="Arial" w:eastAsia="Arial" w:hAnsi="Arial"/>
          <w:sz w:val="22"/>
          <w:szCs w:val="22"/>
          <w:i w:val="1"/>
          <w:iCs w:val="1"/>
          <w:color w:val="auto"/>
        </w:rPr>
        <w:t>naamloze vennootschap</w:t>
      </w:r>
      <w:r>
        <w:rPr>
          <w:rFonts w:ascii="Arial" w:cs="Arial" w:eastAsia="Arial" w:hAnsi="Arial"/>
          <w:sz w:val="22"/>
          <w:szCs w:val="22"/>
          <w:color w:val="auto"/>
        </w:rPr>
        <w:t>), with its seat (</w:t>
      </w:r>
      <w:r>
        <w:rPr>
          <w:rFonts w:ascii="Arial" w:cs="Arial" w:eastAsia="Arial" w:hAnsi="Arial"/>
          <w:sz w:val="22"/>
          <w:szCs w:val="22"/>
          <w:i w:val="1"/>
          <w:iCs w:val="1"/>
          <w:color w:val="auto"/>
        </w:rPr>
        <w:t>statutaire zetel</w:t>
      </w:r>
      <w:r>
        <w:rPr>
          <w:rFonts w:ascii="Arial" w:cs="Arial" w:eastAsia="Arial" w:hAnsi="Arial"/>
          <w:sz w:val="22"/>
          <w:szCs w:val="22"/>
          <w:color w:val="auto"/>
        </w:rPr>
        <w:t>) in Amsterdam, The Netherlands and its office address at Oosterdoksstraat 80, 1011 DK Amsterdam, The Netherlands and registered with the Dutch Commercial Register (</w:t>
      </w:r>
      <w:r>
        <w:rPr>
          <w:rFonts w:ascii="Arial" w:cs="Arial" w:eastAsia="Arial" w:hAnsi="Arial"/>
          <w:sz w:val="22"/>
          <w:szCs w:val="22"/>
          <w:i w:val="1"/>
          <w:iCs w:val="1"/>
          <w:color w:val="auto"/>
        </w:rPr>
        <w:t>Handelsregister</w:t>
      </w:r>
      <w:r>
        <w:rPr>
          <w:rFonts w:ascii="Arial" w:cs="Arial" w:eastAsia="Arial" w:hAnsi="Arial"/>
          <w:sz w:val="22"/>
          <w:szCs w:val="22"/>
          <w:color w:val="auto"/>
        </w:rPr>
        <w:t>) under number 73160377, listed on Euronext Amsterdam N.V.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ind w:left="660" w:hanging="652"/>
        <w:spacing w:after="0" w:line="275" w:lineRule="auto"/>
        <w:tabs>
          <w:tab w:leader="none" w:pos="5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Assignor as holder of the Shares is a party to the investor rights agreement dated 25 May 2020 between the Assignor, Acorn Holdings B.V., a private limited liability company under Dutch law (</w:t>
      </w:r>
      <w:r>
        <w:rPr>
          <w:rFonts w:ascii="Arial" w:cs="Arial" w:eastAsia="Arial" w:hAnsi="Arial"/>
          <w:sz w:val="22"/>
          <w:szCs w:val="22"/>
          <w:i w:val="1"/>
          <w:iCs w:val="1"/>
          <w:color w:val="auto"/>
        </w:rPr>
        <w:t>besloten vennootschap met beperkte</w:t>
      </w:r>
      <w:r>
        <w:rPr>
          <w:rFonts w:ascii="Arial" w:cs="Arial" w:eastAsia="Arial" w:hAnsi="Arial"/>
          <w:sz w:val="22"/>
          <w:szCs w:val="22"/>
          <w:color w:val="auto"/>
        </w:rPr>
        <w:t xml:space="preserve"> </w:t>
      </w:r>
      <w:r>
        <w:rPr>
          <w:rFonts w:ascii="Arial" w:cs="Arial" w:eastAsia="Arial" w:hAnsi="Arial"/>
          <w:sz w:val="22"/>
          <w:szCs w:val="22"/>
          <w:i w:val="1"/>
          <w:iCs w:val="1"/>
          <w:color w:val="auto"/>
        </w:rPr>
        <w:t>aansprakelijkheid</w:t>
      </w:r>
      <w:r>
        <w:rPr>
          <w:rFonts w:ascii="Arial" w:cs="Arial" w:eastAsia="Arial" w:hAnsi="Arial"/>
          <w:sz w:val="22"/>
          <w:szCs w:val="22"/>
          <w:color w:val="auto"/>
        </w:rPr>
        <w:t>) whose registered office is at Oosterdoksstraat 80, 1011 DK Amsterdam, the Netherlands,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(the "</w:t>
      </w:r>
      <w:r>
        <w:rPr>
          <w:rFonts w:ascii="Arial" w:cs="Arial" w:eastAsia="Arial" w:hAnsi="Arial"/>
          <w:sz w:val="22"/>
          <w:szCs w:val="22"/>
          <w:b w:val="1"/>
          <w:bCs w:val="1"/>
          <w:color w:val="auto"/>
        </w:rPr>
        <w:t>IRA</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ind w:left="580" w:hanging="572"/>
        <w:spacing w:after="0" w:line="274" w:lineRule="auto"/>
        <w:tabs>
          <w:tab w:leader="none" w:pos="51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As part of optimizing the structure of the group of companies headed by Mondelēz International, the Assignor shall sell and transfer the Shares in the capital of the Company held by it to the Assignee by means of a deed of sale and transfer dated on the date of this Deed of Assignment (the "</w:t>
      </w:r>
      <w:r>
        <w:rPr>
          <w:rFonts w:ascii="Arial" w:cs="Arial" w:eastAsia="Arial" w:hAnsi="Arial"/>
          <w:sz w:val="22"/>
          <w:szCs w:val="22"/>
          <w:b w:val="1"/>
          <w:bCs w:val="1"/>
          <w:color w:val="auto"/>
        </w:rPr>
        <w:t>Deed of Sale and Transfer</w:t>
      </w:r>
      <w:r>
        <w:rPr>
          <w:rFonts w:ascii="Arial" w:cs="Arial" w:eastAsia="Arial" w:hAnsi="Arial"/>
          <w:sz w:val="22"/>
          <w:szCs w:val="22"/>
          <w:color w:val="auto"/>
        </w:rPr>
        <w:t>"). The Deed of Sale and Transfer shall be served on the Company pursuant to Article 2:86c (2) of the Dutch Civil Code on the first business day following the date of the Deed of Sale and Transfer.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2" w:lineRule="exact"/>
        <w:rPr>
          <w:rFonts w:ascii="Arial" w:cs="Arial" w:eastAsia="Arial" w:hAnsi="Arial"/>
          <w:sz w:val="22"/>
          <w:szCs w:val="22"/>
          <w:color w:val="auto"/>
        </w:rPr>
      </w:pPr>
    </w:p>
    <w:p>
      <w:pPr>
        <w:ind w:left="5560" w:hanging="129"/>
        <w:spacing w:after="0"/>
        <w:tabs>
          <w:tab w:leader="none" w:pos="55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0" w:lineRule="exact"/>
        <w:rPr>
          <w:sz w:val="20"/>
          <w:szCs w:val="20"/>
          <w:color w:val="auto"/>
        </w:rPr>
      </w:pPr>
    </w:p>
    <w:p>
      <w:pPr>
        <w:ind w:left="660" w:hanging="652"/>
        <w:spacing w:after="0" w:line="372" w:lineRule="auto"/>
        <w:tabs>
          <w:tab w:leader="none" w:pos="555" w:val="left"/>
        </w:tabs>
        <w:numPr>
          <w:ilvl w:val="0"/>
          <w:numId w:val="63"/>
        </w:numPr>
        <w:rPr>
          <w:rFonts w:ascii="Arial" w:cs="Arial" w:eastAsia="Arial" w:hAnsi="Arial"/>
          <w:sz w:val="19"/>
          <w:szCs w:val="19"/>
          <w:color w:val="auto"/>
        </w:rPr>
      </w:pPr>
      <w:r>
        <w:rPr>
          <w:rFonts w:ascii="Arial" w:cs="Arial" w:eastAsia="Arial" w:hAnsi="Arial"/>
          <w:sz w:val="19"/>
          <w:szCs w:val="19"/>
          <w:color w:val="auto"/>
        </w:rPr>
        <w:t>Pursuant to clause 13.1 of the IRA, a transfer by the Assignor of the Shares to the Assignee is permitted, provided that the Assignee as the new holder of the Shares becomes a party to the IRA by entering into a deed of adherence.</w:t>
      </w:r>
    </w:p>
    <w:p>
      <w:pPr>
        <w:spacing w:after="0" w:line="99" w:lineRule="exact"/>
        <w:rPr>
          <w:rFonts w:ascii="Arial" w:cs="Arial" w:eastAsia="Arial" w:hAnsi="Arial"/>
          <w:sz w:val="19"/>
          <w:szCs w:val="19"/>
          <w:color w:val="auto"/>
        </w:rPr>
      </w:pPr>
    </w:p>
    <w:p>
      <w:pPr>
        <w:ind w:left="580" w:right="20" w:hanging="572"/>
        <w:spacing w:after="0" w:line="295" w:lineRule="auto"/>
        <w:tabs>
          <w:tab w:leader="none" w:pos="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On the date of this Agreement, the Assignee shall become a party to the IRA by signing a deed of adherence (the "</w:t>
      </w:r>
      <w:r>
        <w:rPr>
          <w:rFonts w:ascii="Arial" w:cs="Arial" w:eastAsia="Arial" w:hAnsi="Arial"/>
          <w:sz w:val="22"/>
          <w:szCs w:val="22"/>
          <w:b w:val="1"/>
          <w:bCs w:val="1"/>
          <w:color w:val="auto"/>
        </w:rPr>
        <w:t>Deed</w:t>
      </w:r>
      <w:r>
        <w:rPr>
          <w:rFonts w:ascii="Arial" w:cs="Arial" w:eastAsia="Arial" w:hAnsi="Arial"/>
          <w:sz w:val="22"/>
          <w:szCs w:val="22"/>
          <w:color w:val="auto"/>
        </w:rPr>
        <w:t xml:space="preserve"> </w:t>
      </w:r>
      <w:r>
        <w:rPr>
          <w:rFonts w:ascii="Arial" w:cs="Arial" w:eastAsia="Arial" w:hAnsi="Arial"/>
          <w:sz w:val="22"/>
          <w:szCs w:val="22"/>
          <w:b w:val="1"/>
          <w:bCs w:val="1"/>
          <w:color w:val="auto"/>
        </w:rPr>
        <w:t>of Adherence</w:t>
      </w:r>
      <w:r>
        <w:rPr>
          <w:rFonts w:ascii="Arial" w:cs="Arial" w:eastAsia="Arial" w:hAnsi="Arial"/>
          <w:sz w:val="22"/>
          <w:szCs w:val="22"/>
          <w:color w:val="auto"/>
        </w:rPr>
        <w:t>") in accordance with clause 13.1 of the IRA.</w:t>
      </w:r>
    </w:p>
    <w:p>
      <w:pPr>
        <w:spacing w:after="0" w:line="167" w:lineRule="exact"/>
        <w:rPr>
          <w:rFonts w:ascii="Arial" w:cs="Arial" w:eastAsia="Arial" w:hAnsi="Arial"/>
          <w:sz w:val="22"/>
          <w:szCs w:val="22"/>
          <w:color w:val="auto"/>
        </w:rPr>
      </w:pPr>
    </w:p>
    <w:p>
      <w:pPr>
        <w:ind w:left="660" w:hanging="652"/>
        <w:spacing w:after="0" w:line="289" w:lineRule="auto"/>
        <w:tabs>
          <w:tab w:leader="none" w:pos="654" w:val="left"/>
        </w:tabs>
        <w:numPr>
          <w:ilvl w:val="0"/>
          <w:numId w:val="63"/>
        </w:numPr>
        <w:rPr>
          <w:rFonts w:ascii="Arial" w:cs="Arial" w:eastAsia="Arial" w:hAnsi="Arial"/>
          <w:sz w:val="22"/>
          <w:szCs w:val="22"/>
          <w:color w:val="auto"/>
        </w:rPr>
      </w:pPr>
      <w:r>
        <w:rPr>
          <w:rFonts w:ascii="Arial" w:cs="Arial" w:eastAsia="Arial" w:hAnsi="Arial"/>
          <w:sz w:val="22"/>
          <w:szCs w:val="22"/>
          <w:color w:val="auto"/>
        </w:rPr>
        <w:t>Clause 4.1.1 of the Deed of Sale and Transfer obliges the Assignor to assign any and all of its rights under the IRA to the Assignee in accordance with clause 13.1 of the IRA.</w:t>
      </w:r>
    </w:p>
    <w:p>
      <w:pPr>
        <w:spacing w:after="0" w:line="173" w:lineRule="exact"/>
        <w:rPr>
          <w:rFonts w:ascii="Arial" w:cs="Arial" w:eastAsia="Arial" w:hAnsi="Arial"/>
          <w:sz w:val="22"/>
          <w:szCs w:val="22"/>
          <w:color w:val="auto"/>
        </w:rPr>
      </w:pPr>
    </w:p>
    <w:p>
      <w:pPr>
        <w:ind w:left="660" w:hanging="652"/>
        <w:spacing w:after="0" w:line="289" w:lineRule="auto"/>
        <w:tabs>
          <w:tab w:leader="none" w:pos="649"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Therefore, the Parties enter into this Deed of Assignment ("</w:t>
      </w:r>
      <w:r>
        <w:rPr>
          <w:rFonts w:ascii="Arial" w:cs="Arial" w:eastAsia="Arial" w:hAnsi="Arial"/>
          <w:sz w:val="22"/>
          <w:szCs w:val="22"/>
          <w:i w:val="1"/>
          <w:iCs w:val="1"/>
          <w:color w:val="auto"/>
        </w:rPr>
        <w:t>akte van cessie</w:t>
      </w:r>
      <w:r>
        <w:rPr>
          <w:rFonts w:ascii="Arial" w:cs="Arial" w:eastAsia="Arial" w:hAnsi="Arial"/>
          <w:sz w:val="22"/>
          <w:szCs w:val="22"/>
          <w:color w:val="auto"/>
        </w:rPr>
        <w:t>") pursuant to Article 3:94 of the Dutch Civil Code.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HEREBY AGREED </w:t>
      </w:r>
      <w:r>
        <w:rPr>
          <w:rFonts w:ascii="Arial" w:cs="Arial" w:eastAsia="Arial" w:hAnsi="Arial"/>
          <w:sz w:val="22"/>
          <w:szCs w:val="22"/>
          <w:color w:val="auto"/>
        </w:rPr>
        <w:t>as follows:</w:t>
      </w:r>
    </w:p>
    <w:p>
      <w:pPr>
        <w:spacing w:after="0" w:line="260" w:lineRule="exact"/>
        <w:rPr>
          <w:sz w:val="20"/>
          <w:szCs w:val="20"/>
          <w:color w:val="auto"/>
        </w:rPr>
      </w:pPr>
    </w:p>
    <w:p>
      <w:pPr>
        <w:ind w:left="600" w:hanging="592"/>
        <w:spacing w:after="0"/>
        <w:tabs>
          <w:tab w:leader="none" w:pos="6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ASSIGNMENT</w:t>
      </w:r>
    </w:p>
    <w:p>
      <w:pPr>
        <w:spacing w:after="0" w:line="266" w:lineRule="exact"/>
        <w:rPr>
          <w:sz w:val="20"/>
          <w:szCs w:val="20"/>
          <w:color w:val="auto"/>
        </w:rPr>
      </w:pPr>
    </w:p>
    <w:p>
      <w:pPr>
        <w:jc w:val="both"/>
        <w:ind w:left="500" w:hanging="647"/>
        <w:spacing w:after="0" w:line="336" w:lineRule="auto"/>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Assignor hereby assigns to the Assignee and the Assignee hereby accepts, in accordance with Article 3:94 of the Dutch Civil Code, the legal title (</w:t>
      </w:r>
      <w:r>
        <w:rPr>
          <w:rFonts w:ascii="Arial" w:cs="Arial" w:eastAsia="Arial" w:hAnsi="Arial"/>
          <w:sz w:val="19"/>
          <w:szCs w:val="19"/>
          <w:i w:val="1"/>
          <w:iCs w:val="1"/>
          <w:color w:val="auto"/>
        </w:rPr>
        <w:t>juridisch eigendom</w:t>
      </w:r>
      <w:r>
        <w:rPr>
          <w:rFonts w:ascii="Arial" w:cs="Arial" w:eastAsia="Arial" w:hAnsi="Arial"/>
          <w:sz w:val="19"/>
          <w:szCs w:val="19"/>
          <w:color w:val="auto"/>
        </w:rPr>
        <w:t>) to any and all of the Assignor's rights under the IRA, including but not limited to clauses 6 (</w:t>
      </w:r>
      <w:r>
        <w:rPr>
          <w:rFonts w:ascii="Arial" w:cs="Arial" w:eastAsia="Arial" w:hAnsi="Arial"/>
          <w:sz w:val="19"/>
          <w:szCs w:val="19"/>
          <w:i w:val="1"/>
          <w:iCs w:val="1"/>
          <w:color w:val="auto"/>
        </w:rPr>
        <w:t>Board</w:t>
      </w:r>
      <w:r>
        <w:rPr>
          <w:rFonts w:ascii="Arial" w:cs="Arial" w:eastAsia="Arial" w:hAnsi="Arial"/>
          <w:sz w:val="19"/>
          <w:szCs w:val="19"/>
          <w:color w:val="auto"/>
        </w:rPr>
        <w:t>) and 9 (</w:t>
      </w:r>
      <w:r>
        <w:rPr>
          <w:rFonts w:ascii="Arial" w:cs="Arial" w:eastAsia="Arial" w:hAnsi="Arial"/>
          <w:sz w:val="19"/>
          <w:szCs w:val="19"/>
          <w:i w:val="1"/>
          <w:iCs w:val="1"/>
          <w:color w:val="auto"/>
        </w:rPr>
        <w:t>Orderly Market Arrangements</w:t>
      </w:r>
      <w:r>
        <w:rPr>
          <w:rFonts w:ascii="Arial" w:cs="Arial" w:eastAsia="Arial" w:hAnsi="Arial"/>
          <w:sz w:val="19"/>
          <w:szCs w:val="19"/>
          <w:color w:val="auto"/>
        </w:rPr>
        <w:t>) of the IRA and any past, present and future notices given and received by the Assignor under the IRA, including but not limited to the Assignor's Intent to Sell Notice of 8 June 2021, the request for cooperation to the Company of 8 June 2021 and the Company's refusal to provide the requested cooperation, under the condition precedent (</w:t>
      </w:r>
      <w:r>
        <w:rPr>
          <w:rFonts w:ascii="Arial" w:cs="Arial" w:eastAsia="Arial" w:hAnsi="Arial"/>
          <w:sz w:val="19"/>
          <w:szCs w:val="19"/>
          <w:i w:val="1"/>
          <w:iCs w:val="1"/>
          <w:color w:val="auto"/>
        </w:rPr>
        <w:t>opschortende voorwaarde</w:t>
      </w:r>
      <w:r>
        <w:rPr>
          <w:rFonts w:ascii="Arial" w:cs="Arial" w:eastAsia="Arial" w:hAnsi="Arial"/>
          <w:sz w:val="19"/>
          <w:szCs w:val="19"/>
          <w:color w:val="auto"/>
        </w:rPr>
        <w:t>) of the execution of the Deed of Sale and Transfer of the Shares in the Company and the signing of the Deed of Adherence in accordance with Article 13.1 of the IRA.</w:t>
      </w:r>
    </w:p>
    <w:p>
      <w:pPr>
        <w:spacing w:after="0" w:line="154" w:lineRule="exact"/>
        <w:rPr>
          <w:sz w:val="20"/>
          <w:szCs w:val="20"/>
          <w:color w:val="auto"/>
        </w:rPr>
      </w:pPr>
    </w:p>
    <w:p>
      <w:pPr>
        <w:jc w:val="both"/>
        <w:ind w:left="520" w:hanging="566"/>
        <w:spacing w:after="0" w:line="302" w:lineRule="auto"/>
        <w:tabs>
          <w:tab w:leader="none" w:pos="500" w:val="left"/>
        </w:tabs>
        <w:rPr>
          <w:sz w:val="20"/>
          <w:szCs w:val="20"/>
          <w:color w:val="auto"/>
        </w:rPr>
      </w:pPr>
      <w:r>
        <w:rPr>
          <w:rFonts w:ascii="Arial" w:cs="Arial" w:eastAsia="Arial" w:hAnsi="Arial"/>
          <w:sz w:val="22"/>
          <w:szCs w:val="22"/>
          <w:color w:val="auto"/>
        </w:rPr>
        <w:t>1.2</w:t>
        <w:tab/>
        <w:t>The Assignor shall notify Acorn Holdings B.V. and the Company as referred to in Article 3:94 of the Dutch Civil Code on the first business day following the date of signing of this Deed of Assignment.</w:t>
      </w:r>
    </w:p>
    <w:p>
      <w:pPr>
        <w:spacing w:after="0" w:line="167" w:lineRule="exact"/>
        <w:rPr>
          <w:sz w:val="20"/>
          <w:szCs w:val="20"/>
          <w:color w:val="auto"/>
        </w:rPr>
      </w:pPr>
    </w:p>
    <w:p>
      <w:pPr>
        <w:ind w:left="660" w:right="9780" w:hanging="652"/>
        <w:spacing w:after="0" w:line="512" w:lineRule="auto"/>
        <w:tabs>
          <w:tab w:leader="none" w:pos="390" w:val="left"/>
        </w:tabs>
        <w:numPr>
          <w:ilvl w:val="0"/>
          <w:numId w:val="65"/>
        </w:numPr>
        <w:rPr>
          <w:rFonts w:ascii="Arial" w:cs="Arial" w:eastAsia="Arial" w:hAnsi="Arial"/>
          <w:sz w:val="21"/>
          <w:szCs w:val="21"/>
          <w:color w:val="auto"/>
        </w:rPr>
      </w:pPr>
      <w:r>
        <w:rPr>
          <w:rFonts w:ascii="Arial" w:cs="Arial" w:eastAsia="Arial" w:hAnsi="Arial"/>
          <w:sz w:val="21"/>
          <w:szCs w:val="21"/>
          <w:b w:val="1"/>
          <w:bCs w:val="1"/>
          <w:color w:val="auto"/>
        </w:rPr>
        <w:t>GENERAL Waiver</w:t>
      </w:r>
    </w:p>
    <w:p>
      <w:pPr>
        <w:spacing w:after="0" w:line="2" w:lineRule="exact"/>
        <w:rPr>
          <w:sz w:val="20"/>
          <w:szCs w:val="20"/>
          <w:color w:val="auto"/>
        </w:rPr>
      </w:pPr>
    </w:p>
    <w:p>
      <w:pPr>
        <w:jc w:val="both"/>
        <w:ind w:left="580" w:hanging="566"/>
        <w:spacing w:after="0" w:line="311" w:lineRule="auto"/>
        <w:tabs>
          <w:tab w:leader="none" w:pos="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The Assignor and the Assignee hereby waive their respective rights to seek or to obtain rescission (</w:t>
      </w:r>
      <w:r>
        <w:rPr>
          <w:rFonts w:ascii="Arial" w:cs="Arial" w:eastAsia="Arial" w:hAnsi="Arial"/>
          <w:sz w:val="21"/>
          <w:szCs w:val="21"/>
          <w:i w:val="1"/>
          <w:iCs w:val="1"/>
          <w:color w:val="auto"/>
        </w:rPr>
        <w:t>ontbinding</w:t>
      </w:r>
      <w:r>
        <w:rPr>
          <w:rFonts w:ascii="Arial" w:cs="Arial" w:eastAsia="Arial" w:hAnsi="Arial"/>
          <w:sz w:val="21"/>
          <w:szCs w:val="21"/>
          <w:color w:val="auto"/>
        </w:rPr>
        <w:t>) or termination (</w:t>
      </w:r>
      <w:r>
        <w:rPr>
          <w:rFonts w:ascii="Arial" w:cs="Arial" w:eastAsia="Arial" w:hAnsi="Arial"/>
          <w:sz w:val="21"/>
          <w:szCs w:val="21"/>
          <w:i w:val="1"/>
          <w:iCs w:val="1"/>
          <w:color w:val="auto"/>
        </w:rPr>
        <w:t>vernietiging</w:t>
      </w:r>
      <w:r>
        <w:rPr>
          <w:rFonts w:ascii="Arial" w:cs="Arial" w:eastAsia="Arial" w:hAnsi="Arial"/>
          <w:sz w:val="21"/>
          <w:szCs w:val="21"/>
          <w:color w:val="auto"/>
        </w:rPr>
        <w:t>) of the agreements laid down in this Deed of Assignment and specifically the rights set out in article 6:265 of the Dutch Civil Code and such waiver is hereby accepted reciprocally.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Governing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0" w:lineRule="exact"/>
        <w:rPr>
          <w:sz w:val="20"/>
          <w:szCs w:val="20"/>
          <w:color w:val="auto"/>
        </w:rPr>
      </w:pPr>
    </w:p>
    <w:p>
      <w:pPr>
        <w:jc w:val="both"/>
        <w:ind w:left="540" w:hanging="647"/>
        <w:spacing w:after="0" w:line="302" w:lineRule="auto"/>
        <w:tabs>
          <w:tab w:leader="none" w:pos="520" w:val="left"/>
        </w:tabs>
        <w:rPr>
          <w:sz w:val="20"/>
          <w:szCs w:val="20"/>
          <w:color w:val="auto"/>
        </w:rPr>
      </w:pPr>
      <w:r>
        <w:rPr>
          <w:rFonts w:ascii="Arial" w:cs="Arial" w:eastAsia="Arial" w:hAnsi="Arial"/>
          <w:sz w:val="22"/>
          <w:szCs w:val="22"/>
          <w:color w:val="auto"/>
        </w:rPr>
        <w:t>2.2</w:t>
        <w:tab/>
        <w:t>This Agreement and any non-contractual obligations arising out of or in connection with this Agreement are governed by and shall be construed in accordance with Dutch law.</w:t>
      </w:r>
    </w:p>
    <w:p>
      <w:pPr>
        <w:spacing w:after="0" w:line="173" w:lineRule="exact"/>
        <w:rPr>
          <w:sz w:val="20"/>
          <w:szCs w:val="20"/>
          <w:color w:val="auto"/>
        </w:rPr>
      </w:pPr>
    </w:p>
    <w:p>
      <w:pPr>
        <w:jc w:val="both"/>
        <w:ind w:left="660" w:hanging="647"/>
        <w:spacing w:after="0" w:line="356"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The courts of The Netherlands have exclusive jurisdiction to settle any dispute arising from or connected with this Agreement (including a dispute regarding the existence, validity or termination of this Agreement or relating to any non-contractual or other obligation arising out of or in connection with this Agreement) or the consequences of its nullity.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Miscellaneous</w:t>
      </w:r>
    </w:p>
    <w:p>
      <w:pPr>
        <w:spacing w:after="0" w:line="266" w:lineRule="exact"/>
        <w:rPr>
          <w:sz w:val="20"/>
          <w:szCs w:val="20"/>
          <w:color w:val="auto"/>
        </w:rPr>
      </w:pPr>
    </w:p>
    <w:p>
      <w:pPr>
        <w:jc w:val="both"/>
        <w:ind w:left="500" w:hanging="647"/>
        <w:spacing w:after="0" w:line="327" w:lineRule="auto"/>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Each Party to this Agreement shall do and execute, or arrange for the doing and executing of, each necessary act, document and thing within its power and as may be reasonably requested of it to implement this Agreement.</w:t>
      </w:r>
    </w:p>
    <w:p>
      <w:pPr>
        <w:spacing w:after="0" w:line="152"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This Agreement and each document referred to in it constitutes the entire agreement and supersedes any previous agreements between the Parties relating to the subject matter of this Agreement.</w:t>
      </w:r>
    </w:p>
    <w:p>
      <w:pPr>
        <w:spacing w:after="0" w:line="173" w:lineRule="exact"/>
        <w:rPr>
          <w:sz w:val="20"/>
          <w:szCs w:val="20"/>
          <w:color w:val="auto"/>
        </w:rPr>
      </w:pPr>
    </w:p>
    <w:p>
      <w:pPr>
        <w:jc w:val="both"/>
        <w:ind w:left="620" w:hanging="647"/>
        <w:spacing w:after="0" w:line="387" w:lineRule="auto"/>
        <w:tabs>
          <w:tab w:leader="none" w:pos="6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This Agreement may be executed in any number of counterparts, each of which is an original and all of which together evidence the same agreement. This Deed shall not come into effect until each Party has executed at least one counterpart.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440" w:right="339" w:bottom="1440" w:gutter="0" w:footer="0" w:header="0"/>
        </w:sectPr>
      </w:pPr>
    </w:p>
    <w:bookmarkStart w:id="78" w:name="page79"/>
    <w:bookmarkEnd w:id="78"/>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DEED OF ASSIGNMENT WAS EXECUTED </w:t>
      </w:r>
      <w:r>
        <w:rPr>
          <w:rFonts w:ascii="Arial" w:cs="Arial" w:eastAsia="Arial" w:hAnsi="Arial"/>
          <w:sz w:val="22"/>
          <w:szCs w:val="22"/>
          <w:color w:val="auto"/>
        </w:rPr>
        <w:t>by the Parties on the date stated at the beginning: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320" w:type="dxa"/>
            <w:vAlign w:val="bottom"/>
            <w:gridSpan w:val="3"/>
          </w:tcPr>
          <w:p>
            <w:pPr>
              <w:spacing w:after="0"/>
              <w:rPr>
                <w:sz w:val="20"/>
                <w:szCs w:val="20"/>
                <w:color w:val="auto"/>
              </w:rPr>
            </w:pPr>
            <w:r>
              <w:rPr>
                <w:rFonts w:ascii="Arial" w:cs="Arial" w:eastAsia="Arial" w:hAnsi="Arial"/>
                <w:sz w:val="22"/>
                <w:szCs w:val="22"/>
                <w:b w:val="1"/>
                <w:bCs w:val="1"/>
                <w:color w:val="auto"/>
              </w:rPr>
              <w:t>Mondelez Coffee HoldCo B.V.</w:t>
            </w:r>
          </w:p>
        </w:tc>
        <w:tc>
          <w:tcPr>
            <w:tcW w:w="3920" w:type="dxa"/>
            <w:vAlign w:val="bottom"/>
          </w:tcPr>
          <w:p>
            <w:pPr>
              <w:spacing w:after="0"/>
              <w:rPr>
                <w:sz w:val="24"/>
                <w:szCs w:val="24"/>
                <w:color w:val="auto"/>
              </w:rPr>
            </w:pPr>
          </w:p>
        </w:tc>
      </w:tr>
      <w:tr>
        <w:trPr>
          <w:trHeight w:val="537"/>
        </w:trPr>
        <w:tc>
          <w:tcPr>
            <w:tcW w:w="80" w:type="dxa"/>
            <w:vAlign w:val="bottom"/>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B.E.H. Bekkers</w:t>
            </w:r>
          </w:p>
        </w:tc>
        <w:tc>
          <w:tcPr>
            <w:tcW w:w="34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F.S. Janssen</w:t>
            </w:r>
          </w:p>
        </w:tc>
      </w:tr>
      <w:tr>
        <w:trPr>
          <w:trHeight w:val="276"/>
        </w:trPr>
        <w:tc>
          <w:tcPr>
            <w:tcW w:w="80" w:type="dxa"/>
            <w:vAlign w:val="bottom"/>
          </w:tcPr>
          <w:p>
            <w:pPr>
              <w:spacing w:after="0"/>
              <w:rPr>
                <w:sz w:val="23"/>
                <w:szCs w:val="23"/>
                <w:color w:val="auto"/>
              </w:rPr>
            </w:pPr>
          </w:p>
        </w:tc>
        <w:tc>
          <w:tcPr>
            <w:tcW w:w="7240" w:type="dxa"/>
            <w:vAlign w:val="bottom"/>
            <w:gridSpan w:val="2"/>
          </w:tcPr>
          <w:p>
            <w:pPr>
              <w:ind w:left="80"/>
              <w:spacing w:after="0"/>
              <w:rPr>
                <w:sz w:val="20"/>
                <w:szCs w:val="20"/>
                <w:color w:val="auto"/>
              </w:rPr>
            </w:pPr>
            <w:r>
              <w:rPr>
                <w:rFonts w:ascii="Arial" w:cs="Arial" w:eastAsia="Arial" w:hAnsi="Arial"/>
                <w:sz w:val="22"/>
                <w:szCs w:val="22"/>
                <w:color w:val="auto"/>
              </w:rPr>
              <w:t>Name: B.E.H. Bekkers</w:t>
            </w:r>
          </w:p>
        </w:tc>
        <w:tc>
          <w:tcPr>
            <w:tcW w:w="3920" w:type="dxa"/>
            <w:vAlign w:val="bottom"/>
          </w:tcPr>
          <w:p>
            <w:pPr>
              <w:ind w:left="60"/>
              <w:spacing w:after="0"/>
              <w:rPr>
                <w:sz w:val="20"/>
                <w:szCs w:val="20"/>
                <w:color w:val="auto"/>
              </w:rPr>
            </w:pPr>
            <w:r>
              <w:rPr>
                <w:rFonts w:ascii="Arial" w:cs="Arial" w:eastAsia="Arial" w:hAnsi="Arial"/>
                <w:sz w:val="22"/>
                <w:szCs w:val="22"/>
                <w:color w:val="auto"/>
              </w:rPr>
              <w:t>Name: F.S. Janssen</w:t>
            </w:r>
          </w:p>
        </w:tc>
      </w:tr>
      <w:tr>
        <w:trPr>
          <w:trHeight w:val="274"/>
        </w:trPr>
        <w:tc>
          <w:tcPr>
            <w:tcW w:w="80" w:type="dxa"/>
            <w:vAlign w:val="bottom"/>
          </w:tcPr>
          <w:p>
            <w:pPr>
              <w:spacing w:after="0"/>
              <w:rPr>
                <w:sz w:val="23"/>
                <w:szCs w:val="23"/>
                <w:color w:val="auto"/>
              </w:rPr>
            </w:pPr>
          </w:p>
        </w:tc>
        <w:tc>
          <w:tcPr>
            <w:tcW w:w="7240" w:type="dxa"/>
            <w:vAlign w:val="bottom"/>
            <w:gridSpan w:val="2"/>
          </w:tcPr>
          <w:p>
            <w:pPr>
              <w:ind w:left="80"/>
              <w:spacing w:after="0"/>
              <w:rPr>
                <w:sz w:val="20"/>
                <w:szCs w:val="20"/>
                <w:color w:val="auto"/>
              </w:rPr>
            </w:pPr>
            <w:r>
              <w:rPr>
                <w:rFonts w:ascii="Arial" w:cs="Arial" w:eastAsia="Arial" w:hAnsi="Arial"/>
                <w:sz w:val="22"/>
                <w:szCs w:val="22"/>
                <w:color w:val="auto"/>
              </w:rPr>
              <w:t>Title: General attorney</w:t>
            </w:r>
          </w:p>
        </w:tc>
        <w:tc>
          <w:tcPr>
            <w:tcW w:w="3920" w:type="dxa"/>
            <w:vAlign w:val="bottom"/>
          </w:tcPr>
          <w:p>
            <w:pPr>
              <w:ind w:left="60"/>
              <w:spacing w:after="0"/>
              <w:rPr>
                <w:sz w:val="20"/>
                <w:szCs w:val="20"/>
                <w:color w:val="auto"/>
              </w:rPr>
            </w:pPr>
            <w:r>
              <w:rPr>
                <w:rFonts w:ascii="Arial" w:cs="Arial" w:eastAsia="Arial" w:hAnsi="Arial"/>
                <w:sz w:val="22"/>
                <w:szCs w:val="22"/>
                <w:color w:val="auto"/>
              </w:rPr>
              <w:t>Title: General 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320" w:type="dxa"/>
            <w:vAlign w:val="bottom"/>
            <w:gridSpan w:val="3"/>
          </w:tcPr>
          <w:p>
            <w:pPr>
              <w:spacing w:after="0"/>
              <w:rPr>
                <w:sz w:val="20"/>
                <w:szCs w:val="20"/>
                <w:color w:val="auto"/>
              </w:rPr>
            </w:pPr>
            <w:r>
              <w:rPr>
                <w:rFonts w:ascii="Arial" w:cs="Arial" w:eastAsia="Arial" w:hAnsi="Arial"/>
                <w:sz w:val="22"/>
                <w:szCs w:val="22"/>
                <w:b w:val="1"/>
                <w:bCs w:val="1"/>
                <w:color w:val="auto"/>
              </w:rPr>
              <w:t>Mondelez International Holdings Netherlands B.V.</w:t>
            </w:r>
          </w:p>
        </w:tc>
        <w:tc>
          <w:tcPr>
            <w:tcW w:w="3920" w:type="dxa"/>
            <w:vAlign w:val="bottom"/>
          </w:tcPr>
          <w:p>
            <w:pPr>
              <w:spacing w:after="0"/>
              <w:rPr>
                <w:sz w:val="24"/>
                <w:szCs w:val="24"/>
                <w:color w:val="auto"/>
              </w:rPr>
            </w:pPr>
          </w:p>
        </w:tc>
      </w:tr>
      <w:tr>
        <w:trPr>
          <w:trHeight w:val="537"/>
        </w:trPr>
        <w:tc>
          <w:tcPr>
            <w:tcW w:w="80" w:type="dxa"/>
            <w:vAlign w:val="bottom"/>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B.E.H. Bekkers</w:t>
            </w:r>
          </w:p>
        </w:tc>
        <w:tc>
          <w:tcPr>
            <w:tcW w:w="34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F.S. Janssen</w:t>
            </w:r>
          </w:p>
        </w:tc>
      </w:tr>
      <w:tr>
        <w:trPr>
          <w:trHeight w:val="276"/>
        </w:trPr>
        <w:tc>
          <w:tcPr>
            <w:tcW w:w="80" w:type="dxa"/>
            <w:vAlign w:val="bottom"/>
          </w:tcPr>
          <w:p>
            <w:pPr>
              <w:spacing w:after="0"/>
              <w:rPr>
                <w:sz w:val="23"/>
                <w:szCs w:val="23"/>
                <w:color w:val="auto"/>
              </w:rPr>
            </w:pPr>
          </w:p>
        </w:tc>
        <w:tc>
          <w:tcPr>
            <w:tcW w:w="7240" w:type="dxa"/>
            <w:vAlign w:val="bottom"/>
            <w:gridSpan w:val="2"/>
          </w:tcPr>
          <w:p>
            <w:pPr>
              <w:ind w:left="80"/>
              <w:spacing w:after="0"/>
              <w:rPr>
                <w:sz w:val="20"/>
                <w:szCs w:val="20"/>
                <w:color w:val="auto"/>
              </w:rPr>
            </w:pPr>
            <w:r>
              <w:rPr>
                <w:rFonts w:ascii="Arial" w:cs="Arial" w:eastAsia="Arial" w:hAnsi="Arial"/>
                <w:sz w:val="22"/>
                <w:szCs w:val="22"/>
                <w:color w:val="auto"/>
              </w:rPr>
              <w:t>Name: B.E.H. Bekkers</w:t>
            </w:r>
          </w:p>
        </w:tc>
        <w:tc>
          <w:tcPr>
            <w:tcW w:w="3920" w:type="dxa"/>
            <w:vAlign w:val="bottom"/>
          </w:tcPr>
          <w:p>
            <w:pPr>
              <w:ind w:left="60"/>
              <w:spacing w:after="0"/>
              <w:rPr>
                <w:sz w:val="20"/>
                <w:szCs w:val="20"/>
                <w:color w:val="auto"/>
              </w:rPr>
            </w:pPr>
            <w:r>
              <w:rPr>
                <w:rFonts w:ascii="Arial" w:cs="Arial" w:eastAsia="Arial" w:hAnsi="Arial"/>
                <w:sz w:val="22"/>
                <w:szCs w:val="22"/>
                <w:color w:val="auto"/>
              </w:rPr>
              <w:t>Name: F.S. Janssen</w:t>
            </w:r>
          </w:p>
        </w:tc>
      </w:tr>
      <w:tr>
        <w:trPr>
          <w:trHeight w:val="274"/>
        </w:trPr>
        <w:tc>
          <w:tcPr>
            <w:tcW w:w="80" w:type="dxa"/>
            <w:vAlign w:val="bottom"/>
          </w:tcPr>
          <w:p>
            <w:pPr>
              <w:spacing w:after="0"/>
              <w:rPr>
                <w:sz w:val="23"/>
                <w:szCs w:val="23"/>
                <w:color w:val="auto"/>
              </w:rPr>
            </w:pPr>
          </w:p>
        </w:tc>
        <w:tc>
          <w:tcPr>
            <w:tcW w:w="7240" w:type="dxa"/>
            <w:vAlign w:val="bottom"/>
            <w:gridSpan w:val="2"/>
          </w:tcPr>
          <w:p>
            <w:pPr>
              <w:ind w:left="80"/>
              <w:spacing w:after="0"/>
              <w:rPr>
                <w:sz w:val="20"/>
                <w:szCs w:val="20"/>
                <w:color w:val="auto"/>
              </w:rPr>
            </w:pPr>
            <w:r>
              <w:rPr>
                <w:rFonts w:ascii="Arial" w:cs="Arial" w:eastAsia="Arial" w:hAnsi="Arial"/>
                <w:sz w:val="22"/>
                <w:szCs w:val="22"/>
                <w:color w:val="auto"/>
              </w:rPr>
              <w:t>Title: General attorney</w:t>
            </w:r>
          </w:p>
        </w:tc>
        <w:tc>
          <w:tcPr>
            <w:tcW w:w="3920" w:type="dxa"/>
            <w:vAlign w:val="bottom"/>
          </w:tcPr>
          <w:p>
            <w:pPr>
              <w:ind w:left="60"/>
              <w:spacing w:after="0"/>
              <w:rPr>
                <w:sz w:val="20"/>
                <w:szCs w:val="20"/>
                <w:color w:val="auto"/>
              </w:rPr>
            </w:pPr>
            <w:r>
              <w:rPr>
                <w:rFonts w:ascii="Arial" w:cs="Arial" w:eastAsia="Arial" w:hAnsi="Arial"/>
                <w:sz w:val="22"/>
                <w:szCs w:val="22"/>
                <w:color w:val="auto"/>
              </w:rPr>
              <w:t>Title: General 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40"/>
          </w:cols>
          <w:pgMar w:left="320" w:top="144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6"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2021,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2021,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2021</w:t>
      </w:r>
    </w:p>
    <w:p>
      <w:pPr>
        <w:spacing w:after="0" w:line="3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2"/>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lvl w:ilvl="1">
      <w:lvlJc w:val="left"/>
      <w:lvlText w:val="\endash "/>
      <w:numFmt w:val="bullet"/>
      <w:start w:val="1"/>
    </w:lvl>
  </w:abstractNum>
  <w:abstractNum w:abstractNumId="20">
    <w:nsid w:val="725A06FB"/>
    <w:multiLevelType w:val="hybridMultilevel"/>
    <w:lvl w:ilvl="0">
      <w:lvlJc w:val="left"/>
      <w:lvlText w:val="•"/>
      <w:numFmt w:val="bullet"/>
      <w:start w:val="1"/>
    </w:lvl>
    <w:lvl w:ilvl="1">
      <w:lvlJc w:val="left"/>
      <w:lvlText w:val="\endash "/>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4"/>
    </w:lvl>
  </w:abstractNum>
  <w:abstractNum w:abstractNumId="40">
    <w:nsid w:val="374A3FE6"/>
    <w:multiLevelType w:val="hybridMultilevel"/>
    <w:lvl w:ilvl="0">
      <w:lvlJc w:val="left"/>
      <w:lvlText w:val="(%1)"/>
      <w:numFmt w:val="decimal"/>
      <w:start w:val="8"/>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6"/>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lvl w:ilvl="1">
      <w:lvlJc w:val="left"/>
      <w:lvlText w:val="•"/>
      <w:numFmt w:val="bullet"/>
      <w:start w:val="1"/>
    </w:lvl>
  </w:abstractNum>
  <w:abstractNum w:abstractNumId="50">
    <w:nsid w:val="354FE9F9"/>
    <w:multiLevelType w:val="hybridMultilevel"/>
    <w:lvl w:ilvl="0">
      <w:lvlJc w:val="left"/>
      <w:lvlText w:val="•"/>
      <w:numFmt w:val="bullet"/>
      <w:start w:val="1"/>
    </w:lvl>
    <w:lvl w:ilvl="1">
      <w:lvlJc w:val="left"/>
      <w:lvlText w:val="(%2)"/>
      <w:numFmt w:val="decimal"/>
      <w:start w:val="1"/>
    </w:lvl>
  </w:abstractNum>
  <w:abstractNum w:abstractNumId="51">
    <w:nsid w:val="15B5AF5C"/>
    <w:multiLevelType w:val="hybridMultilevel"/>
    <w:lvl w:ilvl="0">
      <w:lvlJc w:val="left"/>
      <w:lvlText w:val="(%1)"/>
      <w:numFmt w:val="decimal"/>
      <w:start w:val="7"/>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1"/>
    </w:lvl>
    <w:lvl w:ilvl="1">
      <w:lvlJc w:val="left"/>
      <w:lvlText w:val="•"/>
      <w:numFmt w:val="bullet"/>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01"/>
    </w:lvl>
    <w:lvl w:ilvl="1">
      <w:lvlJc w:val="left"/>
      <w:lvlText w:val="(%2)"/>
      <w:numFmt w:val="lowerRoman"/>
      <w:start w:val="1"/>
    </w:lvl>
  </w:abstractNum>
  <w:abstractNum w:abstractNumId="56">
    <w:nsid w:val="61574095"/>
    <w:multiLevelType w:val="hybridMultilevel"/>
    <w:lvl w:ilvl="0">
      <w:lvlJc w:val="left"/>
      <w:lvlText w:val="%1"/>
      <w:numFmt w:val="decimal"/>
      <w:start w:val="1"/>
    </w:lvl>
    <w:lvl w:ilvl="1">
      <w:lvlJc w:val="left"/>
      <w:lvlText w:val="(%2)"/>
      <w:numFmt w:val="lowerRoman"/>
      <w:start w:val="6"/>
    </w:lvl>
  </w:abstractNum>
  <w:abstractNum w:abstractNumId="57">
    <w:nsid w:val="7E0C57B1"/>
    <w:multiLevelType w:val="hybridMultilevel"/>
    <w:lvl w:ilvl="0">
      <w:lvlJc w:val="left"/>
      <w:lvlText w:val="%1"/>
      <w:numFmt w:val="decimal"/>
      <w:start w:val="104"/>
    </w:lvl>
  </w:abstractNum>
  <w:abstractNum w:abstractNumId="58">
    <w:nsid w:val="77AE35EB"/>
    <w:multiLevelType w:val="hybridMultilevel"/>
    <w:lvl w:ilvl="0">
      <w:lvlJc w:val="left"/>
      <w:lvlText w:val="(%1)"/>
      <w:numFmt w:val="upp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upperLetter"/>
      <w:start w:val="1"/>
    </w:lvl>
    <w:lvl w:ilvl="1">
      <w:lvlJc w:val="left"/>
      <w:lvlText w:val="-"/>
      <w:numFmt w:val="bullet"/>
      <w:start w:val="1"/>
    </w:lvl>
  </w:abstractNum>
  <w:abstractNum w:abstractNumId="62">
    <w:nsid w:val="2F305DEF"/>
    <w:multiLevelType w:val="hybridMultilevel"/>
    <w:lvl w:ilvl="0">
      <w:lvlJc w:val="left"/>
      <w:lvlText w:val="(%1)"/>
      <w:numFmt w:val="upperLetter"/>
      <w:start w:val="4"/>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2"/>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40" Type="http://schemas.openxmlformats.org/officeDocument/2006/relationships/hyperlink" Target="https://www.sec.gov/Archives/edgar/data/1103982/000119312521270208/d224864dex42.htm" TargetMode="External"/><Relationship Id="rId141" Type="http://schemas.openxmlformats.org/officeDocument/2006/relationships/hyperlink" Target="https://www.sec.gov/Archives/edgar/data/1103982/000119312521282494/d20509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2021-11-02T15:28:19Z</dcterms:created>
  <dcterms:modified xsi:type="dcterms:W3CDTF">2021-11-02T15:28:19Z</dcterms:modified>
</cp:coreProperties>
</file>